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color w:val="000000"/>
          <w:sz w:val="32"/>
          <w:szCs w:val="32"/>
        </w:rPr>
      </w:pPr>
      <w:r>
        <w:rPr>
          <w:rFonts w:hint="eastAsia" w:ascii="黑体" w:hAnsi="黑体" w:eastAsia="黑体" w:cs="黑体"/>
          <w:color w:val="000000"/>
          <w:sz w:val="32"/>
          <w:szCs w:val="32"/>
        </w:rPr>
        <w:t>附件3</w:t>
      </w:r>
    </w:p>
    <w:p>
      <w:pPr>
        <w:spacing w:line="520" w:lineRule="exact"/>
        <w:jc w:val="center"/>
        <w:rPr>
          <w:rFonts w:ascii="宋体" w:hAnsi="宋体" w:cs="仿宋"/>
          <w:b/>
          <w:bCs/>
          <w:color w:val="000000"/>
          <w:kern w:val="0"/>
          <w:sz w:val="36"/>
          <w:szCs w:val="36"/>
        </w:rPr>
      </w:pPr>
      <w:r>
        <w:rPr>
          <w:rFonts w:hint="eastAsia" w:ascii="宋体" w:hAnsi="宋体" w:cs="仿宋"/>
          <w:b/>
          <w:bCs/>
          <w:color w:val="000000"/>
          <w:kern w:val="0"/>
          <w:sz w:val="36"/>
          <w:szCs w:val="36"/>
          <w:lang w:val="en-US" w:eastAsia="zh-CN"/>
        </w:rPr>
        <w:t>2022年</w:t>
      </w:r>
      <w:r>
        <w:rPr>
          <w:rFonts w:hint="eastAsia" w:ascii="宋体" w:hAnsi="宋体" w:cs="仿宋"/>
          <w:b/>
          <w:bCs/>
          <w:color w:val="000000"/>
          <w:kern w:val="0"/>
          <w:sz w:val="36"/>
          <w:szCs w:val="36"/>
        </w:rPr>
        <w:t>部门整体支出绩效自评报告公开</w:t>
      </w:r>
    </w:p>
    <w:tbl>
      <w:tblPr>
        <w:tblStyle w:val="7"/>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部门概况</w:t>
            </w: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单位名称</w:t>
            </w:r>
          </w:p>
        </w:tc>
        <w:tc>
          <w:tcPr>
            <w:tcW w:w="5670" w:type="dxa"/>
            <w:vAlign w:val="center"/>
          </w:tcPr>
          <w:p>
            <w:pPr>
              <w:spacing w:line="240" w:lineRule="auto"/>
              <w:ind w:right="0" w:rightChars="0"/>
              <w:jc w:val="center"/>
              <w:rPr>
                <w:rFonts w:hint="eastAsia" w:ascii="仿宋_GB2312" w:hAnsi="宋体" w:eastAsia="仿宋_GB2312" w:cs="宋体"/>
                <w:sz w:val="21"/>
                <w:szCs w:val="21"/>
                <w:lang w:val="en-US" w:eastAsia="zh-CN"/>
              </w:rPr>
            </w:pPr>
            <w:r>
              <w:rPr>
                <w:rFonts w:hint="eastAsia" w:ascii="仿宋_GB2312" w:hAnsi="宋体" w:eastAsia="仿宋_GB2312" w:cs="宋体"/>
                <w:sz w:val="21"/>
                <w:szCs w:val="21"/>
                <w:lang w:val="en-US" w:eastAsia="zh-CN"/>
              </w:rPr>
              <w:t>湘潭县农业农村局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300" w:lineRule="exact"/>
              <w:jc w:val="center"/>
              <w:rPr>
                <w:rFonts w:ascii="仿宋_GB2312" w:hAnsi="宋体" w:eastAsia="仿宋_GB2312" w:cs="宋体"/>
                <w:sz w:val="21"/>
                <w:szCs w:val="21"/>
              </w:rPr>
            </w:pP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年</w:t>
            </w:r>
            <w:r>
              <w:rPr>
                <w:rFonts w:hint="eastAsia" w:ascii="仿宋_GB2312" w:hAnsi="宋体" w:eastAsia="仿宋_GB2312" w:cs="宋体"/>
                <w:sz w:val="21"/>
                <w:szCs w:val="21"/>
                <w:lang w:eastAsia="zh-CN"/>
              </w:rPr>
              <w:t>初</w:t>
            </w:r>
            <w:r>
              <w:rPr>
                <w:rFonts w:hint="eastAsia" w:ascii="仿宋_GB2312" w:hAnsi="宋体" w:eastAsia="仿宋_GB2312" w:cs="宋体"/>
                <w:sz w:val="21"/>
                <w:szCs w:val="21"/>
              </w:rPr>
              <w:t>预算金额</w:t>
            </w:r>
          </w:p>
        </w:tc>
        <w:tc>
          <w:tcPr>
            <w:tcW w:w="5670" w:type="dxa"/>
            <w:vAlign w:val="center"/>
          </w:tcPr>
          <w:p>
            <w:pPr>
              <w:spacing w:line="240" w:lineRule="auto"/>
              <w:ind w:right="0" w:rightChars="0"/>
              <w:jc w:val="center"/>
              <w:rPr>
                <w:rFonts w:hint="default" w:ascii="仿宋_GB2312" w:hAnsi="宋体" w:eastAsia="仿宋_GB2312" w:cs="宋体"/>
                <w:sz w:val="21"/>
                <w:szCs w:val="21"/>
                <w:lang w:val="en-US" w:eastAsia="zh-CN"/>
              </w:rPr>
            </w:pPr>
            <w:r>
              <w:rPr>
                <w:rFonts w:hint="eastAsia" w:ascii="仿宋_GB2312" w:hAnsi="宋体" w:eastAsia="仿宋_GB2312" w:cs="宋体"/>
                <w:sz w:val="21"/>
                <w:szCs w:val="21"/>
                <w:lang w:val="en-US" w:eastAsia="zh-CN"/>
              </w:rPr>
              <w:t>3539.8872万元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300" w:lineRule="exact"/>
              <w:jc w:val="center"/>
              <w:rPr>
                <w:rFonts w:ascii="仿宋_GB2312" w:hAnsi="宋体" w:eastAsia="仿宋_GB2312" w:cs="宋体"/>
                <w:sz w:val="21"/>
                <w:szCs w:val="21"/>
              </w:rPr>
            </w:pP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单位基本职能</w:t>
            </w:r>
          </w:p>
        </w:tc>
        <w:tc>
          <w:tcPr>
            <w:tcW w:w="5670" w:type="dxa"/>
            <w:vAlign w:val="center"/>
          </w:tcPr>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w:t>
            </w:r>
            <w:r>
              <w:rPr>
                <w:rFonts w:ascii="仿宋" w:hAnsi="仿宋" w:eastAsia="仿宋" w:cs="宋体"/>
                <w:color w:val="333333"/>
                <w:kern w:val="0"/>
                <w:sz w:val="21"/>
                <w:szCs w:val="21"/>
              </w:rPr>
              <w:t>拟订全县农业农村工作的发展中长期规划并指导实施。负责全县农业综合执法，推进农业依法行政。提出有关农产品，农业财政补贴及农业产业保护的政策建议，参与制定相关政策。</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2、</w:t>
            </w:r>
            <w:r>
              <w:rPr>
                <w:rFonts w:ascii="仿宋" w:hAnsi="仿宋" w:eastAsia="仿宋" w:cs="宋体"/>
                <w:color w:val="333333"/>
                <w:kern w:val="0"/>
                <w:sz w:val="21"/>
                <w:szCs w:val="21"/>
              </w:rPr>
              <w:t>统筹推动发展农村社会事业、农村公共服务、农村文化、农村基础设施和乡村治理。牵头组织改善农村人居环境。指导农村精神文明和优秀农耕文化建设。</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3、</w:t>
            </w:r>
            <w:r>
              <w:rPr>
                <w:rFonts w:ascii="仿宋" w:hAnsi="仿宋" w:eastAsia="仿宋" w:cs="宋体"/>
                <w:color w:val="333333"/>
                <w:kern w:val="0"/>
                <w:sz w:val="21"/>
                <w:szCs w:val="21"/>
              </w:rPr>
              <w:t>贯彻执行党和国家扶贫开发工作方针、政策，负责拟定全县扶贫开发工作的政策和发展规划；负责组织、协调、指导全县精准扶贫工作，协调安排扶贫资金，并检查、监督使用情况。</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4、</w:t>
            </w:r>
            <w:r>
              <w:rPr>
                <w:rFonts w:ascii="仿宋" w:hAnsi="仿宋" w:eastAsia="仿宋" w:cs="宋体"/>
                <w:color w:val="333333"/>
                <w:kern w:val="0"/>
                <w:sz w:val="21"/>
                <w:szCs w:val="21"/>
              </w:rPr>
              <w:t>研究提出深化农村经济体制改革和巩固完善农村基本经营制度的建议。负责农村宅基地改革和管理有关工作。指导农民合作经济组织、农业社会化服务体系、新型农业经营主体建设与发展。</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5、</w:t>
            </w:r>
            <w:r>
              <w:rPr>
                <w:rFonts w:ascii="仿宋" w:hAnsi="仿宋" w:eastAsia="仿宋" w:cs="宋体"/>
                <w:color w:val="333333"/>
                <w:kern w:val="0"/>
                <w:sz w:val="21"/>
                <w:szCs w:val="21"/>
              </w:rPr>
              <w:t>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6、</w:t>
            </w:r>
            <w:r>
              <w:rPr>
                <w:rFonts w:ascii="仿宋" w:hAnsi="仿宋" w:eastAsia="仿宋" w:cs="宋体"/>
                <w:color w:val="333333"/>
                <w:kern w:val="0"/>
                <w:sz w:val="21"/>
                <w:szCs w:val="21"/>
              </w:rPr>
              <w:t>负责全县种植业、畜牧业、渔业、农业机械化等农业各产业的监督管理。指导粮食等农产品生产。组织构建现代农业产业体系、生产体系、经营体系，指导农业标准化生产。负责渔政渔港监督管理。</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7、</w:t>
            </w:r>
            <w:r>
              <w:rPr>
                <w:rFonts w:ascii="仿宋" w:hAnsi="仿宋" w:eastAsia="仿宋" w:cs="宋体"/>
                <w:color w:val="333333"/>
                <w:kern w:val="0"/>
                <w:sz w:val="21"/>
                <w:szCs w:val="21"/>
              </w:rPr>
              <w:t>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8、</w:t>
            </w:r>
            <w:r>
              <w:rPr>
                <w:rFonts w:ascii="仿宋" w:hAnsi="仿宋" w:eastAsia="仿宋" w:cs="宋体"/>
                <w:color w:val="333333"/>
                <w:kern w:val="0"/>
                <w:sz w:val="21"/>
                <w:szCs w:val="21"/>
              </w:rPr>
              <w:t>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9、</w:t>
            </w:r>
            <w:r>
              <w:rPr>
                <w:rFonts w:ascii="仿宋" w:hAnsi="仿宋" w:eastAsia="仿宋" w:cs="宋体"/>
                <w:color w:val="333333"/>
                <w:kern w:val="0"/>
                <w:sz w:val="21"/>
                <w:szCs w:val="21"/>
              </w:rPr>
              <w:t>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10、</w:t>
            </w:r>
            <w:r>
              <w:rPr>
                <w:rFonts w:ascii="仿宋" w:hAnsi="仿宋" w:eastAsia="仿宋" w:cs="宋体"/>
                <w:color w:val="333333"/>
                <w:kern w:val="0"/>
                <w:sz w:val="21"/>
                <w:szCs w:val="21"/>
              </w:rPr>
              <w:t>负责农业防灾减灾、农作物重大病虫害防治工作。指导动植物防疫检疫体系建设，组织、监督县内动植物防疫检疫工作，并组织疫情扑灭。</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11、</w:t>
            </w:r>
            <w:r>
              <w:rPr>
                <w:rFonts w:ascii="仿宋" w:hAnsi="仿宋" w:eastAsia="仿宋" w:cs="宋体"/>
                <w:color w:val="333333"/>
                <w:kern w:val="0"/>
                <w:sz w:val="21"/>
                <w:szCs w:val="21"/>
              </w:rPr>
              <w:t>负责农业投资管理。拟订农业开发规划，组织实施有关农业项目，提出农业固定资产投资规模、投资项目和县级财政资金安排的建议，负责协调安排及监督检查有关涉农、惠农项目资金，编报部门预算并组织执行。</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12、</w:t>
            </w:r>
            <w:r>
              <w:rPr>
                <w:rFonts w:ascii="仿宋" w:hAnsi="仿宋" w:eastAsia="仿宋" w:cs="宋体"/>
                <w:color w:val="333333"/>
                <w:kern w:val="0"/>
                <w:sz w:val="21"/>
                <w:szCs w:val="21"/>
              </w:rPr>
              <w:t>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13、</w:t>
            </w:r>
            <w:r>
              <w:rPr>
                <w:rFonts w:ascii="仿宋" w:hAnsi="仿宋" w:eastAsia="仿宋" w:cs="宋体"/>
                <w:color w:val="333333"/>
                <w:kern w:val="0"/>
                <w:sz w:val="21"/>
                <w:szCs w:val="21"/>
              </w:rPr>
              <w:t>统一领导和管理所属的湘潭县贫困帮扶中心、湘潭县农业发展服务中心。</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14、</w:t>
            </w:r>
            <w:r>
              <w:rPr>
                <w:rFonts w:ascii="仿宋" w:hAnsi="仿宋" w:eastAsia="仿宋" w:cs="宋体"/>
                <w:color w:val="333333"/>
                <w:kern w:val="0"/>
                <w:sz w:val="21"/>
                <w:szCs w:val="21"/>
              </w:rPr>
              <w:t>完成县委、县政府交办的其他任务。</w:t>
            </w:r>
          </w:p>
          <w:p>
            <w:pPr>
              <w:widowControl/>
              <w:shd w:val="clear" w:color="auto" w:fill="FFFFFF"/>
              <w:spacing w:line="300" w:lineRule="exact"/>
              <w:ind w:firstLine="482"/>
              <w:rPr>
                <w:rFonts w:ascii="仿宋" w:hAnsi="仿宋" w:eastAsia="仿宋" w:cs="宋体"/>
                <w:color w:val="333333"/>
                <w:kern w:val="0"/>
                <w:sz w:val="21"/>
                <w:szCs w:val="21"/>
              </w:rPr>
            </w:pPr>
            <w:r>
              <w:rPr>
                <w:rFonts w:hint="eastAsia" w:ascii="仿宋" w:hAnsi="仿宋" w:eastAsia="仿宋" w:cs="宋体"/>
                <w:color w:val="333333"/>
                <w:kern w:val="0"/>
                <w:sz w:val="21"/>
                <w:szCs w:val="21"/>
              </w:rPr>
              <w:t>15、</w:t>
            </w:r>
            <w:r>
              <w:rPr>
                <w:rFonts w:ascii="仿宋" w:hAnsi="仿宋" w:eastAsia="仿宋" w:cs="宋体"/>
                <w:color w:val="333333"/>
                <w:kern w:val="0"/>
                <w:sz w:val="21"/>
                <w:szCs w:val="21"/>
              </w:rPr>
              <w:t>职能转变。</w:t>
            </w:r>
          </w:p>
          <w:p>
            <w:pPr>
              <w:widowControl/>
              <w:shd w:val="clear" w:color="auto" w:fill="FFFFFF"/>
              <w:spacing w:line="300" w:lineRule="exact"/>
              <w:ind w:firstLine="315" w:firstLineChars="150"/>
              <w:rPr>
                <w:rFonts w:ascii="仿宋_GB2312" w:hAnsi="宋体" w:eastAsia="仿宋_GB2312" w:cs="宋体"/>
                <w:sz w:val="21"/>
                <w:szCs w:val="21"/>
              </w:rPr>
            </w:pPr>
            <w:r>
              <w:rPr>
                <w:rFonts w:hint="eastAsia" w:ascii="仿宋" w:hAnsi="仿宋" w:eastAsia="仿宋" w:cs="宋体"/>
                <w:color w:val="333333"/>
                <w:kern w:val="0"/>
                <w:sz w:val="21"/>
                <w:szCs w:val="21"/>
              </w:rPr>
              <w:t>（1）</w:t>
            </w:r>
            <w:r>
              <w:rPr>
                <w:rFonts w:ascii="仿宋" w:hAnsi="仿宋" w:eastAsia="仿宋" w:cs="宋体"/>
                <w:color w:val="333333"/>
                <w:kern w:val="0"/>
                <w:sz w:val="21"/>
                <w:szCs w:val="21"/>
              </w:rPr>
              <w:t>统筹实施乡村振兴战略，深化农业供给侧结构性改革，提升农业发展质量，扎实推进美丽乡村建设，推动农业全面升级、农村全面进步、农民全面发展，加快实现农业农村现代化。</w:t>
            </w:r>
            <w:r>
              <w:rPr>
                <w:rFonts w:hint="eastAsia" w:ascii="仿宋" w:hAnsi="仿宋" w:eastAsia="仿宋" w:cs="宋体"/>
                <w:color w:val="333333"/>
                <w:kern w:val="0"/>
                <w:sz w:val="21"/>
                <w:szCs w:val="21"/>
              </w:rPr>
              <w:t>（2）</w:t>
            </w:r>
            <w:r>
              <w:rPr>
                <w:rFonts w:ascii="仿宋" w:hAnsi="仿宋" w:eastAsia="仿宋" w:cs="宋体"/>
                <w:color w:val="333333"/>
                <w:kern w:val="0"/>
                <w:sz w:val="21"/>
                <w:szCs w:val="21"/>
              </w:rPr>
              <w:t>加强农产品质量安全和相关农业生产资料、农业投入品的监督管理，严防、严管、严控质量安全风险，让人民群众吃得放心、安心。</w:t>
            </w:r>
            <w:r>
              <w:rPr>
                <w:rFonts w:hint="eastAsia" w:ascii="仿宋" w:hAnsi="仿宋" w:eastAsia="仿宋" w:cs="宋体"/>
                <w:color w:val="333333"/>
                <w:kern w:val="0"/>
                <w:sz w:val="21"/>
                <w:szCs w:val="21"/>
              </w:rPr>
              <w:t>（3）</w:t>
            </w:r>
            <w:r>
              <w:rPr>
                <w:rFonts w:ascii="仿宋" w:hAnsi="仿宋" w:eastAsia="仿宋" w:cs="宋体"/>
                <w:color w:val="333333"/>
                <w:kern w:val="0"/>
                <w:sz w:val="21"/>
                <w:szCs w:val="21"/>
              </w:rPr>
              <w:t>加强对行业内交叉重复以及性质相同、用途相近的农业投资项目的统筹整合，加强事中事后监管，切实提升支农政策效果和资金使用效益。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1384" w:type="dxa"/>
            <w:vMerge w:val="restart"/>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绩效完成情况</w:t>
            </w: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部门整体支出管理和使用基本情况</w:t>
            </w:r>
          </w:p>
        </w:tc>
        <w:tc>
          <w:tcPr>
            <w:tcW w:w="5670" w:type="dxa"/>
            <w:vAlign w:val="center"/>
          </w:tcPr>
          <w:p>
            <w:pPr>
              <w:widowControl/>
              <w:ind w:firstLine="422" w:firstLineChars="200"/>
              <w:jc w:val="left"/>
              <w:rPr>
                <w:rFonts w:hint="eastAsia" w:ascii="仿宋" w:hAnsi="仿宋" w:eastAsia="仿宋" w:cs="仿宋"/>
                <w:color w:val="000000"/>
                <w:kern w:val="0"/>
                <w:sz w:val="21"/>
                <w:szCs w:val="21"/>
                <w:lang w:val="en-US" w:eastAsia="zh-CN"/>
              </w:rPr>
            </w:pPr>
            <w:r>
              <w:rPr>
                <w:rFonts w:hint="eastAsia" w:ascii="仿宋" w:hAnsi="仿宋" w:eastAsia="仿宋" w:cs="仿宋"/>
                <w:b/>
                <w:bCs/>
                <w:color w:val="000000"/>
                <w:kern w:val="0"/>
                <w:sz w:val="21"/>
                <w:szCs w:val="21"/>
              </w:rPr>
              <w:t>一、收入情况 。</w:t>
            </w:r>
            <w:r>
              <w:rPr>
                <w:rFonts w:hint="eastAsia" w:ascii="仿宋" w:hAnsi="仿宋" w:eastAsia="仿宋" w:cs="仿宋"/>
                <w:color w:val="000000"/>
                <w:kern w:val="0"/>
                <w:sz w:val="21"/>
                <w:szCs w:val="21"/>
              </w:rPr>
              <w:t>202</w:t>
            </w:r>
            <w:r>
              <w:rPr>
                <w:rFonts w:hint="eastAsia" w:ascii="仿宋" w:hAnsi="仿宋" w:eastAsia="仿宋" w:cs="仿宋"/>
                <w:color w:val="000000"/>
                <w:kern w:val="0"/>
                <w:sz w:val="21"/>
                <w:szCs w:val="21"/>
                <w:lang w:val="en-US" w:eastAsia="zh-CN"/>
              </w:rPr>
              <w:t>2</w:t>
            </w:r>
            <w:r>
              <w:rPr>
                <w:rFonts w:hint="eastAsia" w:ascii="仿宋" w:hAnsi="仿宋" w:eastAsia="仿宋" w:cs="仿宋"/>
                <w:color w:val="000000"/>
                <w:kern w:val="0"/>
                <w:sz w:val="21"/>
                <w:szCs w:val="21"/>
              </w:rPr>
              <w:t>年我局县级年初部门预算资金</w:t>
            </w:r>
            <w:r>
              <w:rPr>
                <w:rFonts w:hint="eastAsia" w:ascii="仿宋" w:hAnsi="仿宋" w:eastAsia="仿宋" w:cs="仿宋"/>
                <w:color w:val="000000"/>
                <w:kern w:val="0"/>
                <w:sz w:val="21"/>
                <w:szCs w:val="21"/>
                <w:lang w:val="en-US" w:eastAsia="zh-CN"/>
              </w:rPr>
              <w:t>3539.8872</w:t>
            </w:r>
            <w:r>
              <w:rPr>
                <w:rFonts w:hint="eastAsia" w:ascii="仿宋" w:hAnsi="仿宋" w:eastAsia="仿宋" w:cs="仿宋"/>
                <w:color w:val="000000"/>
                <w:kern w:val="0"/>
                <w:sz w:val="21"/>
                <w:szCs w:val="21"/>
              </w:rPr>
              <w:t>万元，其中基本</w:t>
            </w:r>
            <w:r>
              <w:rPr>
                <w:rFonts w:hint="eastAsia" w:ascii="仿宋" w:hAnsi="仿宋" w:eastAsia="仿宋" w:cs="仿宋"/>
                <w:color w:val="000000"/>
                <w:kern w:val="0"/>
                <w:sz w:val="21"/>
                <w:szCs w:val="21"/>
                <w:lang w:eastAsia="zh-CN"/>
              </w:rPr>
              <w:t>支出</w:t>
            </w:r>
            <w:r>
              <w:rPr>
                <w:rFonts w:hint="eastAsia" w:ascii="仿宋" w:hAnsi="仿宋" w:eastAsia="仿宋" w:cs="仿宋"/>
                <w:color w:val="000000"/>
                <w:kern w:val="0"/>
                <w:sz w:val="21"/>
                <w:szCs w:val="21"/>
              </w:rPr>
              <w:t>预算</w:t>
            </w:r>
            <w:r>
              <w:rPr>
                <w:rFonts w:hint="eastAsia" w:ascii="仿宋" w:hAnsi="仿宋" w:eastAsia="仿宋" w:cs="仿宋"/>
                <w:color w:val="000000"/>
                <w:kern w:val="0"/>
                <w:sz w:val="21"/>
                <w:szCs w:val="21"/>
                <w:lang w:val="en-US" w:eastAsia="zh-CN"/>
              </w:rPr>
              <w:t>2495.0597</w:t>
            </w:r>
            <w:r>
              <w:rPr>
                <w:rFonts w:hint="eastAsia" w:ascii="仿宋" w:hAnsi="仿宋" w:eastAsia="仿宋" w:cs="仿宋"/>
                <w:color w:val="000000"/>
                <w:kern w:val="0"/>
                <w:sz w:val="21"/>
                <w:szCs w:val="21"/>
              </w:rPr>
              <w:t>万元，项目</w:t>
            </w:r>
            <w:r>
              <w:rPr>
                <w:rFonts w:hint="eastAsia" w:ascii="仿宋" w:hAnsi="仿宋" w:eastAsia="仿宋" w:cs="仿宋"/>
                <w:color w:val="000000"/>
                <w:kern w:val="0"/>
                <w:sz w:val="21"/>
                <w:szCs w:val="21"/>
                <w:lang w:eastAsia="zh-CN"/>
              </w:rPr>
              <w:t>支出</w:t>
            </w:r>
            <w:r>
              <w:rPr>
                <w:rFonts w:hint="eastAsia" w:ascii="仿宋" w:hAnsi="仿宋" w:eastAsia="仿宋" w:cs="仿宋"/>
                <w:color w:val="000000"/>
                <w:kern w:val="0"/>
                <w:sz w:val="21"/>
                <w:szCs w:val="21"/>
              </w:rPr>
              <w:t>预算</w:t>
            </w:r>
            <w:r>
              <w:rPr>
                <w:rFonts w:hint="eastAsia" w:ascii="仿宋" w:hAnsi="仿宋" w:eastAsia="仿宋" w:cs="仿宋"/>
                <w:color w:val="000000"/>
                <w:kern w:val="0"/>
                <w:sz w:val="21"/>
                <w:szCs w:val="21"/>
                <w:lang w:val="en-US" w:eastAsia="zh-CN"/>
              </w:rPr>
              <w:t>1044.8275</w:t>
            </w:r>
            <w:r>
              <w:rPr>
                <w:rFonts w:hint="eastAsia" w:ascii="仿宋" w:hAnsi="仿宋" w:eastAsia="仿宋" w:cs="仿宋"/>
                <w:color w:val="000000"/>
                <w:kern w:val="0"/>
                <w:sz w:val="21"/>
                <w:szCs w:val="21"/>
              </w:rPr>
              <w:t>万元。年中追加</w:t>
            </w:r>
            <w:r>
              <w:rPr>
                <w:rFonts w:hint="eastAsia" w:ascii="仿宋" w:hAnsi="仿宋" w:eastAsia="仿宋" w:cs="仿宋"/>
                <w:color w:val="000000"/>
                <w:kern w:val="0"/>
                <w:sz w:val="21"/>
                <w:szCs w:val="21"/>
                <w:lang w:eastAsia="zh-CN"/>
              </w:rPr>
              <w:t>指标</w:t>
            </w:r>
            <w:r>
              <w:rPr>
                <w:rFonts w:hint="eastAsia" w:ascii="仿宋" w:hAnsi="仿宋" w:eastAsia="仿宋" w:cs="仿宋"/>
                <w:color w:val="000000"/>
                <w:kern w:val="0"/>
                <w:sz w:val="21"/>
                <w:szCs w:val="21"/>
                <w:lang w:val="en-US" w:eastAsia="zh-CN"/>
              </w:rPr>
              <w:t>1273.10</w:t>
            </w:r>
            <w:r>
              <w:rPr>
                <w:rFonts w:hint="eastAsia" w:ascii="仿宋" w:hAnsi="仿宋" w:eastAsia="仿宋" w:cs="仿宋"/>
                <w:color w:val="000000"/>
                <w:kern w:val="0"/>
                <w:sz w:val="21"/>
                <w:szCs w:val="21"/>
              </w:rPr>
              <w:t>万元，其中基本支出</w:t>
            </w:r>
            <w:r>
              <w:rPr>
                <w:rFonts w:hint="eastAsia" w:ascii="仿宋" w:hAnsi="仿宋" w:eastAsia="仿宋" w:cs="仿宋"/>
                <w:color w:val="000000"/>
                <w:kern w:val="0"/>
                <w:sz w:val="21"/>
                <w:szCs w:val="21"/>
                <w:lang w:eastAsia="zh-CN"/>
              </w:rPr>
              <w:t>追加</w:t>
            </w:r>
            <w:r>
              <w:rPr>
                <w:rFonts w:hint="eastAsia" w:ascii="仿宋" w:hAnsi="仿宋" w:eastAsia="仿宋" w:cs="仿宋"/>
                <w:color w:val="000000"/>
                <w:kern w:val="0"/>
                <w:sz w:val="21"/>
                <w:szCs w:val="21"/>
                <w:lang w:val="en-US" w:eastAsia="zh-CN"/>
              </w:rPr>
              <w:t>239.10</w:t>
            </w:r>
            <w:r>
              <w:rPr>
                <w:rFonts w:hint="eastAsia" w:ascii="仿宋" w:hAnsi="仿宋" w:eastAsia="仿宋" w:cs="仿宋"/>
                <w:color w:val="000000"/>
                <w:kern w:val="0"/>
                <w:sz w:val="21"/>
                <w:szCs w:val="21"/>
              </w:rPr>
              <w:t>万元，项目支出</w:t>
            </w:r>
            <w:r>
              <w:rPr>
                <w:rFonts w:hint="eastAsia" w:ascii="仿宋" w:hAnsi="仿宋" w:eastAsia="仿宋" w:cs="仿宋"/>
                <w:color w:val="000000"/>
                <w:kern w:val="0"/>
                <w:sz w:val="21"/>
                <w:szCs w:val="21"/>
                <w:lang w:eastAsia="zh-CN"/>
              </w:rPr>
              <w:t>追加</w:t>
            </w:r>
            <w:r>
              <w:rPr>
                <w:rFonts w:hint="eastAsia" w:ascii="仿宋" w:hAnsi="仿宋" w:eastAsia="仿宋" w:cs="仿宋"/>
                <w:color w:val="000000"/>
                <w:kern w:val="0"/>
                <w:sz w:val="21"/>
                <w:szCs w:val="21"/>
                <w:lang w:val="en-US" w:eastAsia="zh-CN"/>
              </w:rPr>
              <w:t>1034</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县级部门预算收入共计</w:t>
            </w:r>
            <w:r>
              <w:rPr>
                <w:rFonts w:hint="eastAsia" w:ascii="仿宋" w:hAnsi="仿宋" w:eastAsia="仿宋" w:cs="仿宋"/>
                <w:color w:val="000000"/>
                <w:kern w:val="0"/>
                <w:sz w:val="21"/>
                <w:szCs w:val="21"/>
                <w:lang w:val="en-US" w:eastAsia="zh-CN"/>
              </w:rPr>
              <w:t>4812.9872万元。</w:t>
            </w:r>
          </w:p>
          <w:p>
            <w:pPr>
              <w:spacing w:line="300" w:lineRule="exact"/>
              <w:ind w:firstLine="422" w:firstLineChars="200"/>
              <w:outlineLvl w:val="0"/>
              <w:rPr>
                <w:rFonts w:hint="eastAsia" w:ascii="仿宋" w:hAnsi="仿宋" w:eastAsia="仿宋" w:cs="仿宋"/>
                <w:sz w:val="21"/>
                <w:szCs w:val="21"/>
              </w:rPr>
            </w:pPr>
            <w:r>
              <w:rPr>
                <w:rFonts w:hint="eastAsia" w:ascii="仿宋" w:hAnsi="仿宋" w:eastAsia="仿宋" w:cs="仿宋"/>
                <w:b/>
                <w:bCs/>
                <w:color w:val="000000"/>
                <w:kern w:val="0"/>
                <w:sz w:val="21"/>
                <w:szCs w:val="21"/>
              </w:rPr>
              <w:t>二、支出情况。</w:t>
            </w:r>
            <w:r>
              <w:rPr>
                <w:rFonts w:hint="eastAsia" w:ascii="仿宋" w:hAnsi="仿宋" w:eastAsia="仿宋" w:cs="仿宋"/>
                <w:color w:val="000000"/>
                <w:kern w:val="0"/>
                <w:sz w:val="21"/>
                <w:szCs w:val="21"/>
              </w:rPr>
              <w:t>202</w:t>
            </w:r>
            <w:r>
              <w:rPr>
                <w:rFonts w:hint="eastAsia" w:ascii="仿宋" w:hAnsi="仿宋" w:eastAsia="仿宋" w:cs="仿宋"/>
                <w:color w:val="000000"/>
                <w:kern w:val="0"/>
                <w:sz w:val="21"/>
                <w:szCs w:val="21"/>
                <w:lang w:val="en-US" w:eastAsia="zh-CN"/>
              </w:rPr>
              <w:t>2</w:t>
            </w:r>
            <w:r>
              <w:rPr>
                <w:rFonts w:hint="eastAsia" w:ascii="仿宋" w:hAnsi="仿宋" w:eastAsia="仿宋" w:cs="仿宋"/>
                <w:color w:val="000000"/>
                <w:kern w:val="0"/>
                <w:sz w:val="21"/>
                <w:szCs w:val="21"/>
              </w:rPr>
              <w:t>年预算可用指标金额</w:t>
            </w:r>
            <w:r>
              <w:rPr>
                <w:rFonts w:hint="eastAsia" w:ascii="仿宋" w:hAnsi="仿宋" w:eastAsia="仿宋" w:cs="仿宋"/>
                <w:color w:val="000000"/>
                <w:kern w:val="0"/>
                <w:sz w:val="21"/>
                <w:szCs w:val="21"/>
                <w:lang w:eastAsia="zh-CN"/>
              </w:rPr>
              <w:t>合计</w:t>
            </w:r>
            <w:r>
              <w:rPr>
                <w:rFonts w:hint="eastAsia" w:ascii="仿宋" w:hAnsi="仿宋" w:eastAsia="仿宋" w:cs="仿宋"/>
                <w:color w:val="000000"/>
                <w:kern w:val="0"/>
                <w:sz w:val="21"/>
                <w:szCs w:val="21"/>
                <w:lang w:val="en-US" w:eastAsia="zh-CN"/>
              </w:rPr>
              <w:t>4812.9925</w:t>
            </w:r>
            <w:r>
              <w:rPr>
                <w:rFonts w:hint="eastAsia" w:ascii="仿宋" w:hAnsi="仿宋" w:eastAsia="仿宋" w:cs="仿宋"/>
                <w:color w:val="000000"/>
                <w:kern w:val="0"/>
                <w:sz w:val="21"/>
                <w:szCs w:val="21"/>
              </w:rPr>
              <w:t>万元，本年</w:t>
            </w:r>
            <w:r>
              <w:rPr>
                <w:rFonts w:hint="eastAsia" w:ascii="仿宋" w:hAnsi="仿宋" w:eastAsia="仿宋" w:cs="仿宋"/>
                <w:color w:val="000000"/>
                <w:kern w:val="0"/>
                <w:sz w:val="21"/>
                <w:szCs w:val="21"/>
                <w:lang w:eastAsia="zh-CN"/>
              </w:rPr>
              <w:t>支出</w:t>
            </w:r>
            <w:r>
              <w:rPr>
                <w:rFonts w:hint="eastAsia" w:ascii="仿宋" w:hAnsi="仿宋" w:eastAsia="仿宋" w:cs="仿宋"/>
                <w:color w:val="000000"/>
                <w:kern w:val="0"/>
                <w:sz w:val="21"/>
                <w:szCs w:val="21"/>
              </w:rPr>
              <w:t>金额</w:t>
            </w:r>
            <w:r>
              <w:rPr>
                <w:rFonts w:hint="eastAsia" w:ascii="仿宋" w:hAnsi="仿宋" w:eastAsia="仿宋" w:cs="仿宋"/>
                <w:color w:val="000000"/>
                <w:kern w:val="0"/>
                <w:sz w:val="21"/>
                <w:szCs w:val="21"/>
                <w:lang w:eastAsia="zh-CN"/>
              </w:rPr>
              <w:t>合计</w:t>
            </w:r>
            <w:r>
              <w:rPr>
                <w:rFonts w:hint="eastAsia" w:ascii="仿宋" w:hAnsi="仿宋" w:eastAsia="仿宋" w:cs="仿宋"/>
                <w:color w:val="000000"/>
                <w:kern w:val="0"/>
                <w:sz w:val="21"/>
                <w:szCs w:val="21"/>
                <w:lang w:val="en-US" w:eastAsia="zh-CN"/>
              </w:rPr>
              <w:t>4921.0011</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全年预算执行率</w:t>
            </w:r>
            <w:r>
              <w:rPr>
                <w:rFonts w:hint="eastAsia" w:ascii="仿宋" w:hAnsi="仿宋" w:eastAsia="仿宋" w:cs="仿宋"/>
                <w:color w:val="000000"/>
                <w:kern w:val="0"/>
                <w:sz w:val="21"/>
                <w:szCs w:val="21"/>
                <w:lang w:val="en-US" w:eastAsia="zh-CN"/>
              </w:rPr>
              <w:t>102%。</w:t>
            </w:r>
            <w:r>
              <w:rPr>
                <w:rFonts w:hint="eastAsia" w:ascii="仿宋" w:hAnsi="仿宋" w:eastAsia="仿宋" w:cs="仿宋"/>
                <w:color w:val="000000"/>
                <w:kern w:val="0"/>
                <w:sz w:val="21"/>
                <w:szCs w:val="21"/>
                <w:lang w:eastAsia="zh-CN"/>
              </w:rPr>
              <w:t>其中：</w:t>
            </w:r>
            <w:r>
              <w:rPr>
                <w:rFonts w:hint="eastAsia" w:ascii="仿宋" w:hAnsi="仿宋" w:eastAsia="仿宋" w:cs="仿宋"/>
                <w:color w:val="000000"/>
                <w:kern w:val="0"/>
                <w:sz w:val="21"/>
                <w:szCs w:val="21"/>
              </w:rPr>
              <w:t>基本支出</w:t>
            </w:r>
            <w:r>
              <w:rPr>
                <w:rFonts w:hint="eastAsia" w:ascii="仿宋" w:hAnsi="仿宋" w:eastAsia="仿宋" w:cs="仿宋"/>
                <w:color w:val="000000"/>
                <w:kern w:val="0"/>
                <w:sz w:val="21"/>
                <w:szCs w:val="21"/>
                <w:lang w:val="en-US" w:eastAsia="zh-CN"/>
              </w:rPr>
              <w:t>可用指标共2734.165万元，本年</w:t>
            </w:r>
            <w:r>
              <w:rPr>
                <w:rFonts w:hint="eastAsia" w:ascii="仿宋" w:hAnsi="仿宋" w:eastAsia="仿宋" w:cs="仿宋"/>
                <w:color w:val="000000"/>
                <w:kern w:val="0"/>
                <w:sz w:val="21"/>
                <w:szCs w:val="21"/>
                <w:lang w:eastAsia="zh-CN"/>
              </w:rPr>
              <w:t>基本</w:t>
            </w:r>
            <w:r>
              <w:rPr>
                <w:rFonts w:hint="eastAsia" w:ascii="仿宋" w:hAnsi="仿宋" w:eastAsia="仿宋" w:cs="仿宋"/>
                <w:color w:val="000000"/>
                <w:kern w:val="0"/>
                <w:sz w:val="21"/>
                <w:szCs w:val="21"/>
                <w:lang w:val="en-US" w:eastAsia="zh-CN"/>
              </w:rPr>
              <w:t>支出</w:t>
            </w:r>
            <w:r>
              <w:rPr>
                <w:rFonts w:hint="eastAsia" w:ascii="仿宋" w:hAnsi="仿宋" w:eastAsia="仿宋" w:cs="仿宋"/>
                <w:color w:val="000000"/>
                <w:kern w:val="0"/>
                <w:sz w:val="21"/>
                <w:szCs w:val="21"/>
                <w:lang w:eastAsia="zh-CN"/>
              </w:rPr>
              <w:t>金额共</w:t>
            </w:r>
            <w:r>
              <w:rPr>
                <w:rFonts w:hint="eastAsia" w:ascii="仿宋" w:hAnsi="仿宋" w:eastAsia="仿宋" w:cs="仿宋"/>
                <w:color w:val="000000"/>
                <w:kern w:val="0"/>
                <w:sz w:val="21"/>
                <w:szCs w:val="21"/>
                <w:lang w:val="en-US" w:eastAsia="zh-CN"/>
              </w:rPr>
              <w:t>3202.4736万元，收支预算</w:t>
            </w:r>
            <w:r>
              <w:rPr>
                <w:rFonts w:hint="eastAsia" w:ascii="仿宋" w:hAnsi="仿宋" w:eastAsia="仿宋" w:cs="仿宋"/>
                <w:color w:val="000000"/>
                <w:kern w:val="0"/>
                <w:sz w:val="21"/>
                <w:szCs w:val="21"/>
              </w:rPr>
              <w:t>差额-</w:t>
            </w:r>
            <w:r>
              <w:rPr>
                <w:rFonts w:hint="eastAsia" w:ascii="仿宋" w:hAnsi="仿宋" w:eastAsia="仿宋" w:cs="仿宋"/>
                <w:color w:val="000000"/>
                <w:kern w:val="0"/>
                <w:sz w:val="21"/>
                <w:szCs w:val="21"/>
                <w:lang w:val="en-US" w:eastAsia="zh-CN"/>
              </w:rPr>
              <w:t>468.3087</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基本支出</w:t>
            </w:r>
            <w:r>
              <w:rPr>
                <w:rFonts w:hint="eastAsia" w:ascii="仿宋" w:hAnsi="仿宋" w:eastAsia="仿宋" w:cs="仿宋"/>
                <w:color w:val="000000"/>
                <w:kern w:val="0"/>
                <w:sz w:val="21"/>
                <w:szCs w:val="21"/>
              </w:rPr>
              <w:t>预算执行率11</w:t>
            </w:r>
            <w:r>
              <w:rPr>
                <w:rFonts w:hint="eastAsia" w:ascii="仿宋" w:hAnsi="仿宋" w:eastAsia="仿宋" w:cs="仿宋"/>
                <w:color w:val="000000"/>
                <w:kern w:val="0"/>
                <w:sz w:val="21"/>
                <w:szCs w:val="21"/>
                <w:lang w:val="en-US" w:eastAsia="zh-CN"/>
              </w:rPr>
              <w:t>7</w:t>
            </w:r>
            <w:r>
              <w:rPr>
                <w:rFonts w:hint="eastAsia" w:ascii="仿宋" w:hAnsi="仿宋" w:eastAsia="仿宋" w:cs="仿宋"/>
                <w:color w:val="000000"/>
                <w:kern w:val="0"/>
                <w:sz w:val="21"/>
                <w:szCs w:val="21"/>
              </w:rPr>
              <w:t>%</w:t>
            </w:r>
            <w:r>
              <w:rPr>
                <w:rFonts w:hint="eastAsia" w:ascii="仿宋" w:hAnsi="仿宋" w:eastAsia="仿宋" w:cs="仿宋"/>
                <w:color w:val="000000"/>
                <w:kern w:val="0"/>
                <w:sz w:val="21"/>
                <w:szCs w:val="21"/>
                <w:lang w:eastAsia="zh-CN"/>
              </w:rPr>
              <w:t>；</w:t>
            </w:r>
            <w:r>
              <w:rPr>
                <w:rFonts w:hint="eastAsia" w:ascii="仿宋" w:hAnsi="仿宋" w:eastAsia="仿宋" w:cs="仿宋"/>
                <w:color w:val="000000"/>
                <w:kern w:val="0"/>
                <w:sz w:val="21"/>
                <w:szCs w:val="21"/>
              </w:rPr>
              <w:t>县级项目</w:t>
            </w:r>
            <w:r>
              <w:rPr>
                <w:rFonts w:hint="eastAsia" w:ascii="仿宋" w:hAnsi="仿宋" w:eastAsia="仿宋" w:cs="仿宋"/>
                <w:color w:val="000000"/>
                <w:kern w:val="0"/>
                <w:sz w:val="21"/>
                <w:szCs w:val="21"/>
                <w:lang w:eastAsia="zh-CN"/>
              </w:rPr>
              <w:t>支出可用指标</w:t>
            </w:r>
            <w:r>
              <w:rPr>
                <w:rFonts w:hint="eastAsia" w:ascii="仿宋" w:hAnsi="仿宋" w:eastAsia="仿宋" w:cs="仿宋"/>
                <w:color w:val="000000"/>
                <w:kern w:val="0"/>
                <w:sz w:val="21"/>
                <w:szCs w:val="21"/>
              </w:rPr>
              <w:t>共计</w:t>
            </w:r>
            <w:r>
              <w:rPr>
                <w:rFonts w:hint="eastAsia" w:ascii="仿宋" w:hAnsi="仿宋" w:eastAsia="仿宋" w:cs="仿宋"/>
                <w:color w:val="000000"/>
                <w:kern w:val="0"/>
                <w:sz w:val="21"/>
                <w:szCs w:val="21"/>
                <w:lang w:val="en-US" w:eastAsia="zh-CN"/>
              </w:rPr>
              <w:t>2078.8275</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，其中</w:t>
            </w:r>
            <w:r>
              <w:rPr>
                <w:rFonts w:hint="eastAsia" w:ascii="仿宋" w:hAnsi="仿宋" w:eastAsia="仿宋" w:cs="仿宋"/>
                <w:color w:val="000000"/>
                <w:kern w:val="0"/>
                <w:sz w:val="21"/>
                <w:szCs w:val="21"/>
              </w:rPr>
              <w:t>30万元以上项目性专项</w:t>
            </w:r>
            <w:r>
              <w:rPr>
                <w:rFonts w:hint="eastAsia" w:ascii="仿宋" w:hAnsi="仿宋" w:eastAsia="仿宋" w:cs="仿宋"/>
                <w:color w:val="000000"/>
                <w:kern w:val="0"/>
                <w:sz w:val="21"/>
                <w:szCs w:val="21"/>
                <w:lang w:val="en-US" w:eastAsia="zh-CN"/>
              </w:rPr>
              <w:t>6</w:t>
            </w:r>
            <w:r>
              <w:rPr>
                <w:rFonts w:hint="eastAsia" w:ascii="仿宋" w:hAnsi="仿宋" w:eastAsia="仿宋" w:cs="仿宋"/>
                <w:color w:val="000000"/>
                <w:kern w:val="0"/>
                <w:sz w:val="21"/>
                <w:szCs w:val="21"/>
              </w:rPr>
              <w:t>个，项目资金</w:t>
            </w:r>
            <w:r>
              <w:rPr>
                <w:rFonts w:hint="eastAsia" w:ascii="仿宋" w:hAnsi="仿宋" w:eastAsia="仿宋" w:cs="仿宋"/>
                <w:color w:val="000000"/>
                <w:kern w:val="0"/>
                <w:sz w:val="21"/>
                <w:szCs w:val="21"/>
                <w:lang w:val="en-US" w:eastAsia="zh-CN"/>
              </w:rPr>
              <w:t>366</w:t>
            </w:r>
            <w:r>
              <w:rPr>
                <w:rFonts w:hint="eastAsia" w:ascii="仿宋" w:hAnsi="仿宋" w:eastAsia="仿宋" w:cs="仿宋"/>
                <w:color w:val="000000"/>
                <w:kern w:val="0"/>
                <w:sz w:val="21"/>
                <w:szCs w:val="21"/>
              </w:rPr>
              <w:t>万元；业务性专项2</w:t>
            </w:r>
            <w:r>
              <w:rPr>
                <w:rFonts w:hint="eastAsia" w:ascii="仿宋" w:hAnsi="仿宋" w:eastAsia="仿宋" w:cs="仿宋"/>
                <w:color w:val="000000"/>
                <w:kern w:val="0"/>
                <w:sz w:val="21"/>
                <w:szCs w:val="21"/>
                <w:lang w:val="en-US" w:eastAsia="zh-CN"/>
              </w:rPr>
              <w:t>1</w:t>
            </w:r>
            <w:r>
              <w:rPr>
                <w:rFonts w:hint="eastAsia" w:ascii="仿宋" w:hAnsi="仿宋" w:eastAsia="仿宋" w:cs="仿宋"/>
                <w:color w:val="000000"/>
                <w:kern w:val="0"/>
                <w:sz w:val="21"/>
                <w:szCs w:val="21"/>
              </w:rPr>
              <w:t>个，项目资金</w:t>
            </w:r>
            <w:r>
              <w:rPr>
                <w:rFonts w:hint="eastAsia" w:ascii="仿宋" w:hAnsi="仿宋" w:eastAsia="仿宋" w:cs="仿宋"/>
                <w:color w:val="000000"/>
                <w:kern w:val="0"/>
                <w:sz w:val="21"/>
                <w:szCs w:val="21"/>
                <w:lang w:val="en-US" w:eastAsia="zh-CN"/>
              </w:rPr>
              <w:t>1712.8275</w:t>
            </w:r>
            <w:r>
              <w:rPr>
                <w:rFonts w:hint="eastAsia" w:ascii="仿宋" w:hAnsi="仿宋" w:eastAsia="仿宋" w:cs="仿宋"/>
                <w:color w:val="000000"/>
                <w:kern w:val="0"/>
                <w:sz w:val="21"/>
                <w:szCs w:val="21"/>
              </w:rPr>
              <w:t>万元。</w:t>
            </w:r>
            <w:r>
              <w:rPr>
                <w:rFonts w:hint="eastAsia" w:ascii="仿宋" w:hAnsi="仿宋" w:eastAsia="仿宋" w:cs="仿宋"/>
                <w:color w:val="000000"/>
                <w:kern w:val="0"/>
                <w:sz w:val="21"/>
                <w:szCs w:val="21"/>
                <w:lang w:eastAsia="zh-CN"/>
              </w:rPr>
              <w:t>本年项目</w:t>
            </w:r>
            <w:r>
              <w:rPr>
                <w:rFonts w:hint="eastAsia" w:ascii="仿宋" w:hAnsi="仿宋" w:eastAsia="仿宋" w:cs="仿宋"/>
                <w:color w:val="000000"/>
                <w:kern w:val="0"/>
                <w:sz w:val="21"/>
                <w:szCs w:val="21"/>
              </w:rPr>
              <w:t>支出</w:t>
            </w:r>
            <w:r>
              <w:rPr>
                <w:rFonts w:hint="eastAsia" w:ascii="仿宋" w:hAnsi="仿宋" w:eastAsia="仿宋" w:cs="仿宋"/>
                <w:color w:val="000000"/>
                <w:kern w:val="0"/>
                <w:sz w:val="21"/>
                <w:szCs w:val="21"/>
                <w:lang w:eastAsia="zh-CN"/>
              </w:rPr>
              <w:t>金额共</w:t>
            </w:r>
            <w:r>
              <w:rPr>
                <w:rFonts w:hint="eastAsia" w:ascii="仿宋" w:hAnsi="仿宋" w:eastAsia="仿宋" w:cs="仿宋"/>
                <w:color w:val="000000"/>
                <w:kern w:val="0"/>
                <w:sz w:val="21"/>
                <w:szCs w:val="21"/>
                <w:lang w:val="en-US" w:eastAsia="zh-CN"/>
              </w:rPr>
              <w:t>1718.5275</w:t>
            </w:r>
            <w:r>
              <w:rPr>
                <w:rFonts w:hint="eastAsia" w:ascii="仿宋" w:hAnsi="仿宋" w:eastAsia="仿宋" w:cs="仿宋"/>
                <w:color w:val="000000"/>
                <w:kern w:val="0"/>
                <w:sz w:val="21"/>
                <w:szCs w:val="21"/>
              </w:rPr>
              <w:t>万元（不含县设专项），</w:t>
            </w:r>
            <w:r>
              <w:rPr>
                <w:rFonts w:hint="eastAsia" w:ascii="仿宋" w:hAnsi="仿宋" w:eastAsia="仿宋" w:cs="仿宋"/>
                <w:color w:val="000000"/>
                <w:kern w:val="0"/>
                <w:sz w:val="21"/>
                <w:szCs w:val="21"/>
                <w:lang w:eastAsia="zh-CN"/>
              </w:rPr>
              <w:t>项目支出</w:t>
            </w:r>
            <w:r>
              <w:rPr>
                <w:rFonts w:hint="eastAsia" w:ascii="仿宋" w:hAnsi="仿宋" w:eastAsia="仿宋" w:cs="仿宋"/>
                <w:color w:val="000000"/>
                <w:kern w:val="0"/>
                <w:sz w:val="21"/>
                <w:szCs w:val="21"/>
              </w:rPr>
              <w:t>预算执行率</w:t>
            </w:r>
            <w:r>
              <w:rPr>
                <w:rFonts w:hint="eastAsia" w:ascii="仿宋" w:hAnsi="仿宋" w:eastAsia="仿宋" w:cs="仿宋"/>
                <w:color w:val="000000"/>
                <w:kern w:val="0"/>
                <w:sz w:val="21"/>
                <w:szCs w:val="21"/>
                <w:lang w:val="en-US" w:eastAsia="zh-CN"/>
              </w:rPr>
              <w:t>82.7</w:t>
            </w:r>
            <w:r>
              <w:rPr>
                <w:rFonts w:hint="eastAsia" w:ascii="仿宋" w:hAnsi="仿宋" w:eastAsia="仿宋" w:cs="仿宋"/>
                <w:color w:val="000000"/>
                <w:kern w:val="0"/>
                <w:sz w:val="21"/>
                <w:szCs w:val="21"/>
              </w:rPr>
              <w:t>%</w:t>
            </w:r>
            <w:r>
              <w:rPr>
                <w:rFonts w:hint="eastAsia" w:ascii="仿宋" w:hAnsi="仿宋" w:eastAsia="仿宋" w:cs="仿宋"/>
                <w:color w:val="000000"/>
                <w:kern w:val="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2" w:hRule="atLeast"/>
          <w:jc w:val="center"/>
        </w:trPr>
        <w:tc>
          <w:tcPr>
            <w:tcW w:w="1384" w:type="dxa"/>
            <w:vMerge w:val="continue"/>
          </w:tcPr>
          <w:p>
            <w:pPr>
              <w:spacing w:line="300" w:lineRule="exact"/>
              <w:jc w:val="center"/>
              <w:rPr>
                <w:rFonts w:ascii="仿宋_GB2312" w:hAnsi="宋体" w:eastAsia="仿宋_GB2312" w:cs="宋体"/>
                <w:sz w:val="21"/>
                <w:szCs w:val="21"/>
              </w:rPr>
            </w:pP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绩效目标完成情况</w:t>
            </w:r>
          </w:p>
        </w:tc>
        <w:tc>
          <w:tcPr>
            <w:tcW w:w="5670" w:type="dxa"/>
            <w:vAlign w:val="center"/>
          </w:tcPr>
          <w:p>
            <w:pPr>
              <w:keepNext w:val="0"/>
              <w:keepLines w:val="0"/>
              <w:pageBreakBefore w:val="0"/>
              <w:widowControl w:val="0"/>
              <w:kinsoku/>
              <w:wordWrap/>
              <w:overflowPunct/>
              <w:topLinePunct w:val="0"/>
              <w:autoSpaceDE/>
              <w:autoSpaceDN/>
              <w:bidi w:val="0"/>
              <w:adjustRightInd/>
              <w:snapToGrid/>
              <w:spacing w:line="320" w:lineRule="exact"/>
              <w:ind w:firstLine="420" w:firstLineChars="200"/>
              <w:jc w:val="left"/>
              <w:textAlignment w:val="auto"/>
              <w:outlineLvl w:val="0"/>
              <w:rPr>
                <w:rFonts w:hint="eastAsia" w:ascii="仿宋" w:hAnsi="仿宋" w:eastAsia="仿宋" w:cs="仿宋"/>
                <w:sz w:val="21"/>
                <w:szCs w:val="21"/>
              </w:rPr>
            </w:pPr>
            <w:r>
              <w:rPr>
                <w:rFonts w:hint="eastAsia" w:ascii="仿宋" w:hAnsi="仿宋" w:eastAsia="仿宋" w:cs="仿宋"/>
                <w:b w:val="0"/>
                <w:bCs w:val="0"/>
                <w:color w:val="000000"/>
                <w:kern w:val="0"/>
                <w:sz w:val="21"/>
                <w:szCs w:val="21"/>
                <w:lang w:val="en-US" w:eastAsia="zh-CN"/>
              </w:rPr>
              <w:t>2022年，县农业农村局紧扣县委、县政府决策部署，以全面实施乡村振兴战略为主线，聚焦聚力农业农村高质量发展，统筹推进乡村产业、乡村建设、乡村治理等各项工作再上台阶，保障了全县农业农村工作持续健康发展。“湘潭县：推动低镉大米增质增量增效”荣获省政府2022年综合大督查发现的典型经验做法表扬通报，落实粮食安全责任制和开展农村人居环境整治获省政府真抓实干督查激励表扬。</w:t>
            </w:r>
            <w:r>
              <w:rPr>
                <w:rFonts w:hint="eastAsia" w:ascii="仿宋" w:hAnsi="仿宋" w:eastAsia="仿宋" w:cs="仿宋"/>
                <w:color w:val="auto"/>
                <w:sz w:val="21"/>
                <w:szCs w:val="21"/>
                <w:highlight w:val="none"/>
              </w:rPr>
              <w:t>2022年全县完成农林牧渔总产值127.4亿元。前三季度我县地区生产总值413.9亿元，增速4.9%；地方一般公共预算收入11.93亿元，增速负10.09%；地方税收收入8.24亿元，增速负5.6%；规模以上工业企业营业收入（1-8月）471.5亿元，增速18.8%；城乡居民人均可支配收入24595元，增速6.5%。预计2022年农村居民人均可支配收入25396元，增速6.5%。二是粮猪等主要农产品稳产保供。粮食方面，目前已完成粮食种植面积126.95万亩，其中早稻42.86万亩，一季稻36.44万亩，晚稻44.65万亩，旱杂粮3万亩；完成高档优质稻28万亩；完成粮食总产60.32万吨。完成油菜面积26.38万亩，荣获2022年全省粮食生产（油菜）先进县。打造“统分结合”模式，分水乡分水村“三统一分”等3种模式入选市粮食生产领导小组编印的粮食生产“统分结合”典型案例汇编，《湘潭市：全面推广“统分法模式”走出粮食生产稳定面 增效新路子》获省委副书记朱国贤书面肯定性批示。全市“三夏”生产、耕地抛荒治理暨全面推广统分结合典型模式现场会议在石潭镇举办。畜禽方面，截至年底，全县生猪存栏90.8万头，出栏160.6万头，超额完成年度任务目标。荣获全省优秀生猪规模场监测县。</w:t>
            </w:r>
            <w:bookmarkStart w:id="0" w:name="_GoBack"/>
            <w:bookmarkEnd w:id="0"/>
            <w:r>
              <w:rPr>
                <w:rFonts w:hint="eastAsia" w:ascii="仿宋" w:hAnsi="仿宋" w:eastAsia="仿宋" w:cs="仿宋"/>
                <w:color w:val="auto"/>
                <w:sz w:val="21"/>
                <w:szCs w:val="21"/>
                <w:highlight w:val="none"/>
              </w:rPr>
              <w:t>蔬菜方面，完成播种面积33万亩，产量70万吨。巩固种植结构调整16.68万亩，主要是湘莲、旱杂粮、水果、蔬菜、中药材等。三是农村环境整治有序推进。共创建省级美丽乡村5个、市级美丽乡村5个、县级美丽乡村10个、美丽屋场40个，目前已投入3339.69万元，完成100%。完成2021年度续建改厕任务4599座。全面完成户厕摸底工作任务，登记户厕213207户。新建厕所和问题厕所整改任务都已全部完成。全县村庄“四清”清理公共区域的垃圾和卫生死角8965处，镇区五治整治7968处，河道整治569千米，拆除“空心房”“违建房”“危险房”86处。全面完成10个村以污水治理为主要内容的农村人居环境整任务。四是争资争项再次超额完成任务。完成争资争项约4.33亿元，提前超额完成县下达争资争项任务。成功申报湘莲国家现代农业产业园（全省唯一），获批资金7000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atLeast"/>
          <w:jc w:val="center"/>
        </w:trPr>
        <w:tc>
          <w:tcPr>
            <w:tcW w:w="1384" w:type="dxa"/>
            <w:vMerge w:val="restart"/>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存在的问题分析及改进措施</w:t>
            </w: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存在的问题</w:t>
            </w:r>
          </w:p>
        </w:tc>
        <w:tc>
          <w:tcPr>
            <w:tcW w:w="5670" w:type="dxa"/>
            <w:vAlign w:val="center"/>
          </w:tcPr>
          <w:p>
            <w:pPr>
              <w:widowControl/>
              <w:jc w:val="left"/>
              <w:rPr>
                <w:rFonts w:hint="eastAsia" w:ascii="仿宋" w:hAnsi="仿宋" w:eastAsia="仿宋" w:cs="仿宋"/>
                <w:sz w:val="21"/>
                <w:szCs w:val="21"/>
              </w:rPr>
            </w:pPr>
            <w:r>
              <w:rPr>
                <w:rFonts w:hint="eastAsia" w:ascii="仿宋" w:hAnsi="仿宋" w:eastAsia="仿宋" w:cs="仿宋"/>
                <w:color w:val="000000"/>
                <w:kern w:val="0"/>
                <w:sz w:val="21"/>
                <w:szCs w:val="21"/>
              </w:rPr>
              <w:t>1、因单位职能职责的增加，刚性支出和重点项目的投入也不断增加，</w:t>
            </w:r>
            <w:r>
              <w:rPr>
                <w:rFonts w:hint="eastAsia" w:ascii="仿宋" w:hAnsi="仿宋" w:eastAsia="仿宋" w:cs="仿宋"/>
                <w:color w:val="000000"/>
                <w:kern w:val="0"/>
                <w:sz w:val="21"/>
                <w:szCs w:val="21"/>
                <w:lang w:eastAsia="zh-CN"/>
              </w:rPr>
              <w:t>基本支出</w:t>
            </w:r>
            <w:r>
              <w:rPr>
                <w:rFonts w:hint="eastAsia" w:ascii="仿宋" w:hAnsi="仿宋" w:eastAsia="仿宋" w:cs="仿宋"/>
                <w:color w:val="000000"/>
                <w:kern w:val="0"/>
                <w:sz w:val="21"/>
                <w:szCs w:val="21"/>
              </w:rPr>
              <w:t>资金预算缺口越来越大。2、财政资金调度紧张，造成上级项目结转资金金额较大。3、项目资金拨付一般在下年1-2月份，因此实际拨付金额与报表数据存在一定差异。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1384" w:type="dxa"/>
            <w:vMerge w:val="continue"/>
          </w:tcPr>
          <w:p>
            <w:pPr>
              <w:spacing w:line="300" w:lineRule="exact"/>
              <w:jc w:val="center"/>
              <w:rPr>
                <w:rFonts w:ascii="仿宋_GB2312" w:hAnsi="宋体" w:eastAsia="仿宋_GB2312" w:cs="宋体"/>
                <w:sz w:val="21"/>
                <w:szCs w:val="21"/>
              </w:rPr>
            </w:pP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改进措施</w:t>
            </w:r>
          </w:p>
        </w:tc>
        <w:tc>
          <w:tcPr>
            <w:tcW w:w="5670" w:type="dxa"/>
            <w:vAlign w:val="center"/>
          </w:tcPr>
          <w:p>
            <w:pPr>
              <w:widowControl/>
              <w:jc w:val="left"/>
              <w:rPr>
                <w:rFonts w:hint="eastAsia" w:ascii="仿宋" w:hAnsi="仿宋" w:eastAsia="仿宋" w:cs="仿宋"/>
                <w:sz w:val="21"/>
                <w:szCs w:val="21"/>
              </w:rPr>
            </w:pPr>
            <w:r>
              <w:rPr>
                <w:rFonts w:hint="eastAsia" w:ascii="仿宋" w:hAnsi="仿宋" w:eastAsia="仿宋" w:cs="仿宋"/>
                <w:color w:val="000000"/>
                <w:kern w:val="0"/>
                <w:sz w:val="21"/>
                <w:szCs w:val="21"/>
              </w:rPr>
              <w:t>1、建议增收节支，尽量减少非生产性开支。2、加强对项目的日常管理和监督，做到专款专用，专项管理。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1384" w:type="dxa"/>
            <w:vMerge w:val="continue"/>
          </w:tcPr>
          <w:p>
            <w:pPr>
              <w:spacing w:line="300" w:lineRule="exact"/>
              <w:jc w:val="center"/>
              <w:rPr>
                <w:rFonts w:ascii="仿宋_GB2312" w:hAnsi="宋体" w:eastAsia="仿宋_GB2312" w:cs="宋体"/>
                <w:sz w:val="21"/>
                <w:szCs w:val="21"/>
              </w:rPr>
            </w:pPr>
          </w:p>
        </w:tc>
        <w:tc>
          <w:tcPr>
            <w:tcW w:w="1985" w:type="dxa"/>
            <w:vAlign w:val="center"/>
          </w:tcPr>
          <w:p>
            <w:pPr>
              <w:spacing w:line="300" w:lineRule="exact"/>
              <w:jc w:val="center"/>
              <w:rPr>
                <w:rFonts w:ascii="仿宋_GB2312" w:hAnsi="宋体" w:eastAsia="仿宋_GB2312" w:cs="宋体"/>
                <w:sz w:val="21"/>
                <w:szCs w:val="21"/>
              </w:rPr>
            </w:pPr>
            <w:r>
              <w:rPr>
                <w:rFonts w:hint="eastAsia" w:ascii="仿宋_GB2312" w:hAnsi="宋体" w:eastAsia="仿宋_GB2312" w:cs="宋体"/>
                <w:sz w:val="21"/>
                <w:szCs w:val="21"/>
              </w:rPr>
              <w:t>其他需要说明问题</w:t>
            </w:r>
          </w:p>
        </w:tc>
        <w:tc>
          <w:tcPr>
            <w:tcW w:w="5670" w:type="dxa"/>
            <w:vAlign w:val="center"/>
          </w:tcPr>
          <w:p>
            <w:pPr>
              <w:widowControl/>
              <w:jc w:val="center"/>
              <w:rPr>
                <w:rFonts w:ascii="仿宋_GB2312" w:hAnsi="宋体" w:eastAsia="仿宋_GB2312" w:cs="宋体"/>
                <w:sz w:val="21"/>
                <w:szCs w:val="21"/>
              </w:rPr>
            </w:pPr>
            <w:r>
              <w:rPr>
                <w:rFonts w:hint="eastAsia" w:ascii="仿宋_GB2312" w:hAnsi="宋体" w:eastAsia="仿宋_GB2312" w:cs="宋体"/>
                <w:color w:val="000000"/>
                <w:kern w:val="0"/>
                <w:sz w:val="21"/>
                <w:szCs w:val="21"/>
              </w:rPr>
              <w:t>无</w:t>
            </w:r>
          </w:p>
        </w:tc>
      </w:tr>
    </w:tbl>
    <w:p>
      <w:pPr>
        <w:widowControl/>
        <w:jc w:val="left"/>
        <w:rPr>
          <w:rFonts w:hint="eastAsia" w:ascii="黑体" w:hAnsi="黑体" w:eastAsia="黑体" w:cs="黑体"/>
          <w:color w:val="00000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lMTQzOGVkNTE4YjQ0OTkzODVkM2Y1YmQyM2Y5MjUifQ=="/>
  </w:docVars>
  <w:rsids>
    <w:rsidRoot w:val="00A475BD"/>
    <w:rsid w:val="0002540F"/>
    <w:rsid w:val="000353DE"/>
    <w:rsid w:val="000C2DBF"/>
    <w:rsid w:val="000E66F4"/>
    <w:rsid w:val="001004FA"/>
    <w:rsid w:val="0013438E"/>
    <w:rsid w:val="001500E8"/>
    <w:rsid w:val="001B7BDA"/>
    <w:rsid w:val="00236DD1"/>
    <w:rsid w:val="00242E12"/>
    <w:rsid w:val="00296D8F"/>
    <w:rsid w:val="002F4291"/>
    <w:rsid w:val="00320A9A"/>
    <w:rsid w:val="00357EF6"/>
    <w:rsid w:val="003856F7"/>
    <w:rsid w:val="003B008C"/>
    <w:rsid w:val="003E4AE1"/>
    <w:rsid w:val="004A7D07"/>
    <w:rsid w:val="004C58C8"/>
    <w:rsid w:val="004E4B92"/>
    <w:rsid w:val="0057187B"/>
    <w:rsid w:val="005B19B1"/>
    <w:rsid w:val="005B4ECE"/>
    <w:rsid w:val="00603C78"/>
    <w:rsid w:val="007B3ED6"/>
    <w:rsid w:val="007E0D82"/>
    <w:rsid w:val="007E5C6E"/>
    <w:rsid w:val="007F32B6"/>
    <w:rsid w:val="008218DB"/>
    <w:rsid w:val="00846C15"/>
    <w:rsid w:val="008733F8"/>
    <w:rsid w:val="008C2819"/>
    <w:rsid w:val="008D7ED7"/>
    <w:rsid w:val="00906F43"/>
    <w:rsid w:val="00953779"/>
    <w:rsid w:val="00997D22"/>
    <w:rsid w:val="009C34C3"/>
    <w:rsid w:val="009F21A8"/>
    <w:rsid w:val="00A475BD"/>
    <w:rsid w:val="00A75D37"/>
    <w:rsid w:val="00AB2508"/>
    <w:rsid w:val="00B16EF2"/>
    <w:rsid w:val="00B269E9"/>
    <w:rsid w:val="00B27412"/>
    <w:rsid w:val="00BB4084"/>
    <w:rsid w:val="00BC0452"/>
    <w:rsid w:val="00BF3DDB"/>
    <w:rsid w:val="00C43E6F"/>
    <w:rsid w:val="00CB3C29"/>
    <w:rsid w:val="00CC2CCE"/>
    <w:rsid w:val="00D36999"/>
    <w:rsid w:val="00D43044"/>
    <w:rsid w:val="00D4314B"/>
    <w:rsid w:val="00D72B76"/>
    <w:rsid w:val="00DB4326"/>
    <w:rsid w:val="00E411BB"/>
    <w:rsid w:val="00E6535C"/>
    <w:rsid w:val="00EC4B7B"/>
    <w:rsid w:val="00EE4C37"/>
    <w:rsid w:val="00F76D0E"/>
    <w:rsid w:val="04196E78"/>
    <w:rsid w:val="0A9A2EBA"/>
    <w:rsid w:val="0EE1347F"/>
    <w:rsid w:val="1075091F"/>
    <w:rsid w:val="1627656C"/>
    <w:rsid w:val="1778035A"/>
    <w:rsid w:val="1CD24445"/>
    <w:rsid w:val="25AB4626"/>
    <w:rsid w:val="25B032A3"/>
    <w:rsid w:val="27032260"/>
    <w:rsid w:val="27E807D6"/>
    <w:rsid w:val="286D195A"/>
    <w:rsid w:val="2DAF4226"/>
    <w:rsid w:val="43B10992"/>
    <w:rsid w:val="4EE17AA5"/>
    <w:rsid w:val="507E3034"/>
    <w:rsid w:val="539A5125"/>
    <w:rsid w:val="54990D26"/>
    <w:rsid w:val="57B74633"/>
    <w:rsid w:val="58D86743"/>
    <w:rsid w:val="605B407E"/>
    <w:rsid w:val="60AA2DAD"/>
    <w:rsid w:val="79787A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Title"/>
    <w:basedOn w:val="1"/>
    <w:next w:val="1"/>
    <w:qFormat/>
    <w:uiPriority w:val="0"/>
    <w:pPr>
      <w:snapToGrid w:val="0"/>
      <w:jc w:val="center"/>
      <w:outlineLvl w:val="0"/>
    </w:pPr>
    <w:rPr>
      <w:rFonts w:ascii="方正小标宋_GBK" w:hAnsi="方正小标宋_GBK" w:eastAsia="方正小标宋_GBK" w:cs="Arial"/>
      <w:b/>
      <w:color w:val="000000"/>
      <w:sz w:val="44"/>
      <w:szCs w:val="44"/>
    </w:rPr>
  </w:style>
  <w:style w:type="paragraph" w:styleId="4">
    <w:name w:val="footer"/>
    <w:basedOn w:val="1"/>
    <w:link w:val="11"/>
    <w:semiHidden/>
    <w:unhideWhenUsed/>
    <w:qFormat/>
    <w:uiPriority w:val="99"/>
    <w:pPr>
      <w:tabs>
        <w:tab w:val="center" w:pos="4153"/>
        <w:tab w:val="right" w:pos="8306"/>
      </w:tabs>
      <w:snapToGrid w:val="0"/>
      <w:jc w:val="left"/>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jc w:val="left"/>
    </w:pPr>
    <w:rPr>
      <w:rFonts w:ascii="宋体" w:hAnsi="宋体" w:cs="宋体"/>
      <w:kern w:val="0"/>
      <w:sz w:val="24"/>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页眉 Char"/>
    <w:basedOn w:val="9"/>
    <w:link w:val="5"/>
    <w:semiHidden/>
    <w:qFormat/>
    <w:uiPriority w:val="99"/>
    <w:rPr>
      <w:rFonts w:ascii="Times New Roman" w:hAnsi="Times New Roman" w:eastAsia="宋体" w:cs="Times New Roman"/>
      <w:sz w:val="18"/>
      <w:szCs w:val="18"/>
    </w:rPr>
  </w:style>
  <w:style w:type="character" w:customStyle="1" w:styleId="11">
    <w:name w:val="页脚 Char"/>
    <w:basedOn w:val="9"/>
    <w:link w:val="4"/>
    <w:semiHidden/>
    <w:qFormat/>
    <w:uiPriority w:val="99"/>
    <w:rPr>
      <w:rFonts w:ascii="Times New Roman" w:hAnsi="Times New Roman" w:eastAsia="宋体" w:cs="Times New Roman"/>
      <w:sz w:val="18"/>
      <w:szCs w:val="18"/>
    </w:rPr>
  </w:style>
  <w:style w:type="paragraph" w:styleId="12">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3">
    <w:name w:val="paragraph"/>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99A78B5-739D-4030-98E8-A2B49E84FAFE}">
  <ds:schemaRefs/>
</ds:datastoreItem>
</file>

<file path=docProps/app.xml><?xml version="1.0" encoding="utf-8"?>
<Properties xmlns="http://schemas.openxmlformats.org/officeDocument/2006/extended-properties" xmlns:vt="http://schemas.openxmlformats.org/officeDocument/2006/docPropsVTypes">
  <Template>Normal</Template>
  <Company>湘潭县农业局</Company>
  <Pages>4</Pages>
  <Words>3061</Words>
  <Characters>3387</Characters>
  <Lines>78</Lines>
  <Paragraphs>22</Paragraphs>
  <TotalTime>0</TotalTime>
  <ScaleCrop>false</ScaleCrop>
  <LinksUpToDate>false</LinksUpToDate>
  <CharactersWithSpaces>3389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2020-07-22T10:00:00Z</dcterms:created>
  <dc:creator>1D507-2</dc:creator>
  <cp:lastModifiedBy>Administrator</cp:lastModifiedBy>
  <cp:lastPrinted>2023-05-24T03:05:00Z</cp:lastPrinted>
  <dcterms:modified xsi:type="dcterms:W3CDTF">2023-05-30T06:49:52Z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A96AFAEA83E14701B7B0E15CD308047F_13</vt:lpwstr>
  </property>
</Properties>
</file>