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bCs/>
          <w:sz w:val="44"/>
          <w:szCs w:val="44"/>
          <w:lang w:val="en-US" w:eastAsia="zh-CN"/>
        </w:rPr>
      </w:pPr>
      <w:bookmarkStart w:id="0" w:name="_Hlk49000069"/>
      <w:r>
        <w:rPr>
          <w:rFonts w:hint="eastAsia" w:ascii="方正小标宋_GBK" w:hAnsi="方正小标宋_GBK" w:eastAsia="方正小标宋_GBK" w:cs="方正小标宋_GBK"/>
          <w:b/>
          <w:bCs/>
          <w:sz w:val="44"/>
          <w:szCs w:val="44"/>
          <w:lang w:val="en-US" w:eastAsia="zh-CN"/>
        </w:rPr>
        <w:t>湘潭县</w:t>
      </w:r>
      <w:r>
        <w:rPr>
          <w:rFonts w:hint="eastAsia" w:ascii="方正小标宋_GBK" w:hAnsi="方正小标宋_GBK" w:eastAsia="方正小标宋_GBK" w:cs="方正小标宋_GBK"/>
          <w:b/>
          <w:bCs/>
          <w:sz w:val="44"/>
          <w:szCs w:val="44"/>
          <w:lang w:val="en-US" w:eastAsia="zh-CN"/>
        </w:rPr>
        <w:t>排头乡</w:t>
      </w:r>
      <w:r>
        <w:rPr>
          <w:rFonts w:hint="eastAsia" w:ascii="方正小标宋_GBK" w:hAnsi="方正小标宋_GBK" w:eastAsia="方正小标宋_GBK" w:cs="方正小标宋_GBK"/>
          <w:b/>
          <w:bCs/>
          <w:sz w:val="44"/>
          <w:szCs w:val="44"/>
          <w:lang w:val="en-US" w:eastAsia="zh-CN"/>
        </w:rPr>
        <w:t>人民政府</w:t>
      </w:r>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20</w:t>
      </w:r>
      <w:r>
        <w:rPr>
          <w:rFonts w:hint="eastAsia" w:ascii="方正小标宋_GBK" w:hAnsi="方正小标宋_GBK" w:eastAsia="方正小标宋_GBK" w:cs="方正小标宋_GBK"/>
          <w:b/>
          <w:bCs/>
          <w:sz w:val="44"/>
          <w:szCs w:val="44"/>
          <w:lang w:val="en-US" w:eastAsia="zh-CN"/>
        </w:rPr>
        <w:t>22</w:t>
      </w:r>
      <w:r>
        <w:rPr>
          <w:rFonts w:hint="eastAsia" w:ascii="方正小标宋_GBK" w:hAnsi="方正小标宋_GBK" w:eastAsia="方正小标宋_GBK" w:cs="方正小标宋_GBK"/>
          <w:b/>
          <w:bCs/>
          <w:sz w:val="44"/>
          <w:szCs w:val="44"/>
          <w:lang w:val="en-US" w:eastAsia="zh-CN"/>
        </w:rPr>
        <w:t>年</w:t>
      </w:r>
      <w:r>
        <w:rPr>
          <w:rFonts w:hint="eastAsia" w:ascii="方正小标宋_GBK" w:hAnsi="方正小标宋_GBK" w:eastAsia="方正小标宋_GBK" w:cs="方正小标宋_GBK"/>
          <w:b/>
          <w:bCs/>
          <w:sz w:val="44"/>
          <w:szCs w:val="44"/>
          <w:lang w:val="en-US" w:eastAsia="zh-CN"/>
        </w:rPr>
        <w:t>度部门</w:t>
      </w:r>
      <w:r>
        <w:rPr>
          <w:rFonts w:hint="eastAsia" w:ascii="方正小标宋_GBK" w:hAnsi="方正小标宋_GBK" w:eastAsia="方正小标宋_GBK" w:cs="方正小标宋_GBK"/>
          <w:b/>
          <w:bCs/>
          <w:sz w:val="44"/>
          <w:szCs w:val="44"/>
          <w:lang w:val="en-US" w:eastAsia="zh-CN"/>
        </w:rPr>
        <w:t>整体支出绩效</w:t>
      </w:r>
      <w:r>
        <w:rPr>
          <w:rFonts w:hint="eastAsia" w:ascii="方正小标宋_GBK" w:hAnsi="方正小标宋_GBK" w:eastAsia="方正小标宋_GBK" w:cs="方正小标宋_GBK"/>
          <w:b/>
          <w:bCs/>
          <w:sz w:val="44"/>
          <w:szCs w:val="44"/>
          <w:lang w:val="en-US" w:eastAsia="zh-CN"/>
        </w:rPr>
        <w:t>评价</w:t>
      </w:r>
      <w:r>
        <w:rPr>
          <w:rFonts w:hint="eastAsia" w:ascii="方正小标宋_GBK" w:hAnsi="方正小标宋_GBK" w:eastAsia="方正小标宋_GBK" w:cs="方正小标宋_GBK"/>
          <w:b/>
          <w:bCs/>
          <w:sz w:val="44"/>
          <w:szCs w:val="44"/>
          <w:lang w:val="en-US" w:eastAsia="zh-CN"/>
        </w:rPr>
        <w:t>自评报告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为全面推进预算绩效管理</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加强财政资金管理，强化支出责任，提高财政资金的使用效益，建立科学、合理的财政支出绩效评价管理体系，我单位根据</w:t>
      </w:r>
      <w:r>
        <w:rPr>
          <w:rFonts w:hint="eastAsia" w:ascii="仿宋_GB2312" w:hAnsi="仿宋_GB2312" w:eastAsia="仿宋_GB2312" w:cs="仿宋_GB2312"/>
          <w:sz w:val="32"/>
          <w:szCs w:val="32"/>
          <w:lang w:eastAsia="zh-CN"/>
        </w:rPr>
        <w:t>《预算法》的规定及《中共中央国务院关于全面实施预算绩效管理的意见》，按照《湘潭县预算支出绩效评价管理办法》（潭财发〔2021〕32号）《湘</w:t>
      </w:r>
      <w:bookmarkStart w:id="1" w:name="_GoBack"/>
      <w:bookmarkEnd w:id="1"/>
      <w:r>
        <w:rPr>
          <w:rFonts w:hint="eastAsia" w:ascii="仿宋_GB2312" w:hAnsi="仿宋_GB2312" w:eastAsia="仿宋_GB2312" w:cs="仿宋_GB2312"/>
          <w:sz w:val="32"/>
          <w:szCs w:val="32"/>
          <w:lang w:eastAsia="zh-CN"/>
        </w:rPr>
        <w:t>潭县202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年度预算绩效管理工作方案》的相关要求，</w:t>
      </w:r>
      <w:r>
        <w:rPr>
          <w:rFonts w:hint="eastAsia" w:ascii="仿宋_GB2312" w:hAnsi="仿宋_GB2312" w:eastAsia="仿宋_GB2312" w:cs="仿宋_GB2312"/>
          <w:sz w:val="32"/>
          <w:szCs w:val="32"/>
        </w:rPr>
        <w:t>遵循“科学规范、公正公开、分类管理、绩效相关”的原则，运用科学、合理的绩效评价方法，对</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年度部门预算整体支出进行了绩效评价自评。现将情况报告如下：</w:t>
      </w:r>
    </w:p>
    <w:p>
      <w:pPr>
        <w:numPr>
          <w:ilvl w:val="0"/>
          <w:numId w:val="1"/>
        </w:numPr>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部门基本情况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tLeast"/>
        <w:ind w:left="0" w:right="0" w:firstLine="42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排头乡，隶属于湖南省湘潭市湘潭县，地处</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"https://baike.so.com/doc/4997024-5221281.html"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湘潭县</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南部，东与</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"https://baike.so.com/doc/8523171-8843676.html"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锦石乡</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接壤，南与</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"https://baike.so.com/doc/8648143-8969458.html"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花石镇</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隔涓水相望，西与</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"https://baike.so.com/doc/6607884-6821671.html"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分水乡</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、湘乡市</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"https://baike.so.com/doc/9025662-9355481.html"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梅桥镇</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毗邻，北与</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"https://baike.so.com/doc/6690452-6904357.html"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乌石镇</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交界</w:t>
      </w:r>
      <w:r>
        <w:rPr>
          <w:rFonts w:hint="eastAsia" w:ascii="仿宋_GB2312" w:hAnsi="仿宋_GB2312" w:eastAsia="仿宋_GB2312" w:cs="仿宋_GB2312"/>
          <w:kern w:val="2"/>
          <w:sz w:val="32"/>
          <w:szCs w:val="32"/>
          <w:lang w:eastAsia="zh-CN" w:bidi="ar-SA"/>
        </w:rPr>
        <w:t>，</w:t>
      </w:r>
      <w:r>
        <w:rPr>
          <w:rFonts w:hint="eastAsia" w:ascii="仿宋_GB2312" w:hAnsi="仿宋_GB2312" w:eastAsia="仿宋_GB2312" w:cs="仿宋_GB2312"/>
          <w:kern w:val="2"/>
          <w:sz w:val="32"/>
          <w:szCs w:val="32"/>
          <w:lang w:val="en-US" w:eastAsia="zh-CN" w:bidi="ar-SA"/>
        </w:rPr>
        <w:t>行政区域面积128.88平方千米，辖18个行政村， 总人口56887人，乡人民政府驻排头乡同心村。</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tLeast"/>
        <w:ind w:left="0" w:right="0" w:firstLine="42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val="en-US" w:eastAsia="zh-CN"/>
        </w:rPr>
        <w:t>（一）机构设置及在职人员情况</w:t>
      </w:r>
    </w:p>
    <w:p>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ED7D31" w:themeColor="accent2"/>
          <w:sz w:val="32"/>
          <w:szCs w:val="32"/>
          <w:lang w:val="en-US" w:eastAsia="zh-CN"/>
          <w14:textFill>
            <w14:solidFill>
              <w14:schemeClr w14:val="accent2"/>
            </w14:solidFill>
          </w14:textFill>
        </w:rPr>
      </w:pPr>
      <w:r>
        <w:rPr>
          <w:rFonts w:hint="eastAsia" w:ascii="仿宋_GB2312" w:hAnsi="仿宋_GB2312" w:eastAsia="仿宋_GB2312" w:cs="仿宋_GB2312"/>
          <w:sz w:val="32"/>
          <w:szCs w:val="32"/>
          <w:lang w:val="en-US" w:eastAsia="zh-CN"/>
        </w:rPr>
        <w:t>本单位系正科级行政机关，办公地址湖南省湘潭县</w:t>
      </w:r>
      <w:r>
        <w:rPr>
          <w:rFonts w:hint="eastAsia" w:ascii="仿宋_GB2312" w:hAnsi="仿宋_GB2312" w:eastAsia="仿宋_GB2312" w:cs="仿宋_GB2312"/>
          <w:kern w:val="2"/>
          <w:sz w:val="32"/>
          <w:szCs w:val="32"/>
          <w:lang w:val="en-US" w:eastAsia="zh-CN" w:bidi="ar-SA"/>
        </w:rPr>
        <w:t>排头乡同心村。</w:t>
      </w:r>
      <w:r>
        <w:rPr>
          <w:rFonts w:hint="eastAsia" w:ascii="仿宋_GB2312" w:hAnsi="仿宋_GB2312" w:eastAsia="仿宋_GB2312" w:cs="仿宋_GB2312"/>
          <w:sz w:val="32"/>
          <w:szCs w:val="32"/>
          <w:lang w:val="en-US" w:eastAsia="zh-CN"/>
        </w:rPr>
        <w:t>根据职能履行的需要和湘潭县机构编制委员会办公室文件的</w:t>
      </w:r>
      <w:r>
        <w:rPr>
          <w:rFonts w:hint="eastAsia" w:ascii="仿宋_GB2312" w:hAnsi="仿宋_GB2312" w:eastAsia="仿宋_GB2312" w:cs="仿宋_GB2312"/>
          <w:sz w:val="32"/>
          <w:szCs w:val="32"/>
          <w:lang w:val="en-US" w:eastAsia="zh-Hans"/>
        </w:rPr>
        <w:t>规定</w:t>
      </w:r>
      <w:r>
        <w:rPr>
          <w:rFonts w:hint="eastAsia" w:ascii="仿宋_GB2312" w:hAnsi="仿宋_GB2312" w:eastAsia="仿宋_GB2312" w:cs="仿宋_GB2312"/>
          <w:sz w:val="32"/>
          <w:szCs w:val="32"/>
          <w:lang w:val="en-US" w:eastAsia="zh-CN"/>
        </w:rPr>
        <w:t>，共机构11个，其中行政</w:t>
      </w:r>
      <w:r>
        <w:rPr>
          <w:rFonts w:hint="eastAsia" w:ascii="仿宋_GB2312" w:hAnsi="仿宋_GB2312" w:eastAsia="仿宋_GB2312" w:cs="仿宋_GB2312"/>
          <w:sz w:val="32"/>
          <w:szCs w:val="32"/>
          <w:lang w:val="en-US" w:eastAsia="zh-Hans"/>
        </w:rPr>
        <w:t>机构</w:t>
      </w:r>
      <w:r>
        <w:rPr>
          <w:rFonts w:hint="eastAsia" w:ascii="仿宋_GB2312" w:hAnsi="仿宋_GB2312" w:eastAsia="仿宋_GB2312" w:cs="仿宋_GB2312"/>
          <w:sz w:val="32"/>
          <w:szCs w:val="32"/>
          <w:lang w:val="en-US" w:eastAsia="zh-CN"/>
        </w:rPr>
        <w:t>6个，包括：党政综合办公室、经济发展办、财政所、社会事务办公室、自然资源和生态环境办公室、社会治安和应急管理办公室；事业</w:t>
      </w:r>
      <w:r>
        <w:rPr>
          <w:rFonts w:hint="eastAsia" w:ascii="仿宋_GB2312" w:hAnsi="仿宋_GB2312" w:eastAsia="仿宋_GB2312" w:cs="仿宋_GB2312"/>
          <w:sz w:val="32"/>
          <w:szCs w:val="32"/>
          <w:lang w:val="en-US" w:eastAsia="zh-Hans"/>
        </w:rPr>
        <w:t>机构</w:t>
      </w:r>
      <w:r>
        <w:rPr>
          <w:rFonts w:hint="eastAsia" w:ascii="仿宋_GB2312" w:hAnsi="仿宋_GB2312" w:eastAsia="仿宋_GB2312" w:cs="仿宋_GB2312"/>
          <w:sz w:val="32"/>
          <w:szCs w:val="32"/>
          <w:lang w:val="en-US" w:eastAsia="zh-CN"/>
        </w:rPr>
        <w:t>5个，包括：社会事务综合服务中心、农业综合服务中心、政务（便民）服务中心、</w:t>
      </w:r>
      <w:r>
        <w:rPr>
          <w:rFonts w:hint="eastAsia" w:ascii="仿宋_GB2312" w:hAnsi="仿宋_GB2312" w:eastAsia="仿宋_GB2312" w:cs="仿宋_GB2312"/>
          <w:sz w:val="32"/>
          <w:szCs w:val="32"/>
          <w:lang w:val="en-US" w:eastAsia="zh-Hans"/>
        </w:rPr>
        <w:t>退役</w:t>
      </w:r>
      <w:r>
        <w:rPr>
          <w:rFonts w:hint="eastAsia" w:ascii="仿宋_GB2312" w:hAnsi="仿宋_GB2312" w:eastAsia="仿宋_GB2312" w:cs="仿宋_GB2312"/>
          <w:sz w:val="32"/>
          <w:szCs w:val="32"/>
          <w:lang w:val="en-US" w:eastAsia="zh-CN"/>
        </w:rPr>
        <w:t>军人服务站、乡政综合行政执法大队。共有干部职工编制数12</w:t>
      </w:r>
      <w:r>
        <w:rPr>
          <w:rFonts w:hint="default" w:ascii="仿宋_GB2312" w:hAnsi="仿宋_GB2312" w:eastAsia="仿宋_GB2312" w:cs="仿宋_GB2312"/>
          <w:sz w:val="32"/>
          <w:szCs w:val="32"/>
          <w:lang w:eastAsia="zh-CN"/>
        </w:rPr>
        <w:t>7</w:t>
      </w:r>
      <w:r>
        <w:rPr>
          <w:rFonts w:hint="eastAsia" w:ascii="仿宋_GB2312" w:hAnsi="仿宋_GB2312" w:eastAsia="仿宋_GB2312" w:cs="仿宋_GB2312"/>
          <w:sz w:val="32"/>
          <w:szCs w:val="32"/>
          <w:lang w:val="en-US" w:eastAsia="zh-CN"/>
        </w:rPr>
        <w:t>人，其中行政编制数</w:t>
      </w:r>
      <w:r>
        <w:rPr>
          <w:rFonts w:hint="default" w:ascii="仿宋_GB2312" w:hAnsi="仿宋_GB2312" w:eastAsia="仿宋_GB2312" w:cs="仿宋_GB2312"/>
          <w:sz w:val="32"/>
          <w:szCs w:val="32"/>
          <w:lang w:eastAsia="zh-CN"/>
        </w:rPr>
        <w:t>54</w:t>
      </w:r>
      <w:r>
        <w:rPr>
          <w:rFonts w:hint="eastAsia" w:ascii="仿宋_GB2312" w:hAnsi="仿宋_GB2312" w:eastAsia="仿宋_GB2312" w:cs="仿宋_GB2312"/>
          <w:sz w:val="32"/>
          <w:szCs w:val="32"/>
          <w:lang w:val="en-US" w:eastAsia="zh-CN"/>
        </w:rPr>
        <w:t>人，非参公事业人员7</w:t>
      </w:r>
      <w:r>
        <w:rPr>
          <w:rFonts w:hint="default" w:ascii="仿宋_GB2312" w:hAnsi="仿宋_GB2312" w:eastAsia="仿宋_GB2312" w:cs="仿宋_GB2312"/>
          <w:sz w:val="32"/>
          <w:szCs w:val="32"/>
          <w:lang w:eastAsia="zh-CN"/>
        </w:rPr>
        <w:t>3</w:t>
      </w:r>
      <w:r>
        <w:rPr>
          <w:rFonts w:hint="eastAsia" w:ascii="仿宋_GB2312" w:hAnsi="仿宋_GB2312" w:eastAsia="仿宋_GB2312" w:cs="仿宋_GB2312"/>
          <w:sz w:val="32"/>
          <w:szCs w:val="32"/>
          <w:lang w:val="en-US" w:eastAsia="zh-CN"/>
        </w:rPr>
        <w:t>人；目前实有在职人员12</w:t>
      </w:r>
      <w:r>
        <w:rPr>
          <w:rFonts w:hint="default" w:ascii="仿宋_GB2312" w:hAnsi="仿宋_GB2312" w:eastAsia="仿宋_GB2312" w:cs="仿宋_GB2312"/>
          <w:sz w:val="32"/>
          <w:szCs w:val="32"/>
          <w:lang w:eastAsia="zh-CN"/>
        </w:rPr>
        <w:t>7</w:t>
      </w:r>
      <w:r>
        <w:rPr>
          <w:rFonts w:hint="eastAsia" w:ascii="仿宋_GB2312" w:hAnsi="仿宋_GB2312" w:eastAsia="仿宋_GB2312" w:cs="仿宋_GB2312"/>
          <w:sz w:val="32"/>
          <w:szCs w:val="32"/>
          <w:lang w:val="en-US" w:eastAsia="zh-CN"/>
        </w:rPr>
        <w:t>人，退休人员 6</w:t>
      </w:r>
      <w:r>
        <w:rPr>
          <w:rFonts w:hint="default"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人。具体见下表：</w:t>
      </w:r>
    </w:p>
    <w:tbl>
      <w:tblPr>
        <w:tblStyle w:val="10"/>
        <w:tblW w:w="9421" w:type="dxa"/>
        <w:tblInd w:w="-2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15"/>
        <w:gridCol w:w="2069"/>
        <w:gridCol w:w="846"/>
        <w:gridCol w:w="1418"/>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8" w:hRule="atLeast"/>
        </w:trPr>
        <w:tc>
          <w:tcPr>
            <w:tcW w:w="3615" w:type="dxa"/>
            <w:vMerge w:val="restart"/>
          </w:tcPr>
          <w:p>
            <w:pPr>
              <w:keepNext w:val="0"/>
              <w:keepLines w:val="0"/>
              <w:pageBreakBefore w:val="0"/>
              <w:kinsoku/>
              <w:wordWrap/>
              <w:overflowPunct/>
              <w:topLinePunct w:val="0"/>
              <w:autoSpaceDE/>
              <w:autoSpaceDN/>
              <w:bidi w:val="0"/>
              <w:adjustRightInd/>
              <w:snapToGrid/>
              <w:spacing w:line="500" w:lineRule="exact"/>
              <w:ind w:firstLine="960" w:firstLineChars="300"/>
              <w:jc w:val="left"/>
              <w:textAlignment w:val="auto"/>
              <w:rPr>
                <w:rFonts w:hint="eastAsia" w:ascii="仿宋_GB2312" w:hAnsi="仿宋_GB2312" w:eastAsia="仿宋_GB2312" w:cs="仿宋_GB2312"/>
                <w:sz w:val="32"/>
                <w:szCs w:val="32"/>
                <w:vertAlign w:val="baseline"/>
                <w:lang w:val="en-US" w:eastAsia="zh-CN"/>
              </w:rPr>
            </w:pPr>
          </w:p>
          <w:p>
            <w:pPr>
              <w:keepNext w:val="0"/>
              <w:keepLines w:val="0"/>
              <w:pageBreakBefore w:val="0"/>
              <w:kinsoku/>
              <w:wordWrap/>
              <w:overflowPunct/>
              <w:topLinePunct w:val="0"/>
              <w:autoSpaceDE/>
              <w:autoSpaceDN/>
              <w:bidi w:val="0"/>
              <w:adjustRightInd/>
              <w:snapToGrid/>
              <w:spacing w:line="500" w:lineRule="exact"/>
              <w:ind w:firstLine="960" w:firstLineChars="300"/>
              <w:jc w:val="lef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站办所</w:t>
            </w:r>
          </w:p>
        </w:tc>
        <w:tc>
          <w:tcPr>
            <w:tcW w:w="2069" w:type="dxa"/>
            <w:vMerge w:val="restart"/>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核定编制人数</w:t>
            </w:r>
          </w:p>
        </w:tc>
        <w:tc>
          <w:tcPr>
            <w:tcW w:w="3737" w:type="dxa"/>
            <w:gridSpan w:val="3"/>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实际在职人数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1" w:hRule="atLeast"/>
        </w:trPr>
        <w:tc>
          <w:tcPr>
            <w:tcW w:w="3615" w:type="dxa"/>
            <w:vMerge w:val="continue"/>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vertAlign w:val="baseline"/>
                <w:lang w:val="en-US" w:eastAsia="zh-CN"/>
              </w:rPr>
            </w:pPr>
          </w:p>
        </w:tc>
        <w:tc>
          <w:tcPr>
            <w:tcW w:w="2069"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p>
        </w:tc>
        <w:tc>
          <w:tcPr>
            <w:tcW w:w="8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在编</w:t>
            </w:r>
          </w:p>
        </w:tc>
        <w:tc>
          <w:tcPr>
            <w:tcW w:w="1418"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其他人员</w:t>
            </w:r>
          </w:p>
        </w:tc>
        <w:tc>
          <w:tcPr>
            <w:tcW w:w="1473" w:type="dxa"/>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8"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kern w:val="2"/>
                <w:sz w:val="32"/>
                <w:szCs w:val="32"/>
                <w:lang w:val="en-US" w:eastAsia="zh-CN" w:bidi="ar-SA"/>
              </w:rPr>
              <w:t>党政综合办公室</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31</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28</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5</w:t>
            </w: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2"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经济发展办</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5</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eastAsia="zh-CN"/>
              </w:rPr>
              <w:t>5</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社会事务办公室</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7"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财政所</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12</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8</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eastAsia="zh-CN"/>
              </w:rPr>
              <w:t>2</w:t>
            </w: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4"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kern w:val="2"/>
                <w:sz w:val="32"/>
                <w:szCs w:val="32"/>
                <w:lang w:val="en-US" w:eastAsia="zh-CN" w:bidi="ar-SA"/>
              </w:rPr>
              <w:t>自然资源和生态环境办公室</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4"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kern w:val="2"/>
                <w:sz w:val="32"/>
                <w:szCs w:val="32"/>
                <w:lang w:val="en-US" w:eastAsia="zh-CN" w:bidi="ar-SA"/>
              </w:rPr>
              <w:t>社会治安和应急管理办公室</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5</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5</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8"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社会事务综合服务中心</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20</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18</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w:t>
            </w: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7"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农业综合服务中心</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23</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22</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w:t>
            </w: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3"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政务（便民）服务中心</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10</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8</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2</w:t>
            </w: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9"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Hans" w:bidi="ar-SA"/>
              </w:rPr>
              <w:t>退役</w:t>
            </w:r>
            <w:r>
              <w:rPr>
                <w:rFonts w:hint="eastAsia" w:ascii="仿宋_GB2312" w:hAnsi="仿宋_GB2312" w:eastAsia="仿宋_GB2312" w:cs="仿宋_GB2312"/>
                <w:kern w:val="2"/>
                <w:sz w:val="32"/>
                <w:szCs w:val="32"/>
                <w:lang w:val="en-US" w:eastAsia="zh-CN" w:bidi="ar-SA"/>
              </w:rPr>
              <w:t>军人服务站</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6"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综合行政执法大队</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13</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12</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vertAlign w:val="baseline"/>
                <w:lang w:val="en-US" w:eastAsia="zh-CN"/>
              </w:rPr>
            </w:pP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4" w:hRule="atLeast"/>
        </w:trPr>
        <w:tc>
          <w:tcPr>
            <w:tcW w:w="3615" w:type="dxa"/>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合  计</w:t>
            </w:r>
          </w:p>
        </w:tc>
        <w:tc>
          <w:tcPr>
            <w:tcW w:w="2069"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127</w:t>
            </w:r>
          </w:p>
        </w:tc>
        <w:tc>
          <w:tcPr>
            <w:tcW w:w="846"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114</w:t>
            </w:r>
          </w:p>
        </w:tc>
        <w:tc>
          <w:tcPr>
            <w:tcW w:w="141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13</w:t>
            </w:r>
          </w:p>
        </w:tc>
        <w:tc>
          <w:tcPr>
            <w:tcW w:w="1473"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vertAlign w:val="baseline"/>
                <w:lang w:eastAsia="zh-CN"/>
              </w:rPr>
            </w:pPr>
            <w:r>
              <w:rPr>
                <w:rFonts w:hint="default" w:ascii="仿宋_GB2312" w:hAnsi="仿宋_GB2312" w:eastAsia="仿宋_GB2312" w:cs="仿宋_GB2312"/>
                <w:sz w:val="32"/>
                <w:szCs w:val="32"/>
                <w:vertAlign w:val="baseline"/>
                <w:lang w:eastAsia="zh-CN"/>
              </w:rPr>
              <w:t>127</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tLeast"/>
        <w:ind w:left="0" w:right="0" w:firstLine="42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eastAsia="zh-CN"/>
        </w:rPr>
        <w:t>（</w:t>
      </w:r>
      <w:r>
        <w:rPr>
          <w:rFonts w:hint="eastAsia" w:ascii="华文楷体" w:hAnsi="华文楷体" w:eastAsia="华文楷体" w:cs="华文楷体"/>
          <w:b w:val="0"/>
          <w:bCs w:val="0"/>
          <w:sz w:val="32"/>
          <w:szCs w:val="32"/>
          <w:lang w:val="en-US" w:eastAsia="zh-Hans"/>
        </w:rPr>
        <w:t>二</w:t>
      </w:r>
      <w:r>
        <w:rPr>
          <w:rFonts w:hint="eastAsia" w:ascii="华文楷体" w:hAnsi="华文楷体" w:eastAsia="华文楷体" w:cs="华文楷体"/>
          <w:b w:val="0"/>
          <w:bCs w:val="0"/>
          <w:sz w:val="32"/>
          <w:szCs w:val="32"/>
          <w:lang w:eastAsia="zh-CN"/>
        </w:rPr>
        <w:t>）</w:t>
      </w:r>
      <w:r>
        <w:rPr>
          <w:rFonts w:hint="eastAsia" w:ascii="华文楷体" w:hAnsi="华文楷体" w:eastAsia="华文楷体" w:cs="华文楷体"/>
          <w:b w:val="0"/>
          <w:bCs w:val="0"/>
          <w:sz w:val="32"/>
          <w:szCs w:val="32"/>
          <w:lang w:val="en-US" w:eastAsia="zh-CN"/>
        </w:rPr>
        <w:t>单位主要职责</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贯彻执行党的路线、方针、政策和国家的各项法律、法规；负责辖区内地区性、群众性、公益性、社会性工作。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负责精神文明建设工作，积极组织以提高民众素质为目的的活动，树立文明新风。</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按照职责范围，负责辖区内的建设和管理、环境卫生、环境保护等监督、管理、服务工作。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负责辖区内的维护稳定及社会治安综合治理工作，依照有关规定做好出租屋和外来暂住人员的管理工作；负责民事调解，法律服务工作，维护居民的合法权益。</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负责村、居委会的建设和管理，积极开展辖区内服务工作，大力兴办福利企业，发动和组织镇区成员开展各类公益活动；负责拥军优属、优抚安置、社会救济、社会福利、社区文化、科普、体育、教育等工作。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发展辖区经济，为辖区经济组织提供人才、科技、信息和各类服务，以经济、法律和必要的行政手段推动辖区经济发展和维护市场经济秩序。</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负责计划生育、劳动就业、安全生产管理、初级卫生保健、民兵、兵役、侨务等工作。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指导和帮助居民委员会搞好组织建设和制度建设，发挥居民委员会的群众自治组织作用。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配合有关部门做好房屋拆迁、防汛、防风、防火、动物防疫、防震、防灾和抢险工作。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向县人民政府反映居民群众的意见和要求，办理人民群众来信来访事项。</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负责辖区内普法教育工作，维护老人、妇女儿童的合法权益。</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负责辖区内安全生产和消防工作的指导、监督。</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会同有关部门做好辖区内的企业服务、在地统计工作。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承办上级部门交办的其他事项。</w:t>
      </w:r>
    </w:p>
    <w:p>
      <w:pPr>
        <w:ind w:firstLine="640" w:firstLineChars="200"/>
        <w:rPr>
          <w:rFonts w:hint="eastAsia" w:ascii="宋体" w:hAnsi="宋体" w:eastAsia="黑体" w:cs="仿宋"/>
          <w:sz w:val="32"/>
          <w:szCs w:val="32"/>
          <w:lang w:eastAsia="zh-CN"/>
        </w:rPr>
      </w:pPr>
      <w:r>
        <w:rPr>
          <w:rFonts w:hint="eastAsia" w:ascii="宋体" w:hAnsi="宋体" w:eastAsia="黑体" w:cs="仿宋"/>
          <w:sz w:val="32"/>
          <w:szCs w:val="32"/>
        </w:rPr>
        <w:t>二、部门整体支出</w:t>
      </w:r>
      <w:r>
        <w:rPr>
          <w:rFonts w:hint="eastAsia" w:ascii="宋体" w:hAnsi="宋体" w:eastAsia="黑体" w:cs="仿宋"/>
          <w:sz w:val="32"/>
          <w:szCs w:val="32"/>
          <w:lang w:eastAsia="zh-CN"/>
        </w:rPr>
        <w:t>绩效情况分析</w:t>
      </w:r>
    </w:p>
    <w:p>
      <w:pPr>
        <w:pStyle w:val="4"/>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根据收集的绩效资料，结合被评价单位年度工作情况汇报材料及自评报告内容，本单位2022年部门整体支出主要绩效情况如下：</w:t>
      </w:r>
    </w:p>
    <w:p>
      <w:pPr>
        <w:pStyle w:val="4"/>
        <w:ind w:firstLine="640" w:firstLineChars="200"/>
        <w:rPr>
          <w:rFonts w:hint="eastAsia" w:ascii="华文楷体" w:hAnsi="华文楷体" w:eastAsia="华文楷体" w:cs="华文楷体"/>
          <w:b w:val="0"/>
          <w:bCs w:val="0"/>
          <w:kern w:val="2"/>
          <w:sz w:val="32"/>
          <w:szCs w:val="32"/>
          <w:lang w:val="en-US" w:eastAsia="zh-CN" w:bidi="ar-SA"/>
        </w:rPr>
      </w:pPr>
      <w:r>
        <w:rPr>
          <w:rFonts w:hint="eastAsia" w:ascii="华文楷体" w:hAnsi="华文楷体" w:eastAsia="华文楷体" w:cs="华文楷体"/>
          <w:b w:val="0"/>
          <w:bCs w:val="0"/>
          <w:kern w:val="2"/>
          <w:sz w:val="32"/>
          <w:szCs w:val="32"/>
          <w:lang w:val="en-US" w:eastAsia="zh-CN" w:bidi="ar-SA"/>
        </w:rPr>
        <w:t>（一）预算安排执行情况</w:t>
      </w:r>
    </w:p>
    <w:p>
      <w:pPr>
        <w:pStyle w:val="4"/>
        <w:ind w:firstLine="643" w:firstLineChars="200"/>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w:t>
      </w:r>
      <w:r>
        <w:rPr>
          <w:rFonts w:hint="default" w:hAnsi="仿宋_GB2312" w:cs="仿宋_GB2312"/>
          <w:b/>
          <w:bCs/>
          <w:kern w:val="2"/>
          <w:sz w:val="32"/>
          <w:szCs w:val="32"/>
          <w:lang w:eastAsia="zh-CN" w:bidi="ar-SA"/>
        </w:rPr>
        <w:t>.</w:t>
      </w:r>
      <w:r>
        <w:rPr>
          <w:rFonts w:hint="eastAsia" w:ascii="仿宋_GB2312" w:hAnsi="仿宋_GB2312" w:eastAsia="仿宋_GB2312" w:cs="仿宋_GB2312"/>
          <w:b/>
          <w:bCs/>
          <w:kern w:val="2"/>
          <w:sz w:val="32"/>
          <w:szCs w:val="32"/>
          <w:lang w:val="en-US" w:eastAsia="zh-CN" w:bidi="ar-SA"/>
        </w:rPr>
        <w:t>年初预算安排明细情况</w:t>
      </w:r>
    </w:p>
    <w:tbl>
      <w:tblPr>
        <w:tblStyle w:val="10"/>
        <w:tblW w:w="88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2"/>
        <w:gridCol w:w="4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预算支出类型</w:t>
            </w:r>
          </w:p>
        </w:tc>
        <w:tc>
          <w:tcPr>
            <w:tcW w:w="4475" w:type="dxa"/>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tcPr>
          <w:p>
            <w:pPr>
              <w:pStyle w:val="4"/>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一、基本支出</w:t>
            </w:r>
          </w:p>
        </w:tc>
        <w:tc>
          <w:tcPr>
            <w:tcW w:w="4475" w:type="dxa"/>
          </w:tcPr>
          <w:p>
            <w:pPr>
              <w:pStyle w:val="4"/>
              <w:jc w:val="center"/>
              <w:rPr>
                <w:rFonts w:hint="default"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vAlign w:val="top"/>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1、人员经费</w:t>
            </w:r>
          </w:p>
        </w:tc>
        <w:tc>
          <w:tcPr>
            <w:tcW w:w="4475"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22,663,973.77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vAlign w:val="top"/>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2、公用经费</w:t>
            </w:r>
          </w:p>
        </w:tc>
        <w:tc>
          <w:tcPr>
            <w:tcW w:w="4475"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14,779,746.80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tcPr>
          <w:p>
            <w:pPr>
              <w:pStyle w:val="4"/>
              <w:jc w:val="both"/>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基本支出小计</w:t>
            </w:r>
          </w:p>
        </w:tc>
        <w:tc>
          <w:tcPr>
            <w:tcW w:w="4475"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37,443,720.57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tcPr>
          <w:p>
            <w:pPr>
              <w:pStyle w:val="4"/>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二、项目支出</w:t>
            </w:r>
          </w:p>
        </w:tc>
        <w:tc>
          <w:tcPr>
            <w:tcW w:w="4475" w:type="dxa"/>
            <w:vAlign w:val="center"/>
          </w:tcPr>
          <w:p>
            <w:pPr>
              <w:pStyle w:val="4"/>
              <w:jc w:val="center"/>
              <w:rPr>
                <w:rFonts w:hint="default"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tcPr>
          <w:p>
            <w:pPr>
              <w:pStyle w:val="4"/>
              <w:jc w:val="both"/>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项目支出小计</w:t>
            </w:r>
          </w:p>
        </w:tc>
        <w:tc>
          <w:tcPr>
            <w:tcW w:w="4475"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2,150,000.00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2" w:type="dxa"/>
          </w:tcPr>
          <w:p>
            <w:pPr>
              <w:pStyle w:val="4"/>
              <w:jc w:val="both"/>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总计</w:t>
            </w:r>
          </w:p>
        </w:tc>
        <w:tc>
          <w:tcPr>
            <w:tcW w:w="4475"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39,593,720.57</w:t>
            </w:r>
          </w:p>
        </w:tc>
      </w:tr>
    </w:tbl>
    <w:p>
      <w:pPr>
        <w:pStyle w:val="4"/>
        <w:numPr>
          <w:ilvl w:val="0"/>
          <w:numId w:val="0"/>
        </w:numPr>
        <w:ind w:firstLine="643" w:firstLineChars="200"/>
        <w:rPr>
          <w:rFonts w:hint="eastAsia" w:ascii="宋体" w:hAnsi="宋体" w:eastAsia="方正仿宋_GBK" w:cstheme="minorBidi"/>
          <w:b/>
          <w:bCs/>
          <w:kern w:val="2"/>
          <w:sz w:val="32"/>
          <w:szCs w:val="32"/>
          <w:lang w:val="en-US" w:eastAsia="zh-CN" w:bidi="ar-SA"/>
        </w:rPr>
      </w:pPr>
      <w:r>
        <w:rPr>
          <w:rFonts w:hint="eastAsia" w:ascii="宋体" w:hAnsi="宋体" w:eastAsia="方正仿宋_GBK" w:cstheme="minorBidi"/>
          <w:b/>
          <w:bCs/>
          <w:kern w:val="2"/>
          <w:sz w:val="32"/>
          <w:szCs w:val="32"/>
          <w:lang w:val="en-US" w:eastAsia="zh-CN" w:bidi="ar-SA"/>
        </w:rPr>
        <w:t>2</w:t>
      </w:r>
      <w:r>
        <w:rPr>
          <w:rFonts w:hint="default" w:ascii="宋体" w:hAnsi="宋体" w:eastAsia="方正仿宋_GBK" w:cstheme="minorBidi"/>
          <w:b/>
          <w:bCs/>
          <w:kern w:val="2"/>
          <w:sz w:val="32"/>
          <w:szCs w:val="32"/>
          <w:lang w:eastAsia="zh-CN" w:bidi="ar-SA"/>
        </w:rPr>
        <w:t>.</w:t>
      </w:r>
      <w:r>
        <w:rPr>
          <w:rFonts w:hint="eastAsia" w:ascii="宋体" w:hAnsi="宋体" w:eastAsia="方正仿宋_GBK" w:cstheme="minorBidi"/>
          <w:b/>
          <w:bCs/>
          <w:kern w:val="2"/>
          <w:sz w:val="32"/>
          <w:szCs w:val="32"/>
          <w:lang w:val="en-US" w:eastAsia="zh-CN" w:bidi="ar-SA"/>
        </w:rPr>
        <w:t>全年预算安排明细情况</w:t>
      </w:r>
    </w:p>
    <w:tbl>
      <w:tblPr>
        <w:tblStyle w:val="10"/>
        <w:tblW w:w="8950"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9"/>
        <w:gridCol w:w="4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tcPr>
          <w:p>
            <w:pPr>
              <w:pStyle w:val="4"/>
              <w:numPr>
                <w:ilvl w:val="0"/>
                <w:numId w:val="0"/>
              </w:numPr>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预算支出类型</w:t>
            </w:r>
          </w:p>
        </w:tc>
        <w:tc>
          <w:tcPr>
            <w:tcW w:w="4491" w:type="dxa"/>
          </w:tcPr>
          <w:p>
            <w:pPr>
              <w:pStyle w:val="4"/>
              <w:numPr>
                <w:ilvl w:val="0"/>
                <w:numId w:val="0"/>
              </w:numPr>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tcPr>
          <w:p>
            <w:pPr>
              <w:pStyle w:val="4"/>
              <w:numPr>
                <w:ilvl w:val="0"/>
                <w:numId w:val="0"/>
              </w:numP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一、基本支出</w:t>
            </w:r>
          </w:p>
        </w:tc>
        <w:tc>
          <w:tcPr>
            <w:tcW w:w="4491" w:type="dxa"/>
          </w:tcPr>
          <w:p>
            <w:pPr>
              <w:pStyle w:val="4"/>
              <w:numPr>
                <w:ilvl w:val="0"/>
                <w:numId w:val="0"/>
              </w:numPr>
              <w:jc w:val="center"/>
              <w:rPr>
                <w:rFonts w:hint="eastAsia"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tcPr>
          <w:p>
            <w:pPr>
              <w:pStyle w:val="4"/>
              <w:numPr>
                <w:ilvl w:val="0"/>
                <w:numId w:val="0"/>
              </w:numP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1、人员经费</w:t>
            </w:r>
          </w:p>
        </w:tc>
        <w:tc>
          <w:tcPr>
            <w:tcW w:w="4491" w:type="dxa"/>
            <w:vAlign w:val="center"/>
          </w:tcPr>
          <w:p>
            <w:pPr>
              <w:pStyle w:val="4"/>
              <w:jc w:val="center"/>
              <w:rPr>
                <w:rFonts w:hint="default"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tcPr>
          <w:p>
            <w:pPr>
              <w:pStyle w:val="4"/>
              <w:numPr>
                <w:ilvl w:val="0"/>
                <w:numId w:val="0"/>
              </w:numPr>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年初预算安排</w:t>
            </w:r>
          </w:p>
        </w:tc>
        <w:tc>
          <w:tcPr>
            <w:tcW w:w="4491" w:type="dxa"/>
            <w:vAlign w:val="center"/>
          </w:tcPr>
          <w:p>
            <w:pPr>
              <w:pStyle w:val="4"/>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22,663,973.77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tcPr>
          <w:p>
            <w:pPr>
              <w:pStyle w:val="4"/>
              <w:numPr>
                <w:ilvl w:val="0"/>
                <w:numId w:val="0"/>
              </w:numPr>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预算追加安排</w:t>
            </w:r>
          </w:p>
        </w:tc>
        <w:tc>
          <w:tcPr>
            <w:tcW w:w="4491" w:type="dxa"/>
          </w:tcPr>
          <w:p>
            <w:pPr>
              <w:pStyle w:val="4"/>
              <w:jc w:val="center"/>
              <w:rPr>
                <w:rFonts w:hint="eastAsia"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tcPr>
          <w:p>
            <w:pPr>
              <w:pStyle w:val="4"/>
              <w:numPr>
                <w:ilvl w:val="0"/>
                <w:numId w:val="0"/>
              </w:numPr>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上年结转等</w:t>
            </w:r>
          </w:p>
        </w:tc>
        <w:tc>
          <w:tcPr>
            <w:tcW w:w="4491" w:type="dxa"/>
          </w:tcPr>
          <w:p>
            <w:pPr>
              <w:pStyle w:val="4"/>
              <w:jc w:val="center"/>
              <w:rPr>
                <w:rFonts w:hint="eastAsia"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tcPr>
          <w:p>
            <w:pPr>
              <w:pStyle w:val="4"/>
              <w:numPr>
                <w:ilvl w:val="0"/>
                <w:numId w:val="0"/>
              </w:numP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2、公用经费</w:t>
            </w:r>
          </w:p>
        </w:tc>
        <w:tc>
          <w:tcPr>
            <w:tcW w:w="4491" w:type="dxa"/>
          </w:tcPr>
          <w:p>
            <w:pPr>
              <w:pStyle w:val="4"/>
              <w:jc w:val="center"/>
              <w:rPr>
                <w:rFonts w:hint="default"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年初预算安排</w:t>
            </w:r>
          </w:p>
        </w:tc>
        <w:tc>
          <w:tcPr>
            <w:tcW w:w="4491" w:type="dxa"/>
            <w:vAlign w:val="center"/>
          </w:tcPr>
          <w:p>
            <w:pPr>
              <w:pStyle w:val="4"/>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14,779,746.80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预算追加安排</w:t>
            </w:r>
          </w:p>
        </w:tc>
        <w:tc>
          <w:tcPr>
            <w:tcW w:w="4491" w:type="dxa"/>
          </w:tcPr>
          <w:p>
            <w:pPr>
              <w:pStyle w:val="4"/>
              <w:jc w:val="center"/>
              <w:rPr>
                <w:rFonts w:hint="eastAsia"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上年结转等</w:t>
            </w:r>
          </w:p>
        </w:tc>
        <w:tc>
          <w:tcPr>
            <w:tcW w:w="4491" w:type="dxa"/>
          </w:tcPr>
          <w:p>
            <w:pPr>
              <w:pStyle w:val="4"/>
              <w:jc w:val="center"/>
              <w:rPr>
                <w:rFonts w:hint="eastAsia"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both"/>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基本支出小计</w:t>
            </w:r>
          </w:p>
        </w:tc>
        <w:tc>
          <w:tcPr>
            <w:tcW w:w="4491"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37,443,720.57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left"/>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二、项目支出</w:t>
            </w:r>
          </w:p>
        </w:tc>
        <w:tc>
          <w:tcPr>
            <w:tcW w:w="4491" w:type="dxa"/>
          </w:tcPr>
          <w:p>
            <w:pPr>
              <w:pStyle w:val="4"/>
              <w:jc w:val="center"/>
              <w:rPr>
                <w:rFonts w:hint="default"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年初预算安排</w:t>
            </w:r>
          </w:p>
        </w:tc>
        <w:tc>
          <w:tcPr>
            <w:tcW w:w="4491" w:type="dxa"/>
            <w:vAlign w:val="center"/>
          </w:tcPr>
          <w:p>
            <w:pPr>
              <w:pStyle w:val="4"/>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2,150,000.00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预算追加安排</w:t>
            </w:r>
          </w:p>
        </w:tc>
        <w:tc>
          <w:tcPr>
            <w:tcW w:w="4491" w:type="dxa"/>
          </w:tcPr>
          <w:p>
            <w:pPr>
              <w:pStyle w:val="4"/>
              <w:jc w:val="center"/>
              <w:rPr>
                <w:rFonts w:hint="eastAsia"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center"/>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上年结转等</w:t>
            </w:r>
          </w:p>
        </w:tc>
        <w:tc>
          <w:tcPr>
            <w:tcW w:w="4491" w:type="dxa"/>
          </w:tcPr>
          <w:p>
            <w:pPr>
              <w:pStyle w:val="4"/>
              <w:jc w:val="center"/>
              <w:rPr>
                <w:rFonts w:hint="eastAsia" w:ascii="宋体" w:hAnsi="宋体" w:eastAsia="方正仿宋_GBK" w:cstheme="minorBidi"/>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both"/>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项目支出小计</w:t>
            </w:r>
          </w:p>
        </w:tc>
        <w:tc>
          <w:tcPr>
            <w:tcW w:w="4491"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2,150,000.00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9" w:type="dxa"/>
            <w:vAlign w:val="top"/>
          </w:tcPr>
          <w:p>
            <w:pPr>
              <w:pStyle w:val="4"/>
              <w:numPr>
                <w:ilvl w:val="0"/>
                <w:numId w:val="0"/>
              </w:numPr>
              <w:ind w:left="0" w:leftChars="0" w:firstLine="0" w:firstLineChars="0"/>
              <w:jc w:val="both"/>
              <w:rPr>
                <w:rFonts w:hint="eastAsia"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总计</w:t>
            </w:r>
          </w:p>
        </w:tc>
        <w:tc>
          <w:tcPr>
            <w:tcW w:w="4491" w:type="dxa"/>
            <w:vAlign w:val="center"/>
          </w:tcPr>
          <w:p>
            <w:pPr>
              <w:pStyle w:val="4"/>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39,593,720.57</w:t>
            </w:r>
          </w:p>
        </w:tc>
      </w:tr>
    </w:tbl>
    <w:p>
      <w:pPr>
        <w:pStyle w:val="4"/>
        <w:numPr>
          <w:ilvl w:val="0"/>
          <w:numId w:val="0"/>
        </w:numPr>
        <w:ind w:firstLine="643" w:firstLineChars="200"/>
        <w:rPr>
          <w:rFonts w:hint="eastAsia" w:ascii="宋体" w:hAnsi="宋体" w:eastAsia="方正仿宋_GBK" w:cstheme="minorBidi"/>
          <w:b/>
          <w:bCs/>
          <w:kern w:val="2"/>
          <w:sz w:val="32"/>
          <w:szCs w:val="32"/>
          <w:lang w:val="en-US" w:eastAsia="zh-CN" w:bidi="ar-SA"/>
        </w:rPr>
      </w:pPr>
      <w:r>
        <w:rPr>
          <w:rFonts w:hint="eastAsia" w:ascii="宋体" w:hAnsi="宋体" w:eastAsia="方正仿宋_GBK" w:cstheme="minorBidi"/>
          <w:b/>
          <w:bCs/>
          <w:kern w:val="2"/>
          <w:sz w:val="32"/>
          <w:szCs w:val="32"/>
          <w:lang w:val="en-US" w:eastAsia="zh-CN" w:bidi="ar-SA"/>
        </w:rPr>
        <w:t>3</w:t>
      </w:r>
      <w:r>
        <w:rPr>
          <w:rFonts w:hint="default" w:ascii="宋体" w:hAnsi="宋体" w:eastAsia="方正仿宋_GBK" w:cstheme="minorBidi"/>
          <w:b/>
          <w:bCs/>
          <w:kern w:val="2"/>
          <w:sz w:val="32"/>
          <w:szCs w:val="32"/>
          <w:lang w:eastAsia="zh-CN" w:bidi="ar-SA"/>
        </w:rPr>
        <w:t>.</w:t>
      </w:r>
      <w:r>
        <w:rPr>
          <w:rFonts w:hint="eastAsia" w:ascii="宋体" w:hAnsi="宋体" w:eastAsia="方正仿宋_GBK" w:cstheme="minorBidi"/>
          <w:b/>
          <w:bCs/>
          <w:kern w:val="2"/>
          <w:sz w:val="32"/>
          <w:szCs w:val="32"/>
          <w:lang w:val="en-US" w:eastAsia="zh-CN" w:bidi="ar-SA"/>
        </w:rPr>
        <w:t>基本支出预算执行情况</w:t>
      </w:r>
    </w:p>
    <w:tbl>
      <w:tblPr>
        <w:tblStyle w:val="10"/>
        <w:tblpPr w:leftFromText="180" w:rightFromText="180" w:vertAnchor="text" w:horzAnchor="page" w:tblpX="1601" w:tblpY="109"/>
        <w:tblOverlap w:val="never"/>
        <w:tblW w:w="89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2017"/>
        <w:gridCol w:w="1929"/>
        <w:gridCol w:w="2036"/>
        <w:gridCol w:w="1488"/>
      </w:tblGrid>
      <w:tr>
        <w:trPr>
          <w:trHeight w:val="818" w:hRule="atLeast"/>
        </w:trPr>
        <w:tc>
          <w:tcPr>
            <w:tcW w:w="1485" w:type="dxa"/>
          </w:tcPr>
          <w:p>
            <w:pPr>
              <w:pStyle w:val="4"/>
              <w:numPr>
                <w:ilvl w:val="0"/>
                <w:numId w:val="0"/>
              </w:numPr>
              <w:spacing w:line="600" w:lineRule="auto"/>
              <w:ind w:left="0" w:leftChars="0" w:firstLine="0" w:firstLineChars="0"/>
              <w:jc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科 目</w:t>
            </w:r>
          </w:p>
        </w:tc>
        <w:tc>
          <w:tcPr>
            <w:tcW w:w="2017" w:type="dxa"/>
          </w:tcPr>
          <w:p>
            <w:pPr>
              <w:pStyle w:val="4"/>
              <w:numPr>
                <w:ilvl w:val="0"/>
                <w:numId w:val="0"/>
              </w:numPr>
              <w:spacing w:line="600" w:lineRule="auto"/>
              <w:ind w:left="0" w:leftChars="0" w:firstLine="0" w:firstLineChars="0"/>
              <w:jc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预算支出（元）</w:t>
            </w:r>
          </w:p>
        </w:tc>
        <w:tc>
          <w:tcPr>
            <w:tcW w:w="1929" w:type="dxa"/>
          </w:tcPr>
          <w:p>
            <w:pPr>
              <w:pStyle w:val="4"/>
              <w:numPr>
                <w:ilvl w:val="0"/>
                <w:numId w:val="0"/>
              </w:numPr>
              <w:spacing w:line="600" w:lineRule="auto"/>
              <w:ind w:left="0" w:leftChars="0" w:firstLine="0" w:firstLineChars="0"/>
              <w:jc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实际支出（元）</w:t>
            </w:r>
          </w:p>
        </w:tc>
        <w:tc>
          <w:tcPr>
            <w:tcW w:w="2036" w:type="dxa"/>
          </w:tcPr>
          <w:p>
            <w:pPr>
              <w:pStyle w:val="4"/>
              <w:numPr>
                <w:ilvl w:val="0"/>
                <w:numId w:val="0"/>
              </w:numPr>
              <w:spacing w:line="600" w:lineRule="auto"/>
              <w:ind w:left="0" w:leftChars="0" w:firstLine="0" w:firstLineChars="0"/>
              <w:jc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超支（元）</w:t>
            </w:r>
          </w:p>
        </w:tc>
        <w:tc>
          <w:tcPr>
            <w:tcW w:w="1488" w:type="dxa"/>
          </w:tcPr>
          <w:p>
            <w:pPr>
              <w:pStyle w:val="4"/>
              <w:numPr>
                <w:ilvl w:val="0"/>
                <w:numId w:val="0"/>
              </w:numPr>
              <w:spacing w:line="600" w:lineRule="auto"/>
              <w:ind w:left="0" w:leftChars="0" w:firstLine="0" w:firstLineChars="0"/>
              <w:jc w:val="center"/>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预算执行率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8" w:hRule="atLeast"/>
        </w:trPr>
        <w:tc>
          <w:tcPr>
            <w:tcW w:w="1485" w:type="dxa"/>
          </w:tcPr>
          <w:p>
            <w:pPr>
              <w:pStyle w:val="4"/>
              <w:numPr>
                <w:ilvl w:val="0"/>
                <w:numId w:val="0"/>
              </w:numPr>
              <w:spacing w:line="600" w:lineRule="auto"/>
              <w:ind w:left="0" w:leftChars="0" w:firstLine="0" w:firstLineChars="0"/>
              <w:jc w:val="left"/>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人员经费</w:t>
            </w:r>
          </w:p>
        </w:tc>
        <w:tc>
          <w:tcPr>
            <w:tcW w:w="2017"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22,663,973.77</w:t>
            </w:r>
          </w:p>
        </w:tc>
        <w:tc>
          <w:tcPr>
            <w:tcW w:w="1929"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19,863,666.47</w:t>
            </w:r>
          </w:p>
        </w:tc>
        <w:tc>
          <w:tcPr>
            <w:tcW w:w="2036"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 xml:space="preserve">-2,800,307.30 </w:t>
            </w:r>
          </w:p>
        </w:tc>
        <w:tc>
          <w:tcPr>
            <w:tcW w:w="1488"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trPr>
        <w:tc>
          <w:tcPr>
            <w:tcW w:w="148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公用经费</w:t>
            </w:r>
          </w:p>
        </w:tc>
        <w:tc>
          <w:tcPr>
            <w:tcW w:w="2017"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14,779,746.80</w:t>
            </w:r>
          </w:p>
        </w:tc>
        <w:tc>
          <w:tcPr>
            <w:tcW w:w="1929"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20,254,370.33</w:t>
            </w:r>
          </w:p>
        </w:tc>
        <w:tc>
          <w:tcPr>
            <w:tcW w:w="2036"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 xml:space="preserve">5,474,623.53 </w:t>
            </w:r>
          </w:p>
        </w:tc>
        <w:tc>
          <w:tcPr>
            <w:tcW w:w="1488"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3" w:hRule="atLeast"/>
        </w:trPr>
        <w:tc>
          <w:tcPr>
            <w:tcW w:w="1485" w:type="dxa"/>
          </w:tcPr>
          <w:p>
            <w:pPr>
              <w:pStyle w:val="4"/>
              <w:numPr>
                <w:ilvl w:val="0"/>
                <w:numId w:val="0"/>
              </w:numPr>
              <w:spacing w:line="600" w:lineRule="auto"/>
              <w:ind w:left="0" w:leftChars="0" w:firstLine="0" w:firstLineChars="0"/>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合  计</w:t>
            </w:r>
          </w:p>
        </w:tc>
        <w:tc>
          <w:tcPr>
            <w:tcW w:w="2017"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37,443,720.57</w:t>
            </w:r>
          </w:p>
        </w:tc>
        <w:tc>
          <w:tcPr>
            <w:tcW w:w="1929"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40,118,036.80</w:t>
            </w:r>
          </w:p>
        </w:tc>
        <w:tc>
          <w:tcPr>
            <w:tcW w:w="2036" w:type="dxa"/>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 xml:space="preserve">2,674,316.23 </w:t>
            </w:r>
          </w:p>
        </w:tc>
        <w:tc>
          <w:tcPr>
            <w:tcW w:w="1488"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107%</w:t>
            </w:r>
          </w:p>
        </w:tc>
      </w:tr>
    </w:tbl>
    <w:p>
      <w:pPr>
        <w:pStyle w:val="4"/>
        <w:ind w:firstLine="643" w:firstLineChars="200"/>
        <w:rPr>
          <w:rFonts w:hint="default" w:ascii="宋体" w:hAnsi="宋体" w:eastAsia="方正仿宋_GBK" w:cstheme="minorBidi"/>
          <w:b/>
          <w:bCs/>
          <w:kern w:val="2"/>
          <w:sz w:val="32"/>
          <w:szCs w:val="32"/>
          <w:vertAlign w:val="baseline"/>
          <w:lang w:val="en-US" w:eastAsia="zh-CN" w:bidi="ar-SA"/>
        </w:rPr>
      </w:pPr>
      <w:r>
        <w:rPr>
          <w:rFonts w:hint="eastAsia" w:ascii="宋体" w:hAnsi="宋体" w:eastAsia="方正仿宋_GBK" w:cstheme="minorBidi"/>
          <w:b/>
          <w:bCs/>
          <w:kern w:val="2"/>
          <w:sz w:val="32"/>
          <w:szCs w:val="32"/>
          <w:vertAlign w:val="baseline"/>
          <w:lang w:val="en-US" w:eastAsia="zh-CN" w:bidi="ar-SA"/>
        </w:rPr>
        <w:t xml:space="preserve">4.项目支出预算执行情况 </w:t>
      </w:r>
    </w:p>
    <w:tbl>
      <w:tblPr>
        <w:tblStyle w:val="10"/>
        <w:tblpPr w:leftFromText="180" w:rightFromText="180" w:vertAnchor="text" w:horzAnchor="page" w:tblpX="1587" w:tblpY="109"/>
        <w:tblOverlap w:val="never"/>
        <w:tblW w:w="89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8"/>
        <w:gridCol w:w="1937"/>
        <w:gridCol w:w="1937"/>
        <w:gridCol w:w="1871"/>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80" w:hRule="atLeast"/>
        </w:trPr>
        <w:tc>
          <w:tcPr>
            <w:tcW w:w="1968"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项  目</w:t>
            </w:r>
          </w:p>
        </w:tc>
        <w:tc>
          <w:tcPr>
            <w:tcW w:w="1937"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预算支出（元）</w:t>
            </w:r>
          </w:p>
        </w:tc>
        <w:tc>
          <w:tcPr>
            <w:tcW w:w="1937"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实际支出（元）</w:t>
            </w:r>
          </w:p>
        </w:tc>
        <w:tc>
          <w:tcPr>
            <w:tcW w:w="1871"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超支（元）</w:t>
            </w:r>
          </w:p>
        </w:tc>
        <w:tc>
          <w:tcPr>
            <w:tcW w:w="1253"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32"/>
                <w:szCs w:val="32"/>
                <w:vertAlign w:val="baseline"/>
                <w:lang w:val="en-US" w:eastAsia="zh-CN" w:bidi="ar-SA"/>
              </w:rPr>
            </w:pPr>
            <w:r>
              <w:rPr>
                <w:rFonts w:hint="eastAsia" w:ascii="宋体" w:hAnsi="宋体" w:eastAsia="方正仿宋_GBK" w:cstheme="minorBidi"/>
                <w:kern w:val="2"/>
                <w:sz w:val="32"/>
                <w:szCs w:val="32"/>
                <w:vertAlign w:val="baseline"/>
                <w:lang w:val="en-US" w:eastAsia="zh-CN" w:bidi="ar-SA"/>
              </w:rPr>
              <w:t>预算执行率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80" w:hRule="atLeast"/>
        </w:trPr>
        <w:tc>
          <w:tcPr>
            <w:tcW w:w="1968" w:type="dxa"/>
          </w:tcPr>
          <w:p>
            <w:pPr>
              <w:pStyle w:val="4"/>
              <w:numPr>
                <w:ilvl w:val="0"/>
                <w:numId w:val="0"/>
              </w:numPr>
              <w:spacing w:line="600" w:lineRule="auto"/>
              <w:ind w:left="0" w:leftChars="0" w:firstLine="0" w:firstLineChars="0"/>
              <w:jc w:val="center"/>
              <w:rPr>
                <w:rFonts w:hint="eastAsia"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其他资本性</w:t>
            </w:r>
          </w:p>
          <w:p>
            <w:pPr>
              <w:pStyle w:val="4"/>
              <w:numPr>
                <w:ilvl w:val="0"/>
                <w:numId w:val="0"/>
              </w:numPr>
              <w:spacing w:line="600" w:lineRule="auto"/>
              <w:ind w:left="0" w:leftChars="0" w:firstLine="0" w:firstLineChars="0"/>
              <w:jc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支出</w:t>
            </w:r>
          </w:p>
        </w:tc>
        <w:tc>
          <w:tcPr>
            <w:tcW w:w="1937"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2,150,000.00</w:t>
            </w:r>
          </w:p>
        </w:tc>
        <w:tc>
          <w:tcPr>
            <w:tcW w:w="1937"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1,439,554.00</w:t>
            </w:r>
          </w:p>
        </w:tc>
        <w:tc>
          <w:tcPr>
            <w:tcW w:w="1871"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-710,446.00</w:t>
            </w:r>
          </w:p>
        </w:tc>
        <w:tc>
          <w:tcPr>
            <w:tcW w:w="1253"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5" w:hRule="atLeast"/>
        </w:trPr>
        <w:tc>
          <w:tcPr>
            <w:tcW w:w="1968" w:type="dxa"/>
          </w:tcPr>
          <w:p>
            <w:pPr>
              <w:pStyle w:val="4"/>
              <w:numPr>
                <w:ilvl w:val="0"/>
                <w:numId w:val="0"/>
              </w:numPr>
              <w:spacing w:line="600" w:lineRule="auto"/>
              <w:ind w:left="0" w:leftChars="0" w:firstLine="0" w:firstLineChars="0"/>
              <w:jc w:val="center"/>
              <w:rPr>
                <w:rFonts w:hint="eastAsia" w:ascii="方正仿宋_GBK" w:hAnsi="方正仿宋_GBK" w:eastAsia="方正仿宋_GBK" w:cs="方正仿宋_GBK"/>
                <w:kern w:val="2"/>
                <w:sz w:val="28"/>
                <w:szCs w:val="28"/>
                <w:vertAlign w:val="baseline"/>
                <w:lang w:val="en-US" w:eastAsia="zh-CN" w:bidi="ar-SA"/>
              </w:rPr>
            </w:pPr>
            <w:r>
              <w:rPr>
                <w:rFonts w:hint="eastAsia" w:ascii="宋体" w:hAnsi="宋体" w:eastAsia="宋体" w:cs="宋体"/>
                <w:kern w:val="2"/>
                <w:sz w:val="28"/>
                <w:szCs w:val="28"/>
                <w:vertAlign w:val="baseline"/>
                <w:lang w:val="en-US" w:eastAsia="zh-CN" w:bidi="ar-SA"/>
              </w:rPr>
              <w:t>……</w:t>
            </w:r>
          </w:p>
        </w:tc>
        <w:tc>
          <w:tcPr>
            <w:tcW w:w="1937"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28"/>
                <w:szCs w:val="28"/>
                <w:vertAlign w:val="baseline"/>
                <w:lang w:val="en-US" w:eastAsia="zh-CN" w:bidi="ar-SA"/>
              </w:rPr>
            </w:pPr>
          </w:p>
        </w:tc>
        <w:tc>
          <w:tcPr>
            <w:tcW w:w="1937"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28"/>
                <w:szCs w:val="28"/>
                <w:vertAlign w:val="baseline"/>
                <w:lang w:val="en-US" w:eastAsia="zh-CN" w:bidi="ar-SA"/>
              </w:rPr>
            </w:pPr>
          </w:p>
        </w:tc>
        <w:tc>
          <w:tcPr>
            <w:tcW w:w="1871"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28"/>
                <w:szCs w:val="28"/>
                <w:vertAlign w:val="baseline"/>
                <w:lang w:val="en-US" w:eastAsia="zh-CN" w:bidi="ar-SA"/>
              </w:rPr>
            </w:pPr>
          </w:p>
        </w:tc>
        <w:tc>
          <w:tcPr>
            <w:tcW w:w="1253"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8" w:hRule="atLeast"/>
        </w:trPr>
        <w:tc>
          <w:tcPr>
            <w:tcW w:w="1968" w:type="dxa"/>
          </w:tcPr>
          <w:p>
            <w:pPr>
              <w:pStyle w:val="4"/>
              <w:numPr>
                <w:ilvl w:val="0"/>
                <w:numId w:val="0"/>
              </w:numPr>
              <w:spacing w:line="600" w:lineRule="auto"/>
              <w:ind w:left="0" w:leftChars="0" w:firstLine="0" w:firstLineChars="0"/>
              <w:jc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合  计</w:t>
            </w:r>
          </w:p>
        </w:tc>
        <w:tc>
          <w:tcPr>
            <w:tcW w:w="1937"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2,150,000.00</w:t>
            </w:r>
          </w:p>
        </w:tc>
        <w:tc>
          <w:tcPr>
            <w:tcW w:w="1937"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1,439,554.00</w:t>
            </w:r>
          </w:p>
        </w:tc>
        <w:tc>
          <w:tcPr>
            <w:tcW w:w="1871"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-710,446.00</w:t>
            </w:r>
          </w:p>
        </w:tc>
        <w:tc>
          <w:tcPr>
            <w:tcW w:w="1253" w:type="dxa"/>
            <w:vAlign w:val="center"/>
          </w:tcPr>
          <w:p>
            <w:pPr>
              <w:keepNext w:val="0"/>
              <w:keepLines w:val="0"/>
              <w:widowControl/>
              <w:suppressLineNumbers w:val="0"/>
              <w:jc w:val="center"/>
              <w:textAlignment w:val="center"/>
              <w:rPr>
                <w:rFonts w:hint="default" w:ascii="宋体" w:hAnsi="宋体" w:eastAsia="方正仿宋_GBK" w:cstheme="minorBidi"/>
                <w:kern w:val="2"/>
                <w:sz w:val="28"/>
                <w:szCs w:val="28"/>
                <w:vertAlign w:val="baseline"/>
                <w:lang w:val="en-US" w:eastAsia="zh-CN" w:bidi="ar-SA"/>
              </w:rPr>
            </w:pPr>
            <w:r>
              <w:rPr>
                <w:rFonts w:hint="eastAsia" w:ascii="宋体" w:hAnsi="宋体" w:eastAsia="方正仿宋_GBK" w:cstheme="minorBidi"/>
                <w:kern w:val="2"/>
                <w:sz w:val="28"/>
                <w:szCs w:val="28"/>
                <w:vertAlign w:val="baseline"/>
                <w:lang w:val="en-US" w:eastAsia="zh-CN" w:bidi="ar-SA"/>
              </w:rPr>
              <w:t>67%</w:t>
            </w:r>
          </w:p>
        </w:tc>
      </w:tr>
    </w:tbl>
    <w:p>
      <w:pPr>
        <w:pStyle w:val="4"/>
        <w:ind w:firstLine="320" w:firstLineChars="100"/>
        <w:rPr>
          <w:rFonts w:hint="eastAsia" w:ascii="楷体" w:hAnsi="楷体" w:eastAsia="楷体" w:cs="楷体"/>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（二）绩效指标情况分析</w:t>
      </w:r>
    </w:p>
    <w:p>
      <w:pPr>
        <w:pStyle w:val="4"/>
        <w:ind w:firstLine="643" w:firstLineChars="200"/>
        <w:rPr>
          <w:rFonts w:hint="eastAsia" w:ascii="宋体" w:hAnsi="宋体" w:eastAsia="方正仿宋_GBK" w:cstheme="minorBidi"/>
          <w:kern w:val="2"/>
          <w:sz w:val="32"/>
          <w:szCs w:val="32"/>
          <w:lang w:val="en-US" w:eastAsia="zh-CN" w:bidi="ar-SA"/>
        </w:rPr>
      </w:pPr>
      <w:r>
        <w:rPr>
          <w:rFonts w:hint="eastAsia" w:ascii="宋体" w:hAnsi="宋体" w:eastAsia="方正仿宋_GBK" w:cstheme="minorBidi"/>
          <w:b/>
          <w:bCs/>
          <w:kern w:val="2"/>
          <w:sz w:val="32"/>
          <w:szCs w:val="32"/>
          <w:lang w:val="en-US" w:eastAsia="zh-CN" w:bidi="ar-SA"/>
        </w:rPr>
        <w:t>1</w:t>
      </w:r>
      <w:r>
        <w:rPr>
          <w:rFonts w:hint="default" w:ascii="宋体" w:hAnsi="宋体" w:eastAsia="方正仿宋_GBK" w:cstheme="minorBidi"/>
          <w:b/>
          <w:bCs/>
          <w:kern w:val="2"/>
          <w:sz w:val="32"/>
          <w:szCs w:val="32"/>
          <w:lang w:eastAsia="zh-CN" w:bidi="ar-SA"/>
        </w:rPr>
        <w:t>.</w:t>
      </w:r>
      <w:r>
        <w:rPr>
          <w:rFonts w:hint="eastAsia" w:ascii="宋体" w:hAnsi="宋体" w:eastAsia="方正仿宋_GBK" w:cstheme="minorBidi"/>
          <w:b/>
          <w:bCs/>
          <w:kern w:val="2"/>
          <w:sz w:val="32"/>
          <w:szCs w:val="32"/>
          <w:lang w:val="en-US" w:eastAsia="zh-CN" w:bidi="ar-SA"/>
        </w:rPr>
        <w:t>目标设定：</w:t>
      </w:r>
      <w:r>
        <w:rPr>
          <w:rFonts w:hint="eastAsia" w:ascii="宋体" w:hAnsi="宋体" w:eastAsia="方正仿宋_GBK" w:cstheme="minorBidi"/>
          <w:kern w:val="2"/>
          <w:sz w:val="32"/>
          <w:szCs w:val="32"/>
          <w:lang w:val="en-US" w:eastAsia="zh-CN" w:bidi="ar-SA"/>
        </w:rPr>
        <w:t>单位设立的目标依据充分，符合实际情况；设定的绩效指标清晰，做到了细化和量化。</w:t>
      </w:r>
    </w:p>
    <w:p>
      <w:pPr>
        <w:pStyle w:val="4"/>
        <w:ind w:firstLine="643" w:firstLineChars="200"/>
        <w:rPr>
          <w:rFonts w:hint="default" w:ascii="宋体" w:hAnsi="宋体" w:eastAsia="方正仿宋_GBK" w:cstheme="minorBidi"/>
          <w:b/>
          <w:bCs/>
          <w:color w:val="0000FF"/>
          <w:kern w:val="2"/>
          <w:sz w:val="32"/>
          <w:szCs w:val="32"/>
          <w:lang w:val="en-US" w:eastAsia="zh-CN" w:bidi="ar-SA"/>
        </w:rPr>
      </w:pPr>
      <w:r>
        <w:rPr>
          <w:rFonts w:hint="eastAsia" w:ascii="宋体" w:hAnsi="宋体" w:eastAsia="方正仿宋_GBK" w:cstheme="minorBidi"/>
          <w:b/>
          <w:bCs/>
          <w:kern w:val="2"/>
          <w:sz w:val="32"/>
          <w:szCs w:val="32"/>
          <w:lang w:val="en-US" w:eastAsia="zh-CN" w:bidi="ar-SA"/>
        </w:rPr>
        <w:t>2</w:t>
      </w:r>
      <w:r>
        <w:rPr>
          <w:rFonts w:hint="default" w:ascii="宋体" w:hAnsi="宋体" w:eastAsia="方正仿宋_GBK" w:cstheme="minorBidi"/>
          <w:b/>
          <w:bCs/>
          <w:kern w:val="2"/>
          <w:sz w:val="32"/>
          <w:szCs w:val="32"/>
          <w:lang w:eastAsia="zh-CN" w:bidi="ar-SA"/>
        </w:rPr>
        <w:t>.</w:t>
      </w:r>
      <w:r>
        <w:rPr>
          <w:rFonts w:hint="eastAsia" w:ascii="宋体" w:hAnsi="宋体" w:eastAsia="方正仿宋_GBK" w:cstheme="minorBidi"/>
          <w:b/>
          <w:bCs/>
          <w:kern w:val="2"/>
          <w:sz w:val="32"/>
          <w:szCs w:val="32"/>
          <w:lang w:val="en-US" w:eastAsia="zh-CN" w:bidi="ar-SA"/>
        </w:rPr>
        <w:t>预算执行情况分析</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预算调整率:（年初预算数+预算调增数-预算调减数/年初预算数）*100%，调整率在10%以内，得4分。</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基本支出预算控制率:（基本支出实际支出/基本支出年度总预算）*100%=4012/3744=107%，大于130%，得4分。</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项目支出预算控制率:（项目支出实际支出/项目支出年度总预算）*100%=144/215=67%，得5分。</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年末无资金结余，分项目核算结余结转，得5分。</w:t>
      </w:r>
    </w:p>
    <w:p>
      <w:pPr>
        <w:ind w:firstLine="640" w:firstLineChars="200"/>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分项目核算结余结转，得5分。</w:t>
      </w:r>
    </w:p>
    <w:p>
      <w:pPr>
        <w:ind w:firstLine="640" w:firstLineChars="200"/>
        <w:rPr>
          <w:rFonts w:eastAsia="仿宋_GB2312"/>
          <w:color w:val="000000"/>
          <w:sz w:val="32"/>
          <w:szCs w:val="32"/>
        </w:rPr>
      </w:pPr>
      <w:r>
        <w:rPr>
          <w:rFonts w:hint="eastAsia" w:ascii="宋体" w:hAnsi="宋体" w:eastAsia="方正仿宋_GBK"/>
          <w:sz w:val="32"/>
          <w:szCs w:val="32"/>
          <w:lang w:val="en-US" w:eastAsia="zh-CN"/>
        </w:rPr>
        <w:t>“三公经费”控制率:（“三公经费”实际支出数/“三公经费”预算安排数）×100%，得5分。</w:t>
      </w:r>
    </w:p>
    <w:p>
      <w:pPr>
        <w:ind w:firstLine="640" w:firstLineChars="200"/>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综上所述，预算执行考核指标总计30分，扣2分，得 28分。</w:t>
      </w:r>
    </w:p>
    <w:p>
      <w:pPr>
        <w:pStyle w:val="4"/>
        <w:ind w:firstLine="643" w:firstLineChars="200"/>
        <w:rPr>
          <w:rFonts w:hint="default" w:ascii="宋体" w:hAnsi="宋体" w:eastAsia="方正仿宋_GBK" w:cstheme="minorBidi"/>
          <w:b/>
          <w:bCs/>
          <w:color w:val="0000FF"/>
          <w:kern w:val="2"/>
          <w:sz w:val="32"/>
          <w:szCs w:val="32"/>
          <w:lang w:val="en-US" w:eastAsia="zh-CN" w:bidi="ar-SA"/>
        </w:rPr>
      </w:pPr>
      <w:r>
        <w:rPr>
          <w:rFonts w:hint="eastAsia" w:ascii="宋体" w:hAnsi="宋体" w:eastAsia="方正仿宋_GBK"/>
          <w:b/>
          <w:bCs/>
          <w:sz w:val="32"/>
          <w:szCs w:val="32"/>
          <w:lang w:val="en-US" w:eastAsia="zh-CN"/>
        </w:rPr>
        <w:t>3</w:t>
      </w:r>
      <w:r>
        <w:rPr>
          <w:rFonts w:hint="default" w:ascii="宋体" w:hAnsi="宋体" w:eastAsia="方正仿宋_GBK"/>
          <w:b/>
          <w:bCs/>
          <w:sz w:val="32"/>
          <w:szCs w:val="32"/>
          <w:lang w:eastAsia="zh-CN"/>
        </w:rPr>
        <w:t>.</w:t>
      </w:r>
      <w:r>
        <w:rPr>
          <w:rFonts w:hint="eastAsia" w:ascii="宋体" w:hAnsi="宋体" w:eastAsia="方正仿宋_GBK" w:cstheme="minorBidi"/>
          <w:b/>
          <w:bCs/>
          <w:kern w:val="2"/>
          <w:sz w:val="32"/>
          <w:szCs w:val="32"/>
          <w:lang w:val="en-US" w:eastAsia="zh-CN" w:bidi="ar-SA"/>
        </w:rPr>
        <w:t>预算管理情况分析</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管理制度健全:本单位认真贯彻执行《会计法》、《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专账核算管理：本年度支出严格分项目单独核算，支出符合国家财经法规和财务管理制度规定以及有关专项资金管理办法的规定；资金拨付有完整的审批程序和手续；项目支出按规定经过评估论证；支出符合部门预算批复的用途；资金使用无截留、挤占、挪用、虚列支出等情况，得5分。</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预决算信息公开性和完善性：一是按规定内容公开预决算信息；二是按规定时限公开预决算信息，且相关信息资料真实、完整、准确，得5分。</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政府采购完成情况：达到政府采购要求的均按规定进行了政府采购，得5分。</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综上所述，预算管理考核指标总计20分，扣0分，得20分。</w:t>
      </w:r>
    </w:p>
    <w:p>
      <w:pPr>
        <w:ind w:firstLine="643" w:firstLineChars="200"/>
        <w:rPr>
          <w:rFonts w:hint="eastAsia" w:ascii="宋体" w:hAnsi="宋体" w:eastAsia="方正仿宋_GBK"/>
          <w:b/>
          <w:bCs/>
          <w:sz w:val="32"/>
          <w:szCs w:val="32"/>
          <w:lang w:val="en-US" w:eastAsia="zh-CN"/>
        </w:rPr>
      </w:pPr>
      <w:r>
        <w:rPr>
          <w:rFonts w:hint="eastAsia" w:ascii="宋体" w:hAnsi="宋体" w:eastAsia="方正仿宋_GBK"/>
          <w:b/>
          <w:bCs/>
          <w:sz w:val="32"/>
          <w:szCs w:val="32"/>
          <w:lang w:val="en-US" w:eastAsia="zh-CN"/>
        </w:rPr>
        <w:t>4</w:t>
      </w:r>
      <w:r>
        <w:rPr>
          <w:rFonts w:hint="default" w:ascii="宋体" w:hAnsi="宋体" w:eastAsia="方正仿宋_GBK"/>
          <w:b/>
          <w:bCs/>
          <w:sz w:val="32"/>
          <w:szCs w:val="32"/>
          <w:lang w:eastAsia="zh-CN"/>
        </w:rPr>
        <w:t>.</w:t>
      </w:r>
      <w:r>
        <w:rPr>
          <w:rFonts w:hint="eastAsia" w:ascii="宋体" w:hAnsi="宋体" w:eastAsia="方正仿宋_GBK"/>
          <w:b/>
          <w:bCs/>
          <w:sz w:val="32"/>
          <w:szCs w:val="32"/>
          <w:lang w:val="en-US" w:eastAsia="zh-CN"/>
        </w:rPr>
        <w:t>资产管理情况分析</w:t>
      </w:r>
    </w:p>
    <w:p>
      <w:pPr>
        <w:ind w:firstLine="640" w:firstLineChars="200"/>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管理制度健全性：本单位制定了资产管理制度，相关资产管理制度合法、合规、完整。本单位2022年对国有资产进行了清查，固定资产做到一物一卡一条码。</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综上所述，资产管理考核指标总计5分，扣 0分，得5分。</w:t>
      </w:r>
    </w:p>
    <w:p>
      <w:pPr>
        <w:numPr>
          <w:ilvl w:val="0"/>
          <w:numId w:val="0"/>
        </w:numPr>
        <w:ind w:firstLine="643" w:firstLineChars="200"/>
        <w:rPr>
          <w:rFonts w:hint="eastAsia" w:ascii="宋体" w:hAnsi="宋体" w:eastAsia="方正仿宋_GBK"/>
          <w:b/>
          <w:bCs/>
          <w:sz w:val="32"/>
          <w:szCs w:val="32"/>
          <w:lang w:val="en-US" w:eastAsia="zh-CN"/>
        </w:rPr>
      </w:pPr>
      <w:r>
        <w:rPr>
          <w:rFonts w:hint="default" w:ascii="宋体" w:hAnsi="宋体" w:eastAsia="方正仿宋_GBK"/>
          <w:b/>
          <w:bCs/>
          <w:sz w:val="32"/>
          <w:szCs w:val="32"/>
          <w:lang w:eastAsia="zh-CN"/>
        </w:rPr>
        <w:t>5</w:t>
      </w:r>
      <w:r>
        <w:rPr>
          <w:rFonts w:hint="eastAsia" w:ascii="宋体" w:hAnsi="宋体" w:eastAsia="方正仿宋_GBK"/>
          <w:b/>
          <w:bCs/>
          <w:sz w:val="32"/>
          <w:szCs w:val="32"/>
          <w:lang w:val="en-US" w:eastAsia="zh-Hans"/>
        </w:rPr>
        <w:t>.</w:t>
      </w:r>
      <w:r>
        <w:rPr>
          <w:rFonts w:hint="eastAsia" w:ascii="宋体" w:hAnsi="宋体" w:eastAsia="方正仿宋_GBK"/>
          <w:b/>
          <w:bCs/>
          <w:sz w:val="32"/>
          <w:szCs w:val="32"/>
          <w:lang w:val="en-US" w:eastAsia="zh-CN"/>
        </w:rPr>
        <w:t>产出分析：职责履行情况分析</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2022年，在县委、县政府的坚强领导下，在乡人大及社会各界的监督支持下，坚持以习近平新时代中国特色社会主义思想为指导，深入学习宣传贯彻党的十九大、二十大精神紧紧团结依靠全乡广大干部群众，坚定不移实施“五个一”战略部署，踔厉奋发，勇毅前行，较好地完成了经济社会发展的主要目标任务。</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人民至上、同心抗疫。</w:t>
      </w:r>
      <w:r>
        <w:rPr>
          <w:rFonts w:hint="eastAsia" w:ascii="宋体" w:hAnsi="宋体" w:eastAsia="方正仿宋_GBK"/>
          <w:sz w:val="32"/>
          <w:szCs w:val="32"/>
          <w:lang w:val="en-US" w:eastAsia="zh-CN"/>
        </w:rPr>
        <w:t>在抗疫大战中，全乡人民风雨同舟、共克时艰，1000多名党员投身战“疫”，构筑起阻击疫情的排头防线。持续8个月对回龙桥高速路口出入车辆和人员进行24小时管控，排查高风险地区返乡人员4000余名，引导群众不聚会、不扎堆、戴口罩，组织群众接种新冠疫苗60572剂次，实现新冠肺炎疫情防控“零感染”目标，帮助企业纾难解困，经济运行企稳向好。</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精准施策，发展工业。</w:t>
      </w:r>
      <w:r>
        <w:rPr>
          <w:rFonts w:hint="eastAsia" w:ascii="宋体" w:hAnsi="宋体" w:eastAsia="方正仿宋_GBK"/>
          <w:sz w:val="32"/>
          <w:szCs w:val="32"/>
          <w:lang w:val="en-US" w:eastAsia="zh-CN"/>
        </w:rPr>
        <w:t>坚持工业强乡不动摇，财政税收、规模工业总产值、固定资产投资等主要经济指标保持平稳，市场信心持续回升。细化产业图谱、招商图谱，推动招商走出新路径、引资落地跑出“新速度”。着力深化“放管服”改革，党政负责人“一对一、点对点</w:t>
      </w:r>
      <w:r>
        <w:rPr>
          <w:rFonts w:hint="default" w:ascii="宋体" w:hAnsi="宋体" w:eastAsia="方正仿宋_GBK"/>
          <w:sz w:val="32"/>
          <w:szCs w:val="32"/>
          <w:lang w:val="en-US" w:eastAsia="zh-CN"/>
        </w:rPr>
        <w:t>”</w:t>
      </w:r>
      <w:r>
        <w:rPr>
          <w:rFonts w:hint="eastAsia" w:ascii="宋体" w:hAnsi="宋体" w:eastAsia="方正仿宋_GBK"/>
          <w:sz w:val="32"/>
          <w:szCs w:val="32"/>
          <w:lang w:val="en-US" w:eastAsia="zh-CN"/>
        </w:rPr>
        <w:t>联系企业，围绕优化营商环境、助力企业发展、推进乡域经济高质量发展主动服务，解决企业基础设施、技术、融资等“急难盼愁”问题15个。对华维湘莲、莲城湘莲等重点项目用地应保尽保，华维湘莲经莲乡实业担保获得100万融资，极大地保障了企业的正常生产生活。锦石220KV输变电工程、排头派出所、醴娄高速（排头段）等重点项目稳步推进。</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合力攻坚，发展农业。</w:t>
      </w:r>
      <w:r>
        <w:rPr>
          <w:rFonts w:hint="eastAsia" w:ascii="宋体" w:hAnsi="宋体" w:eastAsia="方正仿宋_GBK"/>
          <w:sz w:val="32"/>
          <w:szCs w:val="32"/>
          <w:lang w:val="en-US" w:eastAsia="zh-CN"/>
        </w:rPr>
        <w:t>坚决扛牢粮食安全政治责任，打造以华宇村、南下村、合荣村、兴田村为主体的“早专晚优”万亩示范片和以仓冲村、龙佳村为主体的千亩示范片。大力推广春静水稻种植专业合作社“四定六统”管理模式、“华绿”“金风”等龙头企业产销合作的订单农业模式，着力构建节本增效、优质安全的农业发展新格局。累计完成17910亩一季稻、33370亩早稻和35430亩晚稻种植面积，20560亩高档优质稻种植得到有效推广。实施“三联三助”计划，扶持培育家庭农场、种养合作社等140余家，农业生产经营人才队伍不断壮大。探索实行“农机共享联合社”制度，通过打造示范点、培育壮大农机社会化服务组织等方式推进农业机械化，实现机抛面积4738.27亩、机插面积9129.83亩。壮大畜禽标准化、规模化养殖，</w:t>
      </w:r>
      <w:r>
        <w:rPr>
          <w:rFonts w:hint="default" w:ascii="宋体" w:hAnsi="宋体" w:eastAsia="方正仿宋_GBK"/>
          <w:sz w:val="32"/>
          <w:szCs w:val="32"/>
          <w:lang w:val="en-US" w:eastAsia="zh-CN"/>
        </w:rPr>
        <w:t>存栏生猪42519头，</w:t>
      </w:r>
      <w:r>
        <w:rPr>
          <w:rFonts w:hint="eastAsia" w:ascii="宋体" w:hAnsi="宋体" w:eastAsia="方正仿宋_GBK"/>
          <w:sz w:val="32"/>
          <w:szCs w:val="32"/>
          <w:lang w:val="en-US" w:eastAsia="zh-CN"/>
        </w:rPr>
        <w:t>存栏家禽266291羽，存栏牛1527头，存栏羊3933头。向上争取水利项目资金200万元，实施以奖代补项目村3个、移民项目村2个、投贷联动项目村1个、高标准农田建设村12个。探索“民间塘长制、河长制”，推进“建、管、护”一体化，打造“河长制”样板河，建立18个村级林长制网格，成立隐山村林长制办公室。坚决遏制耕地“双非化”，建立乡、村、网格三级田长，571.6亩耕地抛荒治理任务全面完成。规范宅基地建房审批流程，严格落实日常巡查和“六到场”制度，共联审联批宅基地51宗。完成农村旅游路、资源路、产业路提质改造3.45公里。按照“一乡一业、一村一品”的农业产业发展模式，全力打造“五个千亩特色种植示范片”，双联村黄荆坪辣椒产业发展模式入选《湖南集体经济百村案例》。辐射排头岭村、回龙桥村、人雄山村、严冲村、仓冲村、红祺村、龙佳村的连片5000亩湘莲种植示范片实现产值1100万元，成为全市最大的连片湘莲种植基地并成功申报市级现代产业园。探索农林套种复合经营，推广大豆玉米复合种植近千亩，打造先劲村示范油茶林基地260亩，团结村碧根果示范基地400亩、辰山村吴萸子示范基地200亩、松梓村牧草种植基地50亩。在排头岭村、团结村、严冲村、狮龙村完成油茶低产改造1400亩。团结村、松梓村水生花卉，合荣村、兴田村高档优质稻，辰山村中药材等特色产业为排头乡乡村振兴不断蓄能。</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人居环境，全面优化。</w:t>
      </w:r>
      <w:r>
        <w:rPr>
          <w:rFonts w:hint="eastAsia" w:ascii="宋体" w:hAnsi="宋体" w:eastAsia="方正仿宋_GBK"/>
          <w:sz w:val="32"/>
          <w:szCs w:val="32"/>
          <w:lang w:val="en-US" w:eastAsia="zh-CN"/>
        </w:rPr>
        <w:t>构建农村生活垃圾治理长效机制，推动农村生活垃圾处理付费制度66万元全部收缴到位。乡域内主干道保洁员推行社会化服务，成功打造主干道公共卫生县级样板。有序推进农村厕所革命，新建化粪池60座，完成续建150座。发动党员群众参与村庄清洁行动，引导村民落实“门前三包”制度，推动团结村申创市级美丽乡村、南下村申创县级美丽乡村工作，第三季度获得全市“五好乡镇”称号。开展美丽庭院创建活动，新增三星美丽庭院180户，四星美丽庭院36户，五星美丽庭院3户。推行“一乡贤一美丽屋场”创建工作，在华宇村、排头岭村、团结村、隐山村创建一批美丽屋场典范，营造出干净、整洁、舒适的人居环境。</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集中资源、服务民生。</w:t>
      </w:r>
      <w:r>
        <w:rPr>
          <w:rFonts w:hint="eastAsia" w:ascii="宋体" w:hAnsi="宋体" w:eastAsia="方正仿宋_GBK"/>
          <w:sz w:val="32"/>
          <w:szCs w:val="32"/>
          <w:lang w:val="en-US" w:eastAsia="zh-CN"/>
        </w:rPr>
        <w:t>组织开展业务培训4批80人次，推进“清廉大厅”专项建设，接待群众4200人次，受理业务1399件次，办结率、满意率均达到100%。做好市政务平台数据录入工作，乡、村事项覆盖率已达100%。统筹做好优抚工作，落实优抚待遇681人，完成退役军人建档立卡1000人，申领优待证650人，新增退役军人就业32人。高标准抓好征兵工作，输送28名优秀青年进入部队。完善社会救助体系，更好保障低保、特困、残疾人等特殊群体基本生活，全乡享受农村低保676户1235人，享受城镇低保6户7人，享受重度残疾护理补贴616人，享受困难残疾人生活补贴805人，发放临时救助金55人66400元，完成困难残疾人家庭无障碍改造11户。高效推进自建房安全专项整治工作，排查房屋15134处。积极开展农村危房改造工作，全乡14户危房已全部改造完成。护佑妇女儿童健康，完成免费孕前优生健康检查150人，两癌免费检查682人，康复救助残疾儿童8人。新增农村计生家庭奖扶168人、特扶7人，发放独生子女保健费221人。搭建供需对接交流平台，建立排头乡人才资源库，录入农民工信息2万余人次，完善4家扶贫车间建设。促进脱贫劳动力技能致富，开展中级育婴师、中级电工、农机维修培训，累计完成技能培训200人次。利用好排头红色名片，开展乡级最美劳动者评选，有序稳妥推进中小学校资源整合，推动文旅开发、加快排头发展、促进乡村振兴的成功实践。</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压实责任、创建平安。</w:t>
      </w:r>
      <w:r>
        <w:rPr>
          <w:rFonts w:hint="eastAsia" w:ascii="宋体" w:hAnsi="宋体" w:eastAsia="方正仿宋_GBK"/>
          <w:sz w:val="32"/>
          <w:szCs w:val="32"/>
          <w:lang w:val="en-US" w:eastAsia="zh-CN"/>
        </w:rPr>
        <w:t>在全乡18个行政村开展夜间治安巡逻，联防联控，主要交通要道、路口设立94个治安视频监控点。探索运行“乡贤+综治”信访积案攻坚模式，受理信访件18件，办结16件，化解信访积案4件。组织开展“八五”普法、“农村法律明白人”和人民调解员业务专题培训4次。积极发挥人民调解作用，累计排查矛盾纠纷195起，调解完成190起。全力推进乡镇“一支队伍管执法”，组织开展执法巡查300余次，拆除违规搭建2000余平方米，整改卫片图斑13处，立案19起，罚没金额134230元。组织召开安委会全会4次，开展安全生产警示教育30场次，开展安全生产检查185次，下达责令整改指令书9份，行政处罚立案7起，全部整改到位。建设农村公路安防设施9.1公里，安装防护柱648根。组织开展森林防灭火、地质灾害应急演练活动。</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廉洁高效、依法行政。</w:t>
      </w:r>
      <w:r>
        <w:rPr>
          <w:rFonts w:hint="eastAsia" w:ascii="宋体" w:hAnsi="宋体" w:eastAsia="方正仿宋_GBK"/>
          <w:sz w:val="32"/>
          <w:szCs w:val="32"/>
          <w:lang w:val="en-US" w:eastAsia="zh-CN"/>
        </w:rPr>
        <w:t>坚守廉洁底线，严肃查处各类侵害群众利益、损害党政形象的渎职失职和腐败行为，受理信访举报9件，已办结6件。处置问题线索15件，立案13件，处分12人，其中给予党内警告处分2人、党内严重警告处分7人、开除党籍处分3人。创新廉政宣传形式，牢固树立“过紧日子”思想，不折不扣落实中央八项规定精神，压缩一般性项目支出，保障民生。自觉接受人大的法律监督、政协的民主监督和社会的舆论监督，依法统计、政务督查、政务公开等工作扎实推进。</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综上所述，产出效果考核指标总计45分，扣 4分，得41分。</w:t>
      </w:r>
    </w:p>
    <w:p>
      <w:pPr>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三、主要经验及做法</w:t>
      </w:r>
    </w:p>
    <w:p>
      <w:pPr>
        <w:ind w:firstLine="643" w:firstLineChars="200"/>
        <w:rPr>
          <w:rFonts w:hint="default" w:ascii="宋体" w:hAnsi="宋体" w:eastAsia="方正仿宋_GBK"/>
          <w:sz w:val="32"/>
          <w:szCs w:val="32"/>
          <w:lang w:val="en-US" w:eastAsia="zh-CN"/>
        </w:rPr>
      </w:pPr>
      <w:r>
        <w:rPr>
          <w:rFonts w:hint="eastAsia" w:ascii="宋体" w:hAnsi="宋体" w:eastAsia="方正仿宋_GBK"/>
          <w:b/>
          <w:bCs/>
          <w:sz w:val="32"/>
          <w:szCs w:val="32"/>
          <w:lang w:val="en-US" w:eastAsia="zh-CN"/>
        </w:rPr>
        <w:t>1</w:t>
      </w:r>
      <w:r>
        <w:rPr>
          <w:rFonts w:hint="default" w:ascii="宋体" w:hAnsi="宋体" w:eastAsia="方正仿宋_GBK"/>
          <w:b/>
          <w:bCs/>
          <w:sz w:val="32"/>
          <w:szCs w:val="32"/>
          <w:lang w:eastAsia="zh-CN"/>
        </w:rPr>
        <w:t>.</w:t>
      </w:r>
      <w:r>
        <w:rPr>
          <w:rFonts w:hint="eastAsia" w:ascii="宋体" w:hAnsi="宋体" w:eastAsia="方正仿宋_GBK"/>
          <w:b/>
          <w:bCs/>
          <w:sz w:val="32"/>
          <w:szCs w:val="32"/>
          <w:lang w:val="en-US" w:eastAsia="zh-CN"/>
        </w:rPr>
        <w:t>明确发展方向。</w:t>
      </w:r>
      <w:r>
        <w:rPr>
          <w:rFonts w:hint="eastAsia" w:ascii="宋体" w:hAnsi="宋体" w:eastAsia="方正仿宋_GBK"/>
          <w:sz w:val="32"/>
          <w:szCs w:val="32"/>
          <w:lang w:val="en-US" w:eastAsia="zh-CN"/>
        </w:rPr>
        <w:t>一是紧密结合政府中心工作，项目选择以县委县政府中心工作为依据，从本镇经济社会发展客观要求出发，发展状大本镇经济。二是结合重点产业发展需求，项目实施紧密结合本镇经济社会发展的现状和需求，提升自主创新能力。三是体现“以人为本、民生为重”的理念，惠及民众，造福百姓。</w:t>
      </w:r>
    </w:p>
    <w:p>
      <w:pPr>
        <w:ind w:firstLine="643" w:firstLineChars="200"/>
        <w:rPr>
          <w:rFonts w:hint="default" w:ascii="宋体" w:hAnsi="宋体" w:eastAsia="方正仿宋_GBK"/>
          <w:sz w:val="32"/>
          <w:szCs w:val="32"/>
          <w:lang w:val="en-US" w:eastAsia="zh-CN"/>
        </w:rPr>
      </w:pPr>
      <w:r>
        <w:rPr>
          <w:rFonts w:hint="eastAsia" w:ascii="宋体" w:hAnsi="宋体" w:eastAsia="方正仿宋_GBK"/>
          <w:b/>
          <w:bCs/>
          <w:sz w:val="32"/>
          <w:szCs w:val="32"/>
          <w:lang w:val="en-US" w:eastAsia="zh-CN"/>
        </w:rPr>
        <w:t>2</w:t>
      </w:r>
      <w:r>
        <w:rPr>
          <w:rFonts w:hint="default" w:ascii="宋体" w:hAnsi="宋体" w:eastAsia="方正仿宋_GBK"/>
          <w:b/>
          <w:bCs/>
          <w:sz w:val="32"/>
          <w:szCs w:val="32"/>
          <w:lang w:eastAsia="zh-CN"/>
        </w:rPr>
        <w:t>.</w:t>
      </w:r>
      <w:r>
        <w:rPr>
          <w:rFonts w:hint="eastAsia" w:ascii="宋体" w:hAnsi="宋体" w:eastAsia="方正仿宋_GBK"/>
          <w:b/>
          <w:bCs/>
          <w:sz w:val="32"/>
          <w:szCs w:val="32"/>
          <w:lang w:val="en-US" w:eastAsia="zh-CN"/>
        </w:rPr>
        <w:t>做好项目论证。</w:t>
      </w:r>
      <w:r>
        <w:rPr>
          <w:rFonts w:hint="eastAsia" w:ascii="宋体" w:hAnsi="宋体" w:eastAsia="方正仿宋_GBK"/>
          <w:sz w:val="32"/>
          <w:szCs w:val="32"/>
          <w:lang w:val="en-US" w:eastAsia="zh-CN"/>
        </w:rPr>
        <w:t>广泛征求实施单位的意见和建议，认真开展调查研究，确保项目达到预期绩效目标。</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3</w:t>
      </w:r>
      <w:r>
        <w:rPr>
          <w:rFonts w:hint="default" w:ascii="宋体" w:hAnsi="宋体" w:eastAsia="方正仿宋_GBK"/>
          <w:b/>
          <w:bCs/>
          <w:sz w:val="32"/>
          <w:szCs w:val="32"/>
          <w:lang w:eastAsia="zh-CN"/>
        </w:rPr>
        <w:t>.</w:t>
      </w:r>
      <w:r>
        <w:rPr>
          <w:rFonts w:hint="eastAsia" w:ascii="宋体" w:hAnsi="宋体" w:eastAsia="方正仿宋_GBK"/>
          <w:b/>
          <w:bCs/>
          <w:sz w:val="32"/>
          <w:szCs w:val="32"/>
          <w:lang w:val="en-US" w:eastAsia="zh-CN"/>
        </w:rPr>
        <w:t>加快经济发展。</w:t>
      </w:r>
      <w:r>
        <w:rPr>
          <w:rFonts w:hint="eastAsia" w:ascii="宋体" w:hAnsi="宋体" w:eastAsia="方正仿宋_GBK"/>
          <w:sz w:val="32"/>
          <w:szCs w:val="32"/>
          <w:lang w:val="en-US" w:eastAsia="zh-CN"/>
        </w:rPr>
        <w:t>巩固脱贫攻坚成果和全面推进乡村振兴，充分利用回龙桥高速出口的区位优势，主动出击、精准发力，积极谋划，合理布局好回龙桥片区建设，做好回龙桥城镇建设的招商引资工作，为项目落地、企业落户提供最优良、最高效的“保姆式”服务。。</w:t>
      </w:r>
    </w:p>
    <w:p>
      <w:pPr>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四、存在的主要问题</w:t>
      </w:r>
    </w:p>
    <w:p>
      <w:pPr>
        <w:ind w:firstLine="640" w:firstLineChars="200"/>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1</w:t>
      </w:r>
      <w:r>
        <w:rPr>
          <w:rFonts w:hint="default" w:ascii="宋体" w:hAnsi="宋体" w:eastAsia="方正仿宋_GBK"/>
          <w:sz w:val="32"/>
          <w:szCs w:val="32"/>
          <w:lang w:eastAsia="zh-CN"/>
        </w:rPr>
        <w:t>.</w:t>
      </w:r>
      <w:r>
        <w:rPr>
          <w:rFonts w:hint="eastAsia" w:ascii="宋体" w:hAnsi="宋体" w:eastAsia="方正仿宋_GBK"/>
          <w:sz w:val="32"/>
          <w:szCs w:val="32"/>
          <w:lang w:val="en-US" w:eastAsia="zh-CN"/>
        </w:rPr>
        <w:t>个别绩效目标设置不够细化。考核指标可衡量性不强，绩效指标体系有待完善。</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2</w:t>
      </w:r>
      <w:r>
        <w:rPr>
          <w:rFonts w:hint="default" w:ascii="宋体" w:hAnsi="宋体" w:eastAsia="方正仿宋_GBK"/>
          <w:sz w:val="32"/>
          <w:szCs w:val="32"/>
          <w:lang w:eastAsia="zh-CN"/>
        </w:rPr>
        <w:t>.</w:t>
      </w:r>
      <w:r>
        <w:rPr>
          <w:rFonts w:hint="eastAsia" w:ascii="宋体" w:hAnsi="宋体" w:eastAsia="方正仿宋_GBK"/>
          <w:sz w:val="32"/>
          <w:szCs w:val="32"/>
          <w:lang w:val="en-US" w:eastAsia="zh-CN"/>
        </w:rPr>
        <w:t>财源建设有待进一步加强。受经济发展水平、财源结构和传统体制的影响，镇财政收支矛盾突出，可用财力增长乏力，乡村两级均感到资金运转压力较大。</w:t>
      </w:r>
    </w:p>
    <w:p>
      <w:pPr>
        <w:ind w:firstLine="640" w:firstLineChars="20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3</w:t>
      </w:r>
      <w:r>
        <w:rPr>
          <w:rFonts w:hint="default" w:ascii="宋体" w:hAnsi="宋体" w:eastAsia="方正仿宋_GBK"/>
          <w:sz w:val="32"/>
          <w:szCs w:val="32"/>
          <w:lang w:eastAsia="zh-CN"/>
        </w:rPr>
        <w:t>.</w:t>
      </w:r>
      <w:r>
        <w:rPr>
          <w:rFonts w:hint="eastAsia" w:ascii="宋体" w:hAnsi="宋体" w:eastAsia="方正仿宋_GBK"/>
          <w:sz w:val="32"/>
          <w:szCs w:val="32"/>
          <w:lang w:val="en-US" w:eastAsia="zh-CN"/>
        </w:rPr>
        <w:t>体制基数与财政总预算支出不匹配。乡镇专项资金难以预计，无法估计来源渠道。</w:t>
      </w:r>
    </w:p>
    <w:p>
      <w:pPr>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五、改进措施和有关建议</w:t>
      </w:r>
      <w:r>
        <w:rPr>
          <w:rFonts w:hint="eastAsia" w:ascii="黑体" w:hAnsi="黑体" w:eastAsia="黑体" w:cs="黑体"/>
          <w:b w:val="0"/>
          <w:bCs w:val="0"/>
          <w:sz w:val="32"/>
          <w:szCs w:val="32"/>
          <w:lang w:val="en-US" w:eastAsia="zh-CN"/>
        </w:rPr>
        <w:tab/>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1</w:t>
      </w:r>
      <w:r>
        <w:rPr>
          <w:rFonts w:hint="default" w:ascii="宋体" w:hAnsi="宋体" w:eastAsia="方正仿宋_GBK"/>
          <w:b/>
          <w:bCs/>
          <w:sz w:val="32"/>
          <w:szCs w:val="32"/>
          <w:lang w:eastAsia="zh-CN"/>
        </w:rPr>
        <w:t>.</w:t>
      </w:r>
      <w:r>
        <w:rPr>
          <w:rFonts w:hint="eastAsia" w:ascii="宋体" w:hAnsi="宋体" w:eastAsia="方正仿宋_GBK"/>
          <w:b/>
          <w:bCs/>
          <w:sz w:val="32"/>
          <w:szCs w:val="32"/>
          <w:lang w:val="en-US" w:eastAsia="zh-CN"/>
        </w:rPr>
        <w:t>优化产业结构。</w:t>
      </w:r>
      <w:r>
        <w:rPr>
          <w:rFonts w:hint="eastAsia" w:ascii="宋体" w:hAnsi="宋体" w:eastAsia="方正仿宋_GBK"/>
          <w:sz w:val="32"/>
          <w:szCs w:val="32"/>
          <w:lang w:val="en-US" w:eastAsia="zh-CN"/>
        </w:rPr>
        <w:t>不断拓宽资金来源渠道，加大协税护税力度增强争资争项力度，认真落实减税降费政策，加快产业、企业集聚，推动经济高质量发展，让农村成为安居乐业的美丽家园。</w:t>
      </w:r>
    </w:p>
    <w:p>
      <w:pPr>
        <w:ind w:firstLine="643" w:firstLineChars="200"/>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2</w:t>
      </w:r>
      <w:r>
        <w:rPr>
          <w:rFonts w:hint="default" w:ascii="宋体" w:hAnsi="宋体" w:eastAsia="方正仿宋_GBK"/>
          <w:b/>
          <w:bCs/>
          <w:sz w:val="32"/>
          <w:szCs w:val="32"/>
          <w:lang w:eastAsia="zh-CN"/>
        </w:rPr>
        <w:t>.</w:t>
      </w:r>
      <w:r>
        <w:rPr>
          <w:rFonts w:hint="eastAsia" w:ascii="宋体" w:hAnsi="宋体" w:eastAsia="方正仿宋_GBK"/>
          <w:b/>
          <w:bCs/>
          <w:sz w:val="32"/>
          <w:szCs w:val="32"/>
          <w:lang w:val="en-US" w:eastAsia="zh-CN"/>
        </w:rPr>
        <w:t>深入推进内控建设。</w:t>
      </w:r>
      <w:r>
        <w:rPr>
          <w:rFonts w:hint="eastAsia" w:ascii="宋体" w:hAnsi="宋体" w:eastAsia="方正仿宋_GBK"/>
          <w:sz w:val="32"/>
          <w:szCs w:val="32"/>
          <w:lang w:val="en-US" w:eastAsia="zh-CN"/>
        </w:rPr>
        <w:t>对预算业务、收支业务、政府采购业务、资产管理业务、合同管理业务等各项经济业务流程进行全面梳理，明确各项业务的目标、范围、内容、流程、环节以及相应的部门岗位，尽最大可能把钱用在刀刃上。</w:t>
      </w:r>
    </w:p>
    <w:p>
      <w:pPr>
        <w:ind w:firstLine="643" w:firstLineChars="200"/>
        <w:rPr>
          <w:rFonts w:hint="default" w:ascii="宋体" w:hAnsi="宋体" w:eastAsia="方正仿宋_GBK"/>
          <w:sz w:val="32"/>
          <w:szCs w:val="32"/>
          <w:lang w:val="en-US" w:eastAsia="zh-CN"/>
        </w:rPr>
      </w:pPr>
      <w:r>
        <w:rPr>
          <w:rFonts w:hint="eastAsia" w:ascii="宋体" w:hAnsi="宋体" w:eastAsia="方正仿宋_GBK"/>
          <w:b/>
          <w:bCs/>
          <w:sz w:val="32"/>
          <w:szCs w:val="32"/>
          <w:lang w:val="en-US" w:eastAsia="zh-CN"/>
        </w:rPr>
        <w:t>3</w:t>
      </w:r>
      <w:r>
        <w:rPr>
          <w:rFonts w:hint="default" w:ascii="宋体" w:hAnsi="宋体" w:eastAsia="方正仿宋_GBK"/>
          <w:b/>
          <w:bCs/>
          <w:sz w:val="32"/>
          <w:szCs w:val="32"/>
          <w:lang w:eastAsia="zh-CN"/>
        </w:rPr>
        <w:t>.</w:t>
      </w:r>
      <w:r>
        <w:rPr>
          <w:rFonts w:hint="eastAsia" w:ascii="宋体" w:hAnsi="宋体" w:eastAsia="方正仿宋_GBK"/>
          <w:b/>
          <w:bCs/>
          <w:sz w:val="32"/>
          <w:szCs w:val="32"/>
          <w:lang w:val="en-US" w:eastAsia="zh-CN"/>
        </w:rPr>
        <w:t>细化预算编制工作。</w:t>
      </w:r>
      <w:r>
        <w:rPr>
          <w:rFonts w:hint="eastAsia" w:ascii="宋体" w:hAnsi="宋体" w:eastAsia="方正仿宋_GBK"/>
          <w:sz w:val="32"/>
          <w:szCs w:val="32"/>
          <w:lang w:val="en-US" w:eastAsia="zh-CN"/>
        </w:rPr>
        <w:t>认真做好预算的编制，严格按照预算绩效评价的相关制度和要求，进一步加强预算目标的可考核性，细化绩效目标，提升预算编制的规范性、科学性，完善适应本单位管理特点的预算绩效指标体系，不断规范和加强预算绩效评价工作。</w:t>
      </w:r>
    </w:p>
    <w:p>
      <w:pPr>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六、综合评价结论</w:t>
      </w:r>
    </w:p>
    <w:p>
      <w:pPr>
        <w:ind w:firstLine="640" w:firstLineChars="200"/>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根据以上预算绩效完成情况，我单位2022年预算绩效自评得分94分，评定等次：良</w:t>
      </w:r>
    </w:p>
    <w:p>
      <w:pPr>
        <w:rPr>
          <w:rFonts w:hint="eastAsia" w:ascii="宋体" w:hAnsi="宋体" w:eastAsia="方正仿宋_GBK"/>
          <w:sz w:val="32"/>
          <w:szCs w:val="32"/>
          <w:lang w:val="en-US" w:eastAsia="zh-CN"/>
        </w:rPr>
      </w:pPr>
    </w:p>
    <w:p>
      <w:pPr>
        <w:ind w:firstLine="640" w:firstLineChars="200"/>
        <w:rPr>
          <w:rFonts w:hint="eastAsia" w:ascii="宋体" w:hAnsi="宋体" w:eastAsia="方正仿宋_GBK"/>
          <w:sz w:val="32"/>
          <w:szCs w:val="32"/>
          <w:lang w:val="en-US" w:eastAsia="zh-CN"/>
        </w:rPr>
      </w:pPr>
      <w:r>
        <w:rPr>
          <w:rFonts w:hint="eastAsia" w:eastAsia="方正仿宋_GBK"/>
          <w:sz w:val="32"/>
          <w:szCs w:val="32"/>
          <w:lang w:val="en-US" w:eastAsia="zh-CN"/>
        </w:rPr>
        <w:t xml:space="preserve">                         </w:t>
      </w:r>
      <w:r>
        <w:rPr>
          <w:rFonts w:hint="eastAsia" w:ascii="宋体" w:hAnsi="宋体" w:eastAsia="方正仿宋_GBK"/>
          <w:sz w:val="32"/>
          <w:szCs w:val="32"/>
          <w:lang w:val="en-US" w:eastAsia="zh-CN"/>
        </w:rPr>
        <w:t xml:space="preserve"> </w:t>
      </w:r>
      <w:r>
        <w:rPr>
          <w:rFonts w:hint="default" w:ascii="宋体" w:hAnsi="宋体" w:eastAsia="方正仿宋_GBK"/>
          <w:sz w:val="32"/>
          <w:szCs w:val="32"/>
          <w:lang w:eastAsia="zh-CN"/>
        </w:rPr>
        <w:t xml:space="preserve"> </w:t>
      </w:r>
      <w:r>
        <w:rPr>
          <w:rFonts w:hint="eastAsia" w:ascii="宋体" w:hAnsi="宋体" w:eastAsia="方正仿宋_GBK"/>
          <w:sz w:val="32"/>
          <w:szCs w:val="32"/>
          <w:lang w:val="en-US" w:eastAsia="zh-CN"/>
        </w:rPr>
        <w:t>湘潭县排头乡人民政府</w:t>
      </w:r>
    </w:p>
    <w:p>
      <w:pPr>
        <w:ind w:firstLine="640" w:firstLineChars="200"/>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 xml:space="preserve">                         二0二三年五月二十二日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华文楷体">
    <w:panose1 w:val="0201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方正小标宋_GBK">
    <w:altName w:val="汉仪书宋二KW"/>
    <w:panose1 w:val="03000509000000000000"/>
    <w:charset w:val="86"/>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145A2B"/>
    <w:multiLevelType w:val="singleLevel"/>
    <w:tmpl w:val="73145A2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3ZTU1OGFkOTVjNjcyMDE0OGFhMDY5MmFhYTA5MWQifQ=="/>
  </w:docVars>
  <w:rsids>
    <w:rsidRoot w:val="00D945A6"/>
    <w:rsid w:val="000735E1"/>
    <w:rsid w:val="000E2C0E"/>
    <w:rsid w:val="000F275E"/>
    <w:rsid w:val="0010090D"/>
    <w:rsid w:val="00130B2B"/>
    <w:rsid w:val="001E45AA"/>
    <w:rsid w:val="00283C5B"/>
    <w:rsid w:val="00335BF5"/>
    <w:rsid w:val="00344CBA"/>
    <w:rsid w:val="0035014D"/>
    <w:rsid w:val="00363726"/>
    <w:rsid w:val="00386A6D"/>
    <w:rsid w:val="003D46E4"/>
    <w:rsid w:val="003E59AD"/>
    <w:rsid w:val="00413345"/>
    <w:rsid w:val="00421B2F"/>
    <w:rsid w:val="004F1EF2"/>
    <w:rsid w:val="0051462C"/>
    <w:rsid w:val="0057021B"/>
    <w:rsid w:val="005A7691"/>
    <w:rsid w:val="005C6FD4"/>
    <w:rsid w:val="006A5ECB"/>
    <w:rsid w:val="006C7341"/>
    <w:rsid w:val="006E7A04"/>
    <w:rsid w:val="0072744E"/>
    <w:rsid w:val="00775C6C"/>
    <w:rsid w:val="007E0EE4"/>
    <w:rsid w:val="007E7377"/>
    <w:rsid w:val="007F140B"/>
    <w:rsid w:val="00824A0C"/>
    <w:rsid w:val="00827FDE"/>
    <w:rsid w:val="008817B6"/>
    <w:rsid w:val="008D41FA"/>
    <w:rsid w:val="009772EB"/>
    <w:rsid w:val="00A21789"/>
    <w:rsid w:val="00AB6A6D"/>
    <w:rsid w:val="00B2744C"/>
    <w:rsid w:val="00B43FE4"/>
    <w:rsid w:val="00C03CA3"/>
    <w:rsid w:val="00C1792F"/>
    <w:rsid w:val="00C4314F"/>
    <w:rsid w:val="00C6381D"/>
    <w:rsid w:val="00CA1856"/>
    <w:rsid w:val="00CD7DC7"/>
    <w:rsid w:val="00D2518C"/>
    <w:rsid w:val="00D25469"/>
    <w:rsid w:val="00D36F06"/>
    <w:rsid w:val="00D73F70"/>
    <w:rsid w:val="00D945A6"/>
    <w:rsid w:val="00DD06B6"/>
    <w:rsid w:val="00E453DC"/>
    <w:rsid w:val="00ED227A"/>
    <w:rsid w:val="00FC50BF"/>
    <w:rsid w:val="01257C23"/>
    <w:rsid w:val="017E1E62"/>
    <w:rsid w:val="01960DAB"/>
    <w:rsid w:val="027405ED"/>
    <w:rsid w:val="02947211"/>
    <w:rsid w:val="029E2172"/>
    <w:rsid w:val="032416C0"/>
    <w:rsid w:val="038D16A3"/>
    <w:rsid w:val="03A951F3"/>
    <w:rsid w:val="03AF1619"/>
    <w:rsid w:val="045F303F"/>
    <w:rsid w:val="0462668B"/>
    <w:rsid w:val="050035D1"/>
    <w:rsid w:val="050A1CD9"/>
    <w:rsid w:val="053B7179"/>
    <w:rsid w:val="056326BB"/>
    <w:rsid w:val="056A3A4A"/>
    <w:rsid w:val="057E4B03"/>
    <w:rsid w:val="05845057"/>
    <w:rsid w:val="05945A2F"/>
    <w:rsid w:val="05C814FE"/>
    <w:rsid w:val="05E84AAB"/>
    <w:rsid w:val="0621672E"/>
    <w:rsid w:val="065A3ABE"/>
    <w:rsid w:val="067C3324"/>
    <w:rsid w:val="0695398A"/>
    <w:rsid w:val="06D753FF"/>
    <w:rsid w:val="06E56987"/>
    <w:rsid w:val="074C57E4"/>
    <w:rsid w:val="07A40BEB"/>
    <w:rsid w:val="07A66C43"/>
    <w:rsid w:val="07CD3EBD"/>
    <w:rsid w:val="08143F57"/>
    <w:rsid w:val="08762705"/>
    <w:rsid w:val="08887733"/>
    <w:rsid w:val="08B17695"/>
    <w:rsid w:val="08D631A4"/>
    <w:rsid w:val="093B6D3F"/>
    <w:rsid w:val="09772764"/>
    <w:rsid w:val="099D294F"/>
    <w:rsid w:val="09ED4C49"/>
    <w:rsid w:val="0A3101E5"/>
    <w:rsid w:val="0A546A76"/>
    <w:rsid w:val="0A5D158F"/>
    <w:rsid w:val="0ADB7197"/>
    <w:rsid w:val="0B767403"/>
    <w:rsid w:val="0BF3076F"/>
    <w:rsid w:val="0C0A5CBC"/>
    <w:rsid w:val="0C2741AD"/>
    <w:rsid w:val="0C360B29"/>
    <w:rsid w:val="0C366DB7"/>
    <w:rsid w:val="0C3B6140"/>
    <w:rsid w:val="0C44334A"/>
    <w:rsid w:val="0C844E7F"/>
    <w:rsid w:val="0CE20369"/>
    <w:rsid w:val="0CE3133B"/>
    <w:rsid w:val="0E3E731D"/>
    <w:rsid w:val="0E513DE6"/>
    <w:rsid w:val="0E5232CD"/>
    <w:rsid w:val="0E87741A"/>
    <w:rsid w:val="0F49401D"/>
    <w:rsid w:val="0F4F6FAF"/>
    <w:rsid w:val="0F9D0AB9"/>
    <w:rsid w:val="0FA638D0"/>
    <w:rsid w:val="0FAA0619"/>
    <w:rsid w:val="0FC64A1D"/>
    <w:rsid w:val="10771710"/>
    <w:rsid w:val="111B3762"/>
    <w:rsid w:val="112D5E40"/>
    <w:rsid w:val="1131366D"/>
    <w:rsid w:val="114C421E"/>
    <w:rsid w:val="11E2282D"/>
    <w:rsid w:val="11EE58A1"/>
    <w:rsid w:val="127B2364"/>
    <w:rsid w:val="12E30A2A"/>
    <w:rsid w:val="13655850"/>
    <w:rsid w:val="13AF13FA"/>
    <w:rsid w:val="14131750"/>
    <w:rsid w:val="142B5B82"/>
    <w:rsid w:val="146A23B8"/>
    <w:rsid w:val="14DE0790"/>
    <w:rsid w:val="14E30C95"/>
    <w:rsid w:val="14F32B04"/>
    <w:rsid w:val="150035B4"/>
    <w:rsid w:val="153542FD"/>
    <w:rsid w:val="154F2942"/>
    <w:rsid w:val="15645B86"/>
    <w:rsid w:val="164D28AE"/>
    <w:rsid w:val="16A4276F"/>
    <w:rsid w:val="16CD5BE6"/>
    <w:rsid w:val="171655B5"/>
    <w:rsid w:val="17402C5E"/>
    <w:rsid w:val="179E0777"/>
    <w:rsid w:val="17BE19D3"/>
    <w:rsid w:val="17C43B83"/>
    <w:rsid w:val="17CD6397"/>
    <w:rsid w:val="17E06C0C"/>
    <w:rsid w:val="18062C2E"/>
    <w:rsid w:val="18AB1670"/>
    <w:rsid w:val="19696C0A"/>
    <w:rsid w:val="1988673C"/>
    <w:rsid w:val="19C0127F"/>
    <w:rsid w:val="1A564145"/>
    <w:rsid w:val="1A6E1403"/>
    <w:rsid w:val="1AE312C8"/>
    <w:rsid w:val="1B7F1479"/>
    <w:rsid w:val="1BE40F61"/>
    <w:rsid w:val="1C29344F"/>
    <w:rsid w:val="1C5D55FD"/>
    <w:rsid w:val="1C8F393E"/>
    <w:rsid w:val="1DF63C23"/>
    <w:rsid w:val="1EE2040C"/>
    <w:rsid w:val="1EF03DA5"/>
    <w:rsid w:val="1F376A06"/>
    <w:rsid w:val="1FDF6F0B"/>
    <w:rsid w:val="202325E4"/>
    <w:rsid w:val="202F7912"/>
    <w:rsid w:val="205672AE"/>
    <w:rsid w:val="211E5F67"/>
    <w:rsid w:val="2126339B"/>
    <w:rsid w:val="214E14F5"/>
    <w:rsid w:val="21675C61"/>
    <w:rsid w:val="2180146C"/>
    <w:rsid w:val="21A73172"/>
    <w:rsid w:val="21C64E80"/>
    <w:rsid w:val="21F02B28"/>
    <w:rsid w:val="22444780"/>
    <w:rsid w:val="229533BE"/>
    <w:rsid w:val="22DD22C9"/>
    <w:rsid w:val="243D76A7"/>
    <w:rsid w:val="246F5C37"/>
    <w:rsid w:val="24A87C93"/>
    <w:rsid w:val="25B15DF4"/>
    <w:rsid w:val="25D5617A"/>
    <w:rsid w:val="2670658E"/>
    <w:rsid w:val="26932DCB"/>
    <w:rsid w:val="26B24FEE"/>
    <w:rsid w:val="27360F82"/>
    <w:rsid w:val="27AC5CEC"/>
    <w:rsid w:val="27B508E3"/>
    <w:rsid w:val="27DD7EB9"/>
    <w:rsid w:val="27FD1D81"/>
    <w:rsid w:val="282C13FB"/>
    <w:rsid w:val="28942BD0"/>
    <w:rsid w:val="29336324"/>
    <w:rsid w:val="2985212C"/>
    <w:rsid w:val="29F3519F"/>
    <w:rsid w:val="2A11464D"/>
    <w:rsid w:val="2A424E67"/>
    <w:rsid w:val="2A55414D"/>
    <w:rsid w:val="2A557386"/>
    <w:rsid w:val="2A9C21D4"/>
    <w:rsid w:val="2B663B9E"/>
    <w:rsid w:val="2CC264B9"/>
    <w:rsid w:val="2CC8796C"/>
    <w:rsid w:val="2D720E3E"/>
    <w:rsid w:val="2DF6627C"/>
    <w:rsid w:val="2E87550D"/>
    <w:rsid w:val="2E8E614B"/>
    <w:rsid w:val="2EFB7ADA"/>
    <w:rsid w:val="2F520F27"/>
    <w:rsid w:val="2F9154D6"/>
    <w:rsid w:val="2F975E32"/>
    <w:rsid w:val="2FDC6A42"/>
    <w:rsid w:val="304B42F4"/>
    <w:rsid w:val="305A10D0"/>
    <w:rsid w:val="317533EC"/>
    <w:rsid w:val="31B93075"/>
    <w:rsid w:val="31C80C80"/>
    <w:rsid w:val="31DE6E0A"/>
    <w:rsid w:val="32203EBA"/>
    <w:rsid w:val="322F37A1"/>
    <w:rsid w:val="326E6078"/>
    <w:rsid w:val="329A3ED2"/>
    <w:rsid w:val="32A505C1"/>
    <w:rsid w:val="32BA750F"/>
    <w:rsid w:val="32BD0CDF"/>
    <w:rsid w:val="32C141A7"/>
    <w:rsid w:val="334F6EE4"/>
    <w:rsid w:val="33E365F1"/>
    <w:rsid w:val="34714624"/>
    <w:rsid w:val="348C4512"/>
    <w:rsid w:val="34F14685"/>
    <w:rsid w:val="35632E42"/>
    <w:rsid w:val="35762D7B"/>
    <w:rsid w:val="35A41DB0"/>
    <w:rsid w:val="360B3D27"/>
    <w:rsid w:val="36C1629B"/>
    <w:rsid w:val="36EF3803"/>
    <w:rsid w:val="37C315AE"/>
    <w:rsid w:val="38881374"/>
    <w:rsid w:val="38D7084C"/>
    <w:rsid w:val="38F60C77"/>
    <w:rsid w:val="3B455D5F"/>
    <w:rsid w:val="3B5129DA"/>
    <w:rsid w:val="3B535DAE"/>
    <w:rsid w:val="3B6B3AFA"/>
    <w:rsid w:val="3B7F0674"/>
    <w:rsid w:val="3BC43780"/>
    <w:rsid w:val="3BD629AA"/>
    <w:rsid w:val="3BF9665A"/>
    <w:rsid w:val="3C5B6482"/>
    <w:rsid w:val="3C5F5429"/>
    <w:rsid w:val="3C910B06"/>
    <w:rsid w:val="3CF33A12"/>
    <w:rsid w:val="3D1F3A46"/>
    <w:rsid w:val="3D9E4E3C"/>
    <w:rsid w:val="3DAE73B1"/>
    <w:rsid w:val="3DB60494"/>
    <w:rsid w:val="3DCC6A9E"/>
    <w:rsid w:val="3DD376D7"/>
    <w:rsid w:val="3E210442"/>
    <w:rsid w:val="3E4374A6"/>
    <w:rsid w:val="3E62445F"/>
    <w:rsid w:val="3F3B26F7"/>
    <w:rsid w:val="3F50253D"/>
    <w:rsid w:val="3F7E27EB"/>
    <w:rsid w:val="3FCB4FD8"/>
    <w:rsid w:val="3FF03506"/>
    <w:rsid w:val="4021297B"/>
    <w:rsid w:val="405045F3"/>
    <w:rsid w:val="40B96B3B"/>
    <w:rsid w:val="411B4A52"/>
    <w:rsid w:val="412A1A6A"/>
    <w:rsid w:val="424961B9"/>
    <w:rsid w:val="42680164"/>
    <w:rsid w:val="42C22637"/>
    <w:rsid w:val="43454A3B"/>
    <w:rsid w:val="437F4F03"/>
    <w:rsid w:val="438668CF"/>
    <w:rsid w:val="43AE3034"/>
    <w:rsid w:val="43DB5537"/>
    <w:rsid w:val="44461FCB"/>
    <w:rsid w:val="44EE4DF6"/>
    <w:rsid w:val="45806E70"/>
    <w:rsid w:val="462D453B"/>
    <w:rsid w:val="46807DC3"/>
    <w:rsid w:val="46BD0F24"/>
    <w:rsid w:val="46EA2570"/>
    <w:rsid w:val="475D3985"/>
    <w:rsid w:val="477F61D9"/>
    <w:rsid w:val="47CD0701"/>
    <w:rsid w:val="48507C9C"/>
    <w:rsid w:val="48C42A3E"/>
    <w:rsid w:val="49441489"/>
    <w:rsid w:val="494D7856"/>
    <w:rsid w:val="49836455"/>
    <w:rsid w:val="49DC3DB7"/>
    <w:rsid w:val="4AD0756D"/>
    <w:rsid w:val="4AD41461"/>
    <w:rsid w:val="4B2212C8"/>
    <w:rsid w:val="4B2565EB"/>
    <w:rsid w:val="4B332F45"/>
    <w:rsid w:val="4B3B5C2E"/>
    <w:rsid w:val="4B3E3CB0"/>
    <w:rsid w:val="4B9D25B0"/>
    <w:rsid w:val="4B9D4992"/>
    <w:rsid w:val="4C2F6420"/>
    <w:rsid w:val="4C667968"/>
    <w:rsid w:val="4C7402D7"/>
    <w:rsid w:val="4D382B0B"/>
    <w:rsid w:val="4D6631F1"/>
    <w:rsid w:val="4D847A22"/>
    <w:rsid w:val="4DDD7347"/>
    <w:rsid w:val="4E8529AA"/>
    <w:rsid w:val="4E9311E7"/>
    <w:rsid w:val="4EAD7AD0"/>
    <w:rsid w:val="4EEA4D8F"/>
    <w:rsid w:val="4F693B8D"/>
    <w:rsid w:val="4F7D547E"/>
    <w:rsid w:val="500E4FC2"/>
    <w:rsid w:val="50881012"/>
    <w:rsid w:val="51425B86"/>
    <w:rsid w:val="51610F5D"/>
    <w:rsid w:val="519F16E4"/>
    <w:rsid w:val="51A90653"/>
    <w:rsid w:val="51D27F79"/>
    <w:rsid w:val="527B23BF"/>
    <w:rsid w:val="52DA2F73"/>
    <w:rsid w:val="52E37FD9"/>
    <w:rsid w:val="53054429"/>
    <w:rsid w:val="533838B1"/>
    <w:rsid w:val="535B5ED6"/>
    <w:rsid w:val="53961C8B"/>
    <w:rsid w:val="53C778D8"/>
    <w:rsid w:val="5409322F"/>
    <w:rsid w:val="54397F12"/>
    <w:rsid w:val="546D7B65"/>
    <w:rsid w:val="558F253F"/>
    <w:rsid w:val="55995896"/>
    <w:rsid w:val="55C4140C"/>
    <w:rsid w:val="562000EF"/>
    <w:rsid w:val="568E6439"/>
    <w:rsid w:val="56F824C5"/>
    <w:rsid w:val="56FEED35"/>
    <w:rsid w:val="57810FCC"/>
    <w:rsid w:val="57883AAA"/>
    <w:rsid w:val="57F765A7"/>
    <w:rsid w:val="583A23D4"/>
    <w:rsid w:val="58741D62"/>
    <w:rsid w:val="59007B03"/>
    <w:rsid w:val="59097FF9"/>
    <w:rsid w:val="59247B2F"/>
    <w:rsid w:val="5943175D"/>
    <w:rsid w:val="596335AA"/>
    <w:rsid w:val="598A3EFA"/>
    <w:rsid w:val="59AF7A04"/>
    <w:rsid w:val="59B25B64"/>
    <w:rsid w:val="59D70C4B"/>
    <w:rsid w:val="5A6D4C16"/>
    <w:rsid w:val="5ABF7611"/>
    <w:rsid w:val="5C5D1A3A"/>
    <w:rsid w:val="5C733810"/>
    <w:rsid w:val="5CDB1B73"/>
    <w:rsid w:val="5D424259"/>
    <w:rsid w:val="5F491865"/>
    <w:rsid w:val="5FED2422"/>
    <w:rsid w:val="603718EF"/>
    <w:rsid w:val="61572249"/>
    <w:rsid w:val="6189617B"/>
    <w:rsid w:val="62417376"/>
    <w:rsid w:val="63011920"/>
    <w:rsid w:val="63482889"/>
    <w:rsid w:val="634E7862"/>
    <w:rsid w:val="635D341B"/>
    <w:rsid w:val="63CC732A"/>
    <w:rsid w:val="63DE7D0C"/>
    <w:rsid w:val="63F62B3F"/>
    <w:rsid w:val="64B654D9"/>
    <w:rsid w:val="64F93617"/>
    <w:rsid w:val="650665E0"/>
    <w:rsid w:val="65C049EB"/>
    <w:rsid w:val="65DD0843"/>
    <w:rsid w:val="65EF7B6A"/>
    <w:rsid w:val="661831FF"/>
    <w:rsid w:val="664702C2"/>
    <w:rsid w:val="664946B5"/>
    <w:rsid w:val="664A412A"/>
    <w:rsid w:val="67B53A13"/>
    <w:rsid w:val="68761F9F"/>
    <w:rsid w:val="68C34D74"/>
    <w:rsid w:val="68F57A16"/>
    <w:rsid w:val="691610F4"/>
    <w:rsid w:val="691E364C"/>
    <w:rsid w:val="69EA57F7"/>
    <w:rsid w:val="69ED2ADE"/>
    <w:rsid w:val="6A8231EA"/>
    <w:rsid w:val="6B792DBC"/>
    <w:rsid w:val="6BFB7F04"/>
    <w:rsid w:val="6C0F7B9F"/>
    <w:rsid w:val="6CA22577"/>
    <w:rsid w:val="6CBB49BD"/>
    <w:rsid w:val="6D6B2A55"/>
    <w:rsid w:val="6DBC51E2"/>
    <w:rsid w:val="6DE22D54"/>
    <w:rsid w:val="6E482E3E"/>
    <w:rsid w:val="6E674D18"/>
    <w:rsid w:val="6EF230AC"/>
    <w:rsid w:val="708B0D3E"/>
    <w:rsid w:val="708E5F26"/>
    <w:rsid w:val="70A64653"/>
    <w:rsid w:val="71077775"/>
    <w:rsid w:val="71E44F1C"/>
    <w:rsid w:val="72225F5B"/>
    <w:rsid w:val="722E7376"/>
    <w:rsid w:val="723F6E2F"/>
    <w:rsid w:val="72886A72"/>
    <w:rsid w:val="739D0E0A"/>
    <w:rsid w:val="73B40A19"/>
    <w:rsid w:val="74402C5F"/>
    <w:rsid w:val="75814EB7"/>
    <w:rsid w:val="75825E56"/>
    <w:rsid w:val="75ED73BD"/>
    <w:rsid w:val="7611394B"/>
    <w:rsid w:val="76B8379C"/>
    <w:rsid w:val="76BB697E"/>
    <w:rsid w:val="775C7824"/>
    <w:rsid w:val="77AD2931"/>
    <w:rsid w:val="78D95167"/>
    <w:rsid w:val="79DE4E5E"/>
    <w:rsid w:val="7A1940E8"/>
    <w:rsid w:val="7A827C66"/>
    <w:rsid w:val="7AD7365B"/>
    <w:rsid w:val="7AFE32DE"/>
    <w:rsid w:val="7B254426"/>
    <w:rsid w:val="7B4B6BA7"/>
    <w:rsid w:val="7B6D0F4A"/>
    <w:rsid w:val="7B876E2F"/>
    <w:rsid w:val="7BB00E61"/>
    <w:rsid w:val="7BB51BEE"/>
    <w:rsid w:val="7BD36518"/>
    <w:rsid w:val="7BDC53CD"/>
    <w:rsid w:val="7C980F0B"/>
    <w:rsid w:val="7D045CF0"/>
    <w:rsid w:val="7D5B30B8"/>
    <w:rsid w:val="7D667D68"/>
    <w:rsid w:val="7D756300"/>
    <w:rsid w:val="7D822A3A"/>
    <w:rsid w:val="7E4436FD"/>
    <w:rsid w:val="7E494946"/>
    <w:rsid w:val="7ED71E7C"/>
    <w:rsid w:val="7EEC2FC9"/>
    <w:rsid w:val="7F3D43E8"/>
    <w:rsid w:val="7F6D2FE8"/>
    <w:rsid w:val="7FE405C7"/>
    <w:rsid w:val="7FF14BDD"/>
    <w:rsid w:val="DF97B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qFormat/>
    <w:uiPriority w:val="0"/>
    <w:pPr>
      <w:tabs>
        <w:tab w:val="left" w:pos="720"/>
      </w:tabs>
    </w:pPr>
    <w:rPr>
      <w:rFonts w:ascii="仿宋_GB2312" w:hAnsi="Times New Roman" w:eastAsia="仿宋_GB2312" w:cs="Times New Roman"/>
      <w:sz w:val="32"/>
    </w:rPr>
  </w:style>
  <w:style w:type="paragraph" w:styleId="5">
    <w:name w:val="endnote text"/>
    <w:basedOn w:val="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qFormat/>
    <w:uiPriority w:val="20"/>
    <w:rPr>
      <w:i/>
      <w:iCs/>
    </w:rPr>
  </w:style>
  <w:style w:type="character" w:styleId="13">
    <w:name w:val="Hyperlink"/>
    <w:basedOn w:val="11"/>
    <w:semiHidden/>
    <w:unhideWhenUsed/>
    <w:qFormat/>
    <w:uiPriority w:val="99"/>
    <w:rPr>
      <w:color w:val="0000FF"/>
      <w:u w:val="single"/>
    </w:rPr>
  </w:style>
  <w:style w:type="paragraph" w:customStyle="1" w:styleId="14">
    <w:name w:val="样式2"/>
    <w:basedOn w:val="1"/>
    <w:qFormat/>
    <w:uiPriority w:val="0"/>
    <w:pPr>
      <w:widowControl/>
      <w:shd w:val="clear" w:color="auto" w:fill="FFFFFF"/>
      <w:spacing w:before="100" w:beforeAutospacing="1" w:after="100" w:afterAutospacing="1"/>
      <w:ind w:left="562"/>
      <w:jc w:val="center"/>
    </w:pPr>
    <w:rPr>
      <w:rFonts w:hint="eastAsia" w:ascii="宋体" w:hAnsi="宋体"/>
      <w:b/>
      <w:sz w:val="21"/>
    </w:rPr>
  </w:style>
  <w:style w:type="character" w:customStyle="1" w:styleId="15">
    <w:name w:val="zy-fr-bj20"/>
    <w:basedOn w:val="11"/>
    <w:qFormat/>
    <w:uiPriority w:val="0"/>
  </w:style>
  <w:style w:type="character" w:customStyle="1" w:styleId="16">
    <w:name w:val="页眉 字符"/>
    <w:basedOn w:val="11"/>
    <w:link w:val="7"/>
    <w:qFormat/>
    <w:uiPriority w:val="99"/>
    <w:rPr>
      <w:sz w:val="18"/>
      <w:szCs w:val="18"/>
    </w:rPr>
  </w:style>
  <w:style w:type="character" w:customStyle="1" w:styleId="17">
    <w:name w:val="页脚 字符"/>
    <w:basedOn w:val="11"/>
    <w:link w:val="6"/>
    <w:qFormat/>
    <w:uiPriority w:val="99"/>
    <w:rPr>
      <w:sz w:val="18"/>
      <w:szCs w:val="18"/>
    </w:rPr>
  </w:style>
  <w:style w:type="paragraph" w:customStyle="1" w:styleId="18">
    <w:name w:val="样式1"/>
    <w:basedOn w:val="1"/>
    <w:qFormat/>
    <w:uiPriority w:val="0"/>
    <w:pPr>
      <w:adjustRightInd w:val="0"/>
      <w:ind w:firstLine="200" w:firstLineChars="200"/>
      <w:textAlignment w:val="baseline"/>
    </w:pPr>
    <w:rPr>
      <w:rFonts w:ascii="宋体" w:hAnsi="宋体" w:eastAsia="仿宋_GB2312" w:cs="Times New Roman"/>
      <w:kern w:val="0"/>
      <w:sz w:val="28"/>
      <w:szCs w:val="28"/>
    </w:rPr>
  </w:style>
  <w:style w:type="paragraph" w:customStyle="1" w:styleId="19">
    <w:name w:val="列出段落1"/>
    <w:basedOn w:val="1"/>
    <w:qFormat/>
    <w:uiPriority w:val="99"/>
    <w:pPr>
      <w:spacing w:line="360" w:lineRule="auto"/>
      <w:ind w:firstLine="420" w:firstLineChars="200"/>
    </w:pPr>
    <w:rPr>
      <w:rFonts w:eastAsia="仿宋_GB2312"/>
    </w:rPr>
  </w:style>
  <w:style w:type="paragraph" w:customStyle="1" w:styleId="20">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1">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6247</Words>
  <Characters>6841</Characters>
  <Lines>36</Lines>
  <Paragraphs>10</Paragraphs>
  <TotalTime>6</TotalTime>
  <ScaleCrop>false</ScaleCrop>
  <LinksUpToDate>false</LinksUpToDate>
  <CharactersWithSpaces>6894</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2020-08-22T22:02:00Z</dcterms:created>
  <dc:creator>李 荡</dc:creator>
  <cp:lastModifiedBy>熊瞎子</cp:lastModifiedBy>
  <cp:lastPrinted>2022-06-10T05:16:00Z</cp:lastPrinted>
  <dcterms:modified xsi:type="dcterms:W3CDTF">2023-05-30T09:14:11Z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3532C244D31A2BDE8C48756417BFC56D_43</vt:lpwstr>
  </property>
</Properties>
</file>