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jc w:val="center"/>
        <w:outlineLvl w:val="1"/>
        <w:rPr>
          <w:rFonts w:ascii="微软雅黑" w:hAnsi="微软雅黑" w:cs="宋体"/>
          <w:b/>
          <w:bCs/>
          <w:color w:val="000000" w:themeColor="text1"/>
          <w:kern w:val="0"/>
          <w:sz w:val="39"/>
          <w:szCs w:val="39"/>
          <w14:textFill>
            <w14:solidFill>
              <w14:schemeClr w14:val="tx1"/>
            </w14:solidFill>
          </w14:textFill>
        </w:rPr>
      </w:pPr>
      <w:r>
        <w:rPr>
          <w:rFonts w:hint="eastAsia" w:ascii="微软雅黑" w:hAnsi="微软雅黑" w:cs="宋体"/>
          <w:b/>
          <w:bCs/>
          <w:color w:val="000000" w:themeColor="text1"/>
          <w:kern w:val="0"/>
          <w:sz w:val="39"/>
          <w:szCs w:val="39"/>
          <w14:textFill>
            <w14:solidFill>
              <w14:schemeClr w14:val="tx1"/>
            </w14:solidFill>
          </w14:textFill>
        </w:rPr>
        <w:t>湘潭县202</w:t>
      </w:r>
      <w:r>
        <w:rPr>
          <w:rFonts w:hint="eastAsia" w:ascii="微软雅黑" w:hAnsi="微软雅黑" w:cs="宋体"/>
          <w:b/>
          <w:bCs/>
          <w:color w:val="000000" w:themeColor="text1"/>
          <w:kern w:val="0"/>
          <w:sz w:val="39"/>
          <w:szCs w:val="39"/>
          <w:lang w:val="en-US" w:eastAsia="zh-CN"/>
          <w14:textFill>
            <w14:solidFill>
              <w14:schemeClr w14:val="tx1"/>
            </w14:solidFill>
          </w14:textFill>
        </w:rPr>
        <w:t>2</w:t>
      </w:r>
      <w:r>
        <w:rPr>
          <w:rFonts w:hint="eastAsia" w:ascii="微软雅黑" w:hAnsi="微软雅黑" w:cs="宋体"/>
          <w:b/>
          <w:bCs/>
          <w:color w:val="000000" w:themeColor="text1"/>
          <w:kern w:val="0"/>
          <w:sz w:val="39"/>
          <w:szCs w:val="39"/>
          <w14:textFill>
            <w14:solidFill>
              <w14:schemeClr w14:val="tx1"/>
            </w14:solidFill>
          </w14:textFill>
        </w:rPr>
        <w:t>年度谭家山镇人民政府部门整体支出绩效评价报告</w:t>
      </w:r>
    </w:p>
    <w:tbl>
      <w:tblPr>
        <w:tblStyle w:val="8"/>
        <w:tblW w:w="903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84"/>
        <w:gridCol w:w="1697"/>
        <w:gridCol w:w="59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384" w:type="dxa"/>
            <w:vMerge w:val="restart"/>
            <w:vAlign w:val="center"/>
          </w:tcPr>
          <w:p>
            <w:pPr>
              <w:spacing w:line="576" w:lineRule="exact"/>
              <w:jc w:val="center"/>
              <w:rPr>
                <w:rFonts w:ascii="仿宋_GB2312" w:hAnsi="宋体" w:eastAsia="仿宋_GB2312" w:cs="宋体"/>
                <w:sz w:val="24"/>
              </w:rPr>
            </w:pPr>
            <w:r>
              <w:rPr>
                <w:rFonts w:hint="eastAsia" w:ascii="仿宋_GB2312" w:hAnsi="宋体" w:eastAsia="仿宋_GB2312" w:cs="宋体"/>
                <w:sz w:val="24"/>
              </w:rPr>
              <w:t>部门概况</w:t>
            </w:r>
          </w:p>
        </w:tc>
        <w:tc>
          <w:tcPr>
            <w:tcW w:w="1697" w:type="dxa"/>
            <w:vAlign w:val="center"/>
          </w:tcPr>
          <w:p>
            <w:pPr>
              <w:spacing w:line="576" w:lineRule="exact"/>
              <w:jc w:val="center"/>
              <w:rPr>
                <w:rFonts w:ascii="仿宋_GB2312" w:hAnsi="宋体" w:eastAsia="仿宋_GB2312" w:cs="宋体"/>
                <w:sz w:val="24"/>
              </w:rPr>
            </w:pPr>
            <w:r>
              <w:rPr>
                <w:rFonts w:hint="eastAsia" w:ascii="仿宋_GB2312" w:hAnsi="宋体" w:eastAsia="仿宋_GB2312" w:cs="宋体"/>
                <w:sz w:val="24"/>
              </w:rPr>
              <w:t>单位名称</w:t>
            </w:r>
          </w:p>
        </w:tc>
        <w:tc>
          <w:tcPr>
            <w:tcW w:w="5958" w:type="dxa"/>
            <w:vAlign w:val="center"/>
          </w:tcPr>
          <w:p>
            <w:pPr>
              <w:widowControl/>
              <w:spacing w:line="480" w:lineRule="auto"/>
              <w:jc w:val="center"/>
              <w:rPr>
                <w:rFonts w:ascii="仿宋_GB2312" w:hAnsi="宋体" w:eastAsia="仿宋_GB2312" w:cs="宋体"/>
                <w:sz w:val="24"/>
              </w:rPr>
            </w:pPr>
            <w:r>
              <w:rPr>
                <w:rFonts w:hint="eastAsia" w:ascii="仿宋_GB2312" w:eastAsia="仿宋_GB2312"/>
                <w:sz w:val="24"/>
              </w:rPr>
              <w:t>湘潭县谭家山镇人民政府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384" w:type="dxa"/>
            <w:vMerge w:val="continue"/>
          </w:tcPr>
          <w:p>
            <w:pPr>
              <w:spacing w:line="576" w:lineRule="exact"/>
              <w:jc w:val="center"/>
              <w:rPr>
                <w:rFonts w:ascii="仿宋_GB2312" w:hAnsi="宋体" w:eastAsia="仿宋_GB2312" w:cs="宋体"/>
                <w:sz w:val="24"/>
              </w:rPr>
            </w:pPr>
          </w:p>
        </w:tc>
        <w:tc>
          <w:tcPr>
            <w:tcW w:w="1697" w:type="dxa"/>
            <w:vAlign w:val="center"/>
          </w:tcPr>
          <w:p>
            <w:pPr>
              <w:spacing w:line="576" w:lineRule="exact"/>
              <w:jc w:val="center"/>
              <w:rPr>
                <w:rFonts w:ascii="仿宋_GB2312" w:hAnsi="宋体" w:eastAsia="仿宋_GB2312" w:cs="宋体"/>
                <w:sz w:val="24"/>
              </w:rPr>
            </w:pPr>
            <w:r>
              <w:rPr>
                <w:rFonts w:hint="eastAsia" w:ascii="仿宋_GB2312" w:hAnsi="宋体" w:eastAsia="仿宋_GB2312" w:cs="宋体"/>
                <w:sz w:val="24"/>
              </w:rPr>
              <w:t>年度预算金额</w:t>
            </w:r>
          </w:p>
        </w:tc>
        <w:tc>
          <w:tcPr>
            <w:tcW w:w="5958" w:type="dxa"/>
            <w:vAlign w:val="center"/>
          </w:tcPr>
          <w:p>
            <w:pPr>
              <w:spacing w:line="576" w:lineRule="exact"/>
              <w:ind w:right="880" w:rightChars="419"/>
              <w:jc w:val="center"/>
              <w:rPr>
                <w:rFonts w:ascii="仿宋_GB2312" w:hAnsi="宋体" w:eastAsia="仿宋_GB2312" w:cs="宋体"/>
                <w:sz w:val="24"/>
              </w:rPr>
            </w:pPr>
            <w:r>
              <w:rPr>
                <w:rFonts w:hint="eastAsia" w:ascii="仿宋_GB2312" w:eastAsia="仿宋_GB2312"/>
                <w:color w:val="000000"/>
                <w:sz w:val="21"/>
                <w:szCs w:val="21"/>
                <w:lang w:val="en-US" w:eastAsia="zh-CN"/>
              </w:rPr>
              <w:t>49,220,087.00</w:t>
            </w:r>
            <w:r>
              <w:rPr>
                <w:rFonts w:hint="eastAsia" w:ascii="仿宋_GB2312" w:hAnsi="宋体" w:eastAsia="仿宋_GB2312" w:cs="宋体"/>
                <w:kern w:val="0"/>
                <w:sz w:val="24"/>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384" w:type="dxa"/>
            <w:vMerge w:val="continue"/>
          </w:tcPr>
          <w:p>
            <w:pPr>
              <w:spacing w:line="576" w:lineRule="exact"/>
              <w:jc w:val="center"/>
              <w:rPr>
                <w:rFonts w:ascii="仿宋_GB2312" w:hAnsi="宋体" w:eastAsia="仿宋_GB2312" w:cs="宋体"/>
                <w:sz w:val="24"/>
              </w:rPr>
            </w:pPr>
          </w:p>
        </w:tc>
        <w:tc>
          <w:tcPr>
            <w:tcW w:w="1697" w:type="dxa"/>
            <w:vAlign w:val="center"/>
          </w:tcPr>
          <w:p>
            <w:pPr>
              <w:spacing w:line="576" w:lineRule="exact"/>
              <w:jc w:val="center"/>
              <w:rPr>
                <w:rFonts w:ascii="仿宋_GB2312" w:hAnsi="宋体" w:eastAsia="仿宋_GB2312" w:cs="宋体"/>
                <w:sz w:val="24"/>
              </w:rPr>
            </w:pPr>
            <w:r>
              <w:rPr>
                <w:rFonts w:hint="eastAsia" w:ascii="仿宋_GB2312" w:hAnsi="宋体" w:eastAsia="仿宋_GB2312" w:cs="宋体"/>
                <w:sz w:val="24"/>
              </w:rPr>
              <w:t>主管部门</w:t>
            </w:r>
          </w:p>
        </w:tc>
        <w:tc>
          <w:tcPr>
            <w:tcW w:w="5958" w:type="dxa"/>
            <w:vAlign w:val="center"/>
          </w:tcPr>
          <w:p>
            <w:pPr>
              <w:spacing w:line="576" w:lineRule="exact"/>
              <w:ind w:right="880" w:rightChars="419"/>
              <w:jc w:val="center"/>
              <w:rPr>
                <w:rFonts w:ascii="仿宋_GB2312" w:hAnsi="宋体" w:eastAsia="仿宋_GB2312" w:cs="宋体"/>
                <w:sz w:val="24"/>
              </w:rPr>
            </w:pPr>
            <w:r>
              <w:rPr>
                <w:rFonts w:hint="eastAsia" w:ascii="仿宋_GB2312" w:hAnsi="宋体" w:eastAsia="仿宋_GB2312" w:cs="宋体"/>
                <w:sz w:val="24"/>
              </w:rPr>
              <w:t>湘潭县人民政府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0" w:hRule="atLeast"/>
          <w:jc w:val="center"/>
        </w:trPr>
        <w:tc>
          <w:tcPr>
            <w:tcW w:w="1384" w:type="dxa"/>
            <w:vMerge w:val="continue"/>
          </w:tcPr>
          <w:p>
            <w:pPr>
              <w:spacing w:line="576" w:lineRule="exact"/>
              <w:jc w:val="center"/>
              <w:rPr>
                <w:rFonts w:ascii="仿宋_GB2312" w:hAnsi="宋体" w:eastAsia="仿宋_GB2312" w:cs="宋体"/>
                <w:sz w:val="24"/>
              </w:rPr>
            </w:pPr>
          </w:p>
        </w:tc>
        <w:tc>
          <w:tcPr>
            <w:tcW w:w="1697" w:type="dxa"/>
            <w:vAlign w:val="center"/>
          </w:tcPr>
          <w:p>
            <w:pPr>
              <w:spacing w:line="576" w:lineRule="exact"/>
              <w:jc w:val="center"/>
              <w:rPr>
                <w:rFonts w:ascii="仿宋_GB2312" w:hAnsi="宋体" w:eastAsia="仿宋_GB2312" w:cs="宋体"/>
                <w:sz w:val="24"/>
              </w:rPr>
            </w:pPr>
            <w:r>
              <w:rPr>
                <w:rFonts w:hint="eastAsia" w:ascii="仿宋_GB2312" w:hAnsi="宋体" w:eastAsia="仿宋_GB2312" w:cs="宋体"/>
                <w:sz w:val="24"/>
              </w:rPr>
              <w:t>单位基本职能</w:t>
            </w:r>
          </w:p>
        </w:tc>
        <w:tc>
          <w:tcPr>
            <w:tcW w:w="5958" w:type="dxa"/>
            <w:vAlign w:val="center"/>
          </w:tcPr>
          <w:p>
            <w:pPr>
              <w:widowControl/>
              <w:spacing w:line="360" w:lineRule="auto"/>
              <w:ind w:firstLine="480" w:firstLineChars="200"/>
              <w:jc w:val="left"/>
              <w:rPr>
                <w:rFonts w:ascii="仿宋_GB2312" w:hAnsi="宋体" w:eastAsia="仿宋_GB2312" w:cs="宋体"/>
                <w:kern w:val="0"/>
                <w:sz w:val="24"/>
              </w:rPr>
            </w:pPr>
            <w:r>
              <w:rPr>
                <w:rFonts w:hint="eastAsia" w:ascii="仿宋_GB2312" w:hAnsi="宋体" w:eastAsia="仿宋_GB2312" w:cs="宋体"/>
                <w:kern w:val="0"/>
                <w:sz w:val="24"/>
              </w:rPr>
              <w:t>1.制定和组织实施经济、科技和社会发展计划，制定矿区综合治理改造和产业结构调整方案，组织指导好各业生产，搞好商品流通，协调好本镇与外地区的经济交流与合作，抓好招商引资，人才引进项目开发，不断培育市场体系，组织经济运行，促进经济发展。  </w:t>
            </w:r>
          </w:p>
          <w:p>
            <w:pPr>
              <w:widowControl/>
              <w:spacing w:line="360" w:lineRule="auto"/>
              <w:ind w:firstLine="480" w:firstLineChars="200"/>
              <w:jc w:val="left"/>
              <w:rPr>
                <w:rFonts w:hint="eastAsia" w:ascii="仿宋_GB2312" w:hAnsi="宋体" w:eastAsia="仿宋_GB2312" w:cs="宋体"/>
                <w:kern w:val="0"/>
                <w:sz w:val="24"/>
              </w:rPr>
            </w:pPr>
            <w:r>
              <w:rPr>
                <w:rFonts w:hint="eastAsia" w:ascii="仿宋_GB2312" w:hAnsi="宋体" w:eastAsia="仿宋_GB2312" w:cs="宋体"/>
                <w:kern w:val="0"/>
                <w:sz w:val="24"/>
              </w:rPr>
              <w:t>2.制定并组织实施村镇建设规划，部署重点工程建设，地方道路建设及公共设施，水利设施的管理，负责土地、林木、水等自然资源和生态环境的保护，做好护林防火工作。    </w:t>
            </w:r>
          </w:p>
          <w:p>
            <w:pPr>
              <w:widowControl/>
              <w:spacing w:line="360" w:lineRule="auto"/>
              <w:ind w:firstLine="480" w:firstLineChars="200"/>
              <w:jc w:val="left"/>
              <w:rPr>
                <w:rFonts w:hint="eastAsia" w:ascii="仿宋_GB2312" w:hAnsi="宋体" w:eastAsia="仿宋_GB2312" w:cs="宋体"/>
                <w:kern w:val="0"/>
                <w:sz w:val="24"/>
              </w:rPr>
            </w:pPr>
            <w:r>
              <w:rPr>
                <w:rFonts w:hint="eastAsia" w:ascii="仿宋_GB2312" w:hAnsi="宋体" w:eastAsia="仿宋_GB2312" w:cs="宋体"/>
                <w:kern w:val="0"/>
                <w:sz w:val="24"/>
              </w:rPr>
              <w:t>3.负责本行政区域内的民政、计划生育、文化教育、卫生、体育等社会公益事业的综合性工作，维护一切经济单位和个人的正当经济权益，取缔非法经济活动，调解和处理民事纠纷，打击刑事犯罪维护社会稳定。    </w:t>
            </w:r>
          </w:p>
          <w:p>
            <w:pPr>
              <w:spacing w:line="360" w:lineRule="auto"/>
              <w:ind w:firstLine="480" w:firstLineChars="200"/>
              <w:rPr>
                <w:rFonts w:ascii="仿宋_GB2312" w:hAnsi="仿宋_GB2312" w:eastAsia="仿宋_GB2312" w:cs="仿宋_GB2312"/>
                <w:sz w:val="24"/>
              </w:rPr>
            </w:pPr>
            <w:r>
              <w:rPr>
                <w:rFonts w:hint="eastAsia" w:ascii="仿宋_GB2312" w:hAnsi="宋体" w:eastAsia="仿宋_GB2312" w:cs="宋体"/>
                <w:kern w:val="0"/>
                <w:sz w:val="24"/>
              </w:rPr>
              <w:t>4.按计划组织本级财政收入和地方税的征收，完成国家财政计划，不断培植税源，管好财政资金，增强财政实力。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jc w:val="center"/>
        </w:trPr>
        <w:tc>
          <w:tcPr>
            <w:tcW w:w="1384" w:type="dxa"/>
            <w:vMerge w:val="restart"/>
            <w:vAlign w:val="center"/>
          </w:tcPr>
          <w:p>
            <w:pPr>
              <w:spacing w:line="576" w:lineRule="exact"/>
              <w:jc w:val="center"/>
              <w:rPr>
                <w:rFonts w:ascii="仿宋_GB2312" w:hAnsi="宋体" w:eastAsia="仿宋_GB2312" w:cs="宋体"/>
                <w:sz w:val="24"/>
              </w:rPr>
            </w:pPr>
            <w:r>
              <w:rPr>
                <w:rFonts w:hint="eastAsia" w:ascii="仿宋_GB2312" w:hAnsi="宋体" w:eastAsia="仿宋_GB2312" w:cs="宋体"/>
                <w:sz w:val="24"/>
              </w:rPr>
              <w:t>绩效完成情况</w:t>
            </w:r>
          </w:p>
        </w:tc>
        <w:tc>
          <w:tcPr>
            <w:tcW w:w="1697" w:type="dxa"/>
            <w:vAlign w:val="center"/>
          </w:tcPr>
          <w:p>
            <w:pPr>
              <w:spacing w:line="576" w:lineRule="exact"/>
              <w:jc w:val="center"/>
              <w:rPr>
                <w:rFonts w:ascii="仿宋_GB2312" w:hAnsi="宋体" w:eastAsia="仿宋_GB2312" w:cs="宋体"/>
                <w:sz w:val="24"/>
              </w:rPr>
            </w:pPr>
            <w:r>
              <w:rPr>
                <w:rFonts w:hint="eastAsia" w:ascii="仿宋_GB2312" w:hAnsi="宋体" w:eastAsia="仿宋_GB2312" w:cs="宋体"/>
                <w:sz w:val="24"/>
              </w:rPr>
              <w:t>部门整体支出管理和使用基本情况</w:t>
            </w:r>
          </w:p>
        </w:tc>
        <w:tc>
          <w:tcPr>
            <w:tcW w:w="5958" w:type="dxa"/>
            <w:shd w:val="clear" w:color="auto" w:fill="auto"/>
            <w:vAlign w:val="center"/>
          </w:tcPr>
          <w:p>
            <w:pPr>
              <w:spacing w:line="360" w:lineRule="auto"/>
              <w:ind w:firstLine="480" w:firstLineChars="200"/>
              <w:rPr>
                <w:rFonts w:ascii="仿宋_GB2312" w:hAnsi="仿宋_GB2312" w:eastAsia="仿宋_GB2312" w:cs="仿宋_GB2312"/>
                <w:sz w:val="24"/>
              </w:rPr>
            </w:pPr>
            <w:r>
              <w:rPr>
                <w:rFonts w:hint="eastAsia" w:ascii="仿宋_GB2312" w:hAnsi="宋体" w:eastAsia="仿宋_GB2312" w:cs="宋体"/>
                <w:kern w:val="0"/>
                <w:sz w:val="24"/>
              </w:rPr>
              <w:t>始终认真贯彻执行《会计法》、《预算法》、《行政单位会计制度》等法律法规，各项经费支出严格按照政府采购、国库集中支付等有关规定执行。同时我镇先后制订了《湘潭县谭家山镇预算管理制度》、《湘潭县谭家山镇政府采购管理办法》、《湘潭县谭家山镇财务管理制度》、《湘潭县谭家山镇支出管理制度》、《湘潭县谭家山镇固定资产管理办法》等相关制度，明确了经费审批权限及程序，经费预算、核算管理、资产购置与处置、财务监督等。在“三公”经费管理方面，规范了公务接待的审批管理，较好地控制了行政运行成本。202</w:t>
            </w:r>
            <w:r>
              <w:rPr>
                <w:rFonts w:hint="eastAsia" w:ascii="仿宋_GB2312" w:hAnsi="宋体" w:eastAsia="仿宋_GB2312" w:cs="宋体"/>
                <w:kern w:val="0"/>
                <w:sz w:val="24"/>
                <w:lang w:val="en-US" w:eastAsia="zh-CN"/>
              </w:rPr>
              <w:t>2</w:t>
            </w:r>
            <w:r>
              <w:rPr>
                <w:rFonts w:hint="eastAsia" w:ascii="仿宋_GB2312" w:hAnsi="宋体" w:eastAsia="仿宋_GB2312" w:cs="宋体"/>
                <w:kern w:val="0"/>
                <w:sz w:val="24"/>
              </w:rPr>
              <w:t>年部门整体支出</w:t>
            </w:r>
            <w:r>
              <w:rPr>
                <w:rFonts w:hint="eastAsia" w:ascii="仿宋_GB2312" w:hAnsi="宋体" w:eastAsia="仿宋_GB2312" w:cs="宋体"/>
                <w:kern w:val="0"/>
                <w:sz w:val="24"/>
                <w:lang w:val="en-US" w:eastAsia="zh-CN"/>
              </w:rPr>
              <w:t>3702.13</w:t>
            </w:r>
            <w:r>
              <w:rPr>
                <w:rFonts w:hint="eastAsia" w:ascii="仿宋_GB2312" w:hAnsi="宋体" w:eastAsia="仿宋_GB2312" w:cs="宋体"/>
                <w:kern w:val="0"/>
                <w:sz w:val="24"/>
              </w:rPr>
              <w:t>万元，支出按支出性质分类为：基本支出</w:t>
            </w:r>
            <w:r>
              <w:rPr>
                <w:rFonts w:hint="eastAsia" w:ascii="仿宋_GB2312" w:hAnsi="宋体" w:eastAsia="仿宋_GB2312" w:cs="宋体"/>
                <w:kern w:val="0"/>
                <w:sz w:val="24"/>
                <w:lang w:val="en-US" w:eastAsia="zh-CN"/>
              </w:rPr>
              <w:t>3627.20</w:t>
            </w:r>
            <w:r>
              <w:rPr>
                <w:rFonts w:hint="eastAsia" w:ascii="仿宋_GB2312" w:hAnsi="宋体" w:eastAsia="仿宋_GB2312" w:cs="宋体"/>
                <w:kern w:val="0"/>
                <w:sz w:val="24"/>
              </w:rPr>
              <w:t>万元（其中：人员经费</w:t>
            </w:r>
            <w:r>
              <w:rPr>
                <w:rFonts w:hint="eastAsia" w:ascii="仿宋_GB2312" w:hAnsi="宋体" w:eastAsia="仿宋_GB2312" w:cs="宋体"/>
                <w:kern w:val="0"/>
                <w:sz w:val="24"/>
                <w:lang w:val="en-US" w:eastAsia="zh-CN"/>
              </w:rPr>
              <w:t>2129.85</w:t>
            </w:r>
            <w:r>
              <w:rPr>
                <w:rFonts w:hint="eastAsia" w:ascii="仿宋_GB2312" w:hAnsi="宋体" w:eastAsia="仿宋_GB2312" w:cs="宋体"/>
                <w:kern w:val="0"/>
                <w:sz w:val="24"/>
              </w:rPr>
              <w:t>万元，日常公用经费</w:t>
            </w:r>
            <w:r>
              <w:rPr>
                <w:rFonts w:hint="eastAsia" w:ascii="仿宋_GB2312" w:hAnsi="宋体" w:eastAsia="仿宋_GB2312" w:cs="宋体"/>
                <w:kern w:val="0"/>
                <w:sz w:val="24"/>
                <w:lang w:val="en-US" w:eastAsia="zh-CN"/>
              </w:rPr>
              <w:t>1497.35</w:t>
            </w:r>
            <w:r>
              <w:rPr>
                <w:rFonts w:hint="eastAsia" w:ascii="仿宋_GB2312" w:hAnsi="宋体" w:eastAsia="仿宋_GB2312" w:cs="宋体"/>
                <w:kern w:val="0"/>
                <w:sz w:val="24"/>
              </w:rPr>
              <w:t>万元，项目支出：</w:t>
            </w:r>
            <w:r>
              <w:rPr>
                <w:rFonts w:hint="eastAsia" w:ascii="仿宋_GB2312" w:hAnsi="宋体" w:eastAsia="仿宋_GB2312" w:cs="宋体"/>
                <w:kern w:val="0"/>
                <w:sz w:val="24"/>
                <w:lang w:val="en-US" w:eastAsia="zh-CN"/>
              </w:rPr>
              <w:t>74.93</w:t>
            </w:r>
            <w:r>
              <w:rPr>
                <w:rFonts w:hint="eastAsia" w:ascii="仿宋_GB2312" w:hAnsi="宋体" w:eastAsia="仿宋_GB2312" w:cs="宋体"/>
                <w:kern w:val="0"/>
                <w:sz w:val="24"/>
              </w:rPr>
              <w:t>）。支出按经济分类为：工资福利支出</w:t>
            </w:r>
            <w:r>
              <w:rPr>
                <w:rFonts w:hint="eastAsia" w:ascii="仿宋_GB2312" w:hAnsi="宋体" w:eastAsia="仿宋_GB2312" w:cs="宋体"/>
                <w:kern w:val="0"/>
                <w:sz w:val="24"/>
                <w:lang w:val="en-US" w:eastAsia="zh-CN"/>
              </w:rPr>
              <w:t>1972.99</w:t>
            </w:r>
            <w:r>
              <w:rPr>
                <w:rFonts w:hint="eastAsia" w:ascii="仿宋_GB2312" w:hAnsi="宋体" w:eastAsia="仿宋_GB2312" w:cs="宋体"/>
                <w:kern w:val="0"/>
                <w:sz w:val="24"/>
              </w:rPr>
              <w:t>万元，商品和服务支出</w:t>
            </w:r>
            <w:r>
              <w:rPr>
                <w:rFonts w:hint="eastAsia" w:ascii="仿宋_GB2312" w:hAnsi="宋体" w:eastAsia="仿宋_GB2312" w:cs="宋体"/>
                <w:kern w:val="0"/>
                <w:sz w:val="24"/>
                <w:lang w:val="en-US" w:eastAsia="zh-CN"/>
              </w:rPr>
              <w:t>1533.76</w:t>
            </w:r>
            <w:r>
              <w:rPr>
                <w:rFonts w:hint="eastAsia" w:ascii="仿宋_GB2312" w:hAnsi="宋体" w:eastAsia="仿宋_GB2312" w:cs="宋体"/>
                <w:kern w:val="0"/>
                <w:sz w:val="24"/>
              </w:rPr>
              <w:t>万元，对个人和家庭的补助</w:t>
            </w:r>
            <w:r>
              <w:rPr>
                <w:rFonts w:hint="eastAsia" w:ascii="仿宋_GB2312" w:hAnsi="宋体" w:eastAsia="仿宋_GB2312" w:cs="宋体"/>
                <w:kern w:val="0"/>
                <w:sz w:val="24"/>
                <w:lang w:val="en-US" w:eastAsia="zh-CN"/>
              </w:rPr>
              <w:t>156.86</w:t>
            </w:r>
            <w:r>
              <w:rPr>
                <w:rFonts w:hint="eastAsia" w:ascii="仿宋_GB2312" w:hAnsi="宋体" w:eastAsia="仿宋_GB2312" w:cs="宋体"/>
                <w:kern w:val="0"/>
                <w:sz w:val="24"/>
              </w:rPr>
              <w:t>万元，资本性支出</w:t>
            </w:r>
            <w:r>
              <w:rPr>
                <w:rFonts w:hint="eastAsia" w:ascii="仿宋_GB2312" w:hAnsi="宋体" w:eastAsia="仿宋_GB2312" w:cs="宋体"/>
                <w:kern w:val="0"/>
                <w:sz w:val="24"/>
                <w:lang w:val="en-US" w:eastAsia="zh-CN"/>
              </w:rPr>
              <w:t>3.15</w:t>
            </w:r>
            <w:r>
              <w:rPr>
                <w:rFonts w:hint="eastAsia" w:ascii="仿宋_GB2312" w:hAnsi="宋体" w:eastAsia="仿宋_GB2312" w:cs="宋体"/>
                <w:kern w:val="0"/>
                <w:sz w:val="24"/>
              </w:rPr>
              <w:t>万元</w:t>
            </w:r>
            <w:r>
              <w:rPr>
                <w:rFonts w:hint="eastAsia" w:ascii="仿宋_GB2312" w:hAnsi="宋体" w:eastAsia="仿宋_GB2312" w:cs="宋体"/>
                <w:kern w:val="0"/>
                <w:sz w:val="24"/>
                <w:lang w:eastAsia="zh-CN"/>
              </w:rPr>
              <w:t>，</w:t>
            </w:r>
            <w:r>
              <w:rPr>
                <w:rFonts w:hint="eastAsia" w:ascii="仿宋_GB2312" w:hAnsi="宋体" w:eastAsia="仿宋_GB2312" w:cs="宋体"/>
                <w:kern w:val="0"/>
                <w:sz w:val="24"/>
                <w:lang w:val="en-US" w:eastAsia="zh-CN"/>
              </w:rPr>
              <w:t>对企业补助35.38万元</w:t>
            </w:r>
            <w:r>
              <w:rPr>
                <w:rFonts w:hint="eastAsia" w:ascii="仿宋_GB2312" w:hAnsi="宋体" w:eastAsia="仿宋_GB2312" w:cs="宋体"/>
                <w:kern w:val="0"/>
                <w:sz w:val="24"/>
              </w:rPr>
              <w:t>。202</w:t>
            </w:r>
            <w:r>
              <w:rPr>
                <w:rFonts w:hint="eastAsia" w:ascii="仿宋_GB2312" w:hAnsi="宋体" w:eastAsia="仿宋_GB2312" w:cs="宋体"/>
                <w:kern w:val="0"/>
                <w:sz w:val="24"/>
                <w:lang w:val="en-US" w:eastAsia="zh-CN"/>
              </w:rPr>
              <w:t>2</w:t>
            </w:r>
            <w:r>
              <w:rPr>
                <w:rFonts w:hint="eastAsia" w:ascii="仿宋_GB2312" w:hAnsi="宋体" w:eastAsia="仿宋_GB2312" w:cs="宋体"/>
                <w:kern w:val="0"/>
                <w:sz w:val="24"/>
              </w:rPr>
              <w:t>年“三公”经费支出：无。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0" w:hRule="atLeast"/>
          <w:jc w:val="center"/>
        </w:trPr>
        <w:tc>
          <w:tcPr>
            <w:tcW w:w="1384" w:type="dxa"/>
            <w:vMerge w:val="continue"/>
          </w:tcPr>
          <w:p>
            <w:pPr>
              <w:spacing w:line="576" w:lineRule="exact"/>
              <w:jc w:val="center"/>
              <w:rPr>
                <w:rFonts w:ascii="仿宋_GB2312" w:hAnsi="宋体" w:eastAsia="仿宋_GB2312" w:cs="宋体"/>
                <w:sz w:val="24"/>
              </w:rPr>
            </w:pPr>
          </w:p>
        </w:tc>
        <w:tc>
          <w:tcPr>
            <w:tcW w:w="1697" w:type="dxa"/>
            <w:vAlign w:val="center"/>
          </w:tcPr>
          <w:p>
            <w:pPr>
              <w:spacing w:line="576" w:lineRule="exact"/>
              <w:jc w:val="center"/>
              <w:rPr>
                <w:rFonts w:ascii="仿宋_GB2312" w:hAnsi="宋体" w:eastAsia="仿宋_GB2312" w:cs="宋体"/>
                <w:sz w:val="24"/>
              </w:rPr>
            </w:pPr>
            <w:r>
              <w:rPr>
                <w:rFonts w:hint="eastAsia" w:ascii="仿宋_GB2312" w:hAnsi="宋体" w:eastAsia="仿宋_GB2312" w:cs="宋体"/>
                <w:sz w:val="24"/>
              </w:rPr>
              <w:t>绩效目标完成情况</w:t>
            </w:r>
          </w:p>
        </w:tc>
        <w:tc>
          <w:tcPr>
            <w:tcW w:w="5958" w:type="dxa"/>
            <w:vAlign w:val="center"/>
          </w:tcPr>
          <w:p>
            <w:pPr>
              <w:pStyle w:val="2"/>
              <w:keepNext w:val="0"/>
              <w:keepLines w:val="0"/>
              <w:pageBreakBefore w:val="0"/>
              <w:widowControl w:val="0"/>
              <w:kinsoku/>
              <w:wordWrap/>
              <w:overflowPunct/>
              <w:topLinePunct w:val="0"/>
              <w:autoSpaceDE/>
              <w:autoSpaceDN/>
              <w:bidi w:val="0"/>
              <w:spacing w:before="0" w:after="0" w:line="360" w:lineRule="auto"/>
              <w:ind w:firstLine="480" w:firstLineChars="200"/>
              <w:jc w:val="both"/>
              <w:textAlignment w:val="auto"/>
              <w:rPr>
                <w:rFonts w:hint="default" w:ascii="仿宋_GB2312" w:hAnsi="宋体" w:eastAsia="仿宋_GB2312" w:cs="宋体"/>
                <w:kern w:val="0"/>
                <w:sz w:val="24"/>
                <w:szCs w:val="24"/>
                <w:lang w:val="en-US" w:eastAsia="zh-CN" w:bidi="ar-SA"/>
              </w:rPr>
            </w:pPr>
            <w:r>
              <w:rPr>
                <w:rFonts w:hint="default" w:ascii="仿宋_GB2312" w:hAnsi="宋体" w:eastAsia="仿宋_GB2312" w:cs="宋体"/>
                <w:kern w:val="0"/>
                <w:sz w:val="24"/>
                <w:szCs w:val="24"/>
                <w:lang w:val="en-US" w:eastAsia="zh-CN" w:bidi="ar-SA"/>
              </w:rPr>
              <w:t>2022年，是党的二十大胜利召开、第二个百年征程顺利开局之年，是政治承载厚重、历史意义深远的一年，也是我镇发展过程中极不容易、极不平凡的一年。</w:t>
            </w:r>
          </w:p>
          <w:p>
            <w:pPr>
              <w:pStyle w:val="2"/>
              <w:keepNext w:val="0"/>
              <w:keepLines w:val="0"/>
              <w:pageBreakBefore w:val="0"/>
              <w:widowControl w:val="0"/>
              <w:kinsoku/>
              <w:wordWrap/>
              <w:overflowPunct/>
              <w:topLinePunct w:val="0"/>
              <w:autoSpaceDE/>
              <w:autoSpaceDN/>
              <w:bidi w:val="0"/>
              <w:spacing w:before="0" w:after="0" w:line="360" w:lineRule="auto"/>
              <w:ind w:firstLine="480" w:firstLineChars="200"/>
              <w:jc w:val="both"/>
              <w:textAlignment w:val="auto"/>
              <w:rPr>
                <w:rFonts w:hint="default" w:ascii="仿宋_GB2312" w:hAnsi="宋体" w:eastAsia="仿宋_GB2312" w:cs="宋体"/>
                <w:kern w:val="0"/>
                <w:sz w:val="24"/>
                <w:szCs w:val="24"/>
                <w:lang w:val="en-US" w:eastAsia="zh-CN" w:bidi="ar-SA"/>
              </w:rPr>
            </w:pPr>
            <w:r>
              <w:rPr>
                <w:rFonts w:hint="default" w:ascii="仿宋_GB2312" w:hAnsi="宋体" w:eastAsia="仿宋_GB2312" w:cs="宋体"/>
                <w:kern w:val="0"/>
                <w:sz w:val="24"/>
                <w:szCs w:val="24"/>
                <w:lang w:val="en-US" w:eastAsia="zh-CN" w:bidi="ar-SA"/>
              </w:rPr>
              <w:t>一年来，在县委、县政府的正确领导下，全体镇村干部上下齐心、团结一致，坚持以习近平新时代中国特色社会主义思想为指导，以“三高四新”战略为根本遵循，以“三提一领”为导向，持续转作风、提效能、促转型、强振兴，如期打赢疫情防控阻击战、经济发展突围战、安全稳定保卫战，营造出平稳有序的经济环境、安居乐业的社会环境、风清气正的政治环境，为建设富裕文明、生态宜居、美丽和谐的谭家山镇迈出了坚实的步伐。</w:t>
            </w:r>
          </w:p>
          <w:p>
            <w:pPr>
              <w:pStyle w:val="2"/>
              <w:keepNext w:val="0"/>
              <w:keepLines w:val="0"/>
              <w:pageBreakBefore w:val="0"/>
              <w:widowControl w:val="0"/>
              <w:kinsoku/>
              <w:wordWrap/>
              <w:overflowPunct/>
              <w:topLinePunct w:val="0"/>
              <w:autoSpaceDE/>
              <w:autoSpaceDN/>
              <w:bidi w:val="0"/>
              <w:spacing w:before="0" w:after="0" w:line="360" w:lineRule="auto"/>
              <w:ind w:left="0" w:leftChars="0" w:firstLine="480" w:firstLineChars="200"/>
              <w:jc w:val="both"/>
              <w:textAlignment w:val="auto"/>
              <w:rPr>
                <w:rFonts w:hint="default" w:ascii="仿宋_GB2312" w:hAnsi="宋体" w:eastAsia="仿宋_GB2312" w:cs="宋体"/>
                <w:kern w:val="0"/>
                <w:sz w:val="24"/>
                <w:szCs w:val="24"/>
                <w:lang w:val="en-US" w:eastAsia="zh-CN" w:bidi="ar-SA"/>
              </w:rPr>
            </w:pPr>
            <w:r>
              <w:rPr>
                <w:rFonts w:hint="default" w:ascii="仿宋_GB2312" w:hAnsi="宋体" w:eastAsia="仿宋_GB2312" w:cs="宋体"/>
                <w:kern w:val="0"/>
                <w:sz w:val="24"/>
                <w:szCs w:val="24"/>
                <w:lang w:val="en-US" w:eastAsia="zh-CN" w:bidi="ar-SA"/>
              </w:rPr>
              <w:t>一年来，我们始终贯彻高质量发展，经济建设稳中有进。一是经济指标稳步提升。今年完成税收收入2874万元，比去年增长440万元，同比增长18.08%，完成非税收入82.08万元。完成固定资产投资3.8亿元，完成任务100%。完成规模工业产值4.52亿元，同比增速9.1%。全面开展税源情况大走访，摸清税源情况，并完善党政负责人联系企业制度，进一步为企业发展保驾护航。二是项目产业快速推进。醴娄高速项目今年完成了100个编号的房屋征收和拆除任务，基本实现了全线贯通。投资2.5亿元的大唐渔光互补光伏发电项目已完成建设并实现全容量并网。今年共接待客商18批次，完成招商引资项目3个，分别是盛彩建材的商品混凝土搬迁重建项目、百姓医院的改造扩建项目及湖南坚德教学设备有限公司的教育用具生产线项目，实现到位资金1.13亿元。</w:t>
            </w:r>
          </w:p>
          <w:p>
            <w:pPr>
              <w:pStyle w:val="2"/>
              <w:keepNext w:val="0"/>
              <w:keepLines w:val="0"/>
              <w:pageBreakBefore w:val="0"/>
              <w:widowControl w:val="0"/>
              <w:kinsoku/>
              <w:wordWrap/>
              <w:overflowPunct/>
              <w:topLinePunct w:val="0"/>
              <w:autoSpaceDE/>
              <w:autoSpaceDN/>
              <w:bidi w:val="0"/>
              <w:spacing w:before="0" w:after="0" w:line="360" w:lineRule="auto"/>
              <w:ind w:left="0" w:leftChars="0" w:firstLine="480" w:firstLineChars="200"/>
              <w:jc w:val="both"/>
              <w:textAlignment w:val="auto"/>
              <w:rPr>
                <w:rFonts w:hint="default" w:ascii="仿宋_GB2312" w:hAnsi="宋体" w:eastAsia="仿宋_GB2312" w:cs="宋体"/>
                <w:kern w:val="0"/>
                <w:sz w:val="24"/>
                <w:szCs w:val="24"/>
                <w:lang w:val="en-US" w:eastAsia="zh-CN" w:bidi="ar-SA"/>
              </w:rPr>
            </w:pPr>
            <w:r>
              <w:rPr>
                <w:rFonts w:hint="default" w:ascii="仿宋_GB2312" w:hAnsi="宋体" w:eastAsia="仿宋_GB2312" w:cs="宋体"/>
                <w:kern w:val="0"/>
                <w:sz w:val="24"/>
                <w:szCs w:val="24"/>
                <w:lang w:val="en-US" w:eastAsia="zh-CN" w:bidi="ar-SA"/>
              </w:rPr>
              <w:t>一年来，我们不断巩固脱贫攻坚成果，做实乡村振兴有效衔接。一是集体经济持续壮大。以“村集体+基地+农户”“村集体+培训机构”等模式打造“一村一品”，培育壮大集体经济。如月仙村的田园山庄，红星村的花艺苗圃和草皮基地，紫竹村的艺术培训，高丰村的网红腊肉小作坊均成效明显，全镇已有5个村集体经济经营性收入突破10万元，1个村突破30万元，其他各村集体经济全部突破5万元。二是全面巩固脱贫成效。全镇有建档立卡脱贫人口（含监测户）740户1513人，未消除风险档内监测户20户26人，未消除风险档外监测户7户16人，新纳入监测对象1户3人。摸排住房安全问题1个，已于10月进行新建并完工。享受义务教育资助259人，申报“雨露计划”55人次。慢病签约442人，每季度进行1次随访服务。脱贫人口就业562人，开发公益性岗位57个，均做实了政策的落地、落实。</w:t>
            </w:r>
          </w:p>
          <w:p>
            <w:pPr>
              <w:pStyle w:val="2"/>
              <w:keepNext w:val="0"/>
              <w:keepLines w:val="0"/>
              <w:pageBreakBefore w:val="0"/>
              <w:widowControl w:val="0"/>
              <w:kinsoku/>
              <w:wordWrap/>
              <w:overflowPunct/>
              <w:topLinePunct w:val="0"/>
              <w:autoSpaceDE/>
              <w:autoSpaceDN/>
              <w:bidi w:val="0"/>
              <w:spacing w:before="0" w:after="0" w:line="360" w:lineRule="auto"/>
              <w:ind w:left="0" w:leftChars="0" w:firstLine="480" w:firstLineChars="200"/>
              <w:jc w:val="both"/>
              <w:textAlignment w:val="auto"/>
              <w:rPr>
                <w:rFonts w:hint="default" w:ascii="仿宋_GB2312" w:hAnsi="宋体" w:eastAsia="仿宋_GB2312" w:cs="宋体"/>
                <w:kern w:val="0"/>
                <w:sz w:val="24"/>
                <w:szCs w:val="24"/>
                <w:lang w:val="en-US" w:eastAsia="zh-CN" w:bidi="ar-SA"/>
              </w:rPr>
            </w:pPr>
            <w:r>
              <w:rPr>
                <w:rFonts w:hint="default" w:ascii="仿宋_GB2312" w:hAnsi="宋体" w:eastAsia="仿宋_GB2312" w:cs="宋体"/>
                <w:kern w:val="0"/>
                <w:sz w:val="24"/>
                <w:szCs w:val="24"/>
                <w:lang w:val="en-US" w:eastAsia="zh-CN" w:bidi="ar-SA"/>
              </w:rPr>
              <w:t>一年来，我们奋发实干推动转型创新，农业农村全面提升。一是确保惠农政策落实。强化惠农补贴基础数据的采集核查，严把各类补贴数据审核和录入关，全年共发放97项惠农补贴，累计补贴金额2580.4万元。二是全力保障粮食生产。在粮食生产上严格落实书记、镇长粮食生产双组长制，落实粮食生产党政负责人联点包村制，细化生产任务，镇党委书记、镇长牵头办好500亩早专晚优集中联片示范。全镇完成粮食播种面积39280亩，其中早稻面积7040亩，专业化集中育秧面积1200亩，早稻集中育秧面积5090亩，一季稻22070亩，晚稻7480亩，旱粮2690亩。大豆玉米带状复合种植500亩，高档优质稻面积5516亩，努力克服了特大旱情带来的影响，实现了粮食总产19799吨。三是大力开展抛荒治理。坚持抛荒“零容忍”态度，通过摸清抛荒情况、培育新型主体、制定奖补政策、严厉追责机制、种植特色作物等方式有效治理耕地抛荒面积1975.1亩（其中上年摸排1142.1亩，今年摸排833亩）。四是农村环境稳步提升。实现生活垃圾处理付费制全覆盖，完成1.13万户57.08万元收缴目标，同时各村收取企业、个体户等生活垃圾处理服务费合计9.7万余元，群众参与率及收费率均接近100%。全面组织“四类”清理、开展“五治”行动，清理公共区域卫生死角320余处、清理河流（水库、山塘）漂浮垃圾170余处、国省县干道两侧砍青除杂15.2公里、清理镇区规划范围破损广告及“牛皮癣”500余处。动用工程机械、车辆450余台次，清理生活垃圾、淤泥、建筑废料等垃圾500余吨。引导群众积极参与人居环境提升，今年打造1个美丽乡村2个美丽屋场。以点带面做好厕改工作，通过村民小组实施“首厕过关制”，以单点示范效应推动整体工作进度，完成厕所革命任务460座。</w:t>
            </w:r>
          </w:p>
          <w:p>
            <w:pPr>
              <w:pStyle w:val="2"/>
              <w:keepNext w:val="0"/>
              <w:keepLines w:val="0"/>
              <w:pageBreakBefore w:val="0"/>
              <w:widowControl w:val="0"/>
              <w:kinsoku/>
              <w:wordWrap/>
              <w:overflowPunct/>
              <w:topLinePunct w:val="0"/>
              <w:autoSpaceDE/>
              <w:autoSpaceDN/>
              <w:bidi w:val="0"/>
              <w:spacing w:before="0" w:after="0" w:line="576" w:lineRule="exact"/>
              <w:ind w:left="0" w:leftChars="0" w:firstLine="480" w:firstLineChars="200"/>
              <w:jc w:val="both"/>
              <w:textAlignment w:val="auto"/>
              <w:rPr>
                <w:rFonts w:hint="default" w:ascii="仿宋_GB2312" w:hAnsi="宋体" w:eastAsia="仿宋_GB2312" w:cs="宋体"/>
                <w:kern w:val="0"/>
                <w:sz w:val="24"/>
                <w:szCs w:val="24"/>
                <w:lang w:val="en-US" w:eastAsia="zh-CN" w:bidi="ar-SA"/>
              </w:rPr>
            </w:pPr>
            <w:r>
              <w:rPr>
                <w:rFonts w:hint="default" w:ascii="仿宋_GB2312" w:hAnsi="宋体" w:eastAsia="仿宋_GB2312" w:cs="宋体"/>
                <w:kern w:val="0"/>
                <w:sz w:val="24"/>
                <w:szCs w:val="24"/>
                <w:lang w:val="en-US" w:eastAsia="zh-CN" w:bidi="ar-SA"/>
              </w:rPr>
              <w:t>一年来，我们坚定不移推进疫情防控，守护居民生命健康。一是全面推动疫苗接种。全年累积接种疫苗64847人次，其中接种第一剂疫苗25417人次，第二剂22337人次，第三剂17036人次，自疫情防控新十条发布后，我镇大力推动老年人疫苗接种工作，目前60-79岁人群接种率达83.02%，80岁以上第一剂覆盖率达82.19%，80岁以上加强针接种率达67.2%。二是全力做好疫情防控。全年对全国中高风险地区返乡人员2376人开展摸排，监测做实“三人组”工作，严格执行“7+3”管理模式，落实“七包一”管控措施。进一步强化公共场所管理，办理场所码627个，使用53835次。并通过村村响、上户走访、网络、微信群等多种方式告知群众时刻做好疫情防控工作，在疫情政策新十条出台前，确保了全镇零感染的目标，守护了一方健康。</w:t>
            </w:r>
          </w:p>
          <w:p>
            <w:pPr>
              <w:pStyle w:val="2"/>
              <w:keepNext w:val="0"/>
              <w:keepLines w:val="0"/>
              <w:pageBreakBefore w:val="0"/>
              <w:widowControl w:val="0"/>
              <w:kinsoku/>
              <w:wordWrap/>
              <w:overflowPunct/>
              <w:topLinePunct w:val="0"/>
              <w:autoSpaceDE/>
              <w:autoSpaceDN/>
              <w:bidi w:val="0"/>
              <w:spacing w:before="0" w:after="0" w:line="576" w:lineRule="exact"/>
              <w:ind w:left="0" w:leftChars="0" w:firstLine="480" w:firstLineChars="200"/>
              <w:jc w:val="both"/>
              <w:textAlignment w:val="auto"/>
              <w:rPr>
                <w:rFonts w:hint="default" w:ascii="仿宋_GB2312" w:hAnsi="宋体" w:eastAsia="仿宋_GB2312" w:cs="宋体"/>
                <w:kern w:val="0"/>
                <w:sz w:val="24"/>
                <w:szCs w:val="24"/>
                <w:lang w:val="en-US" w:eastAsia="zh-CN" w:bidi="ar-SA"/>
              </w:rPr>
            </w:pPr>
            <w:r>
              <w:rPr>
                <w:rFonts w:hint="default" w:ascii="仿宋_GB2312" w:hAnsi="宋体" w:eastAsia="仿宋_GB2312" w:cs="宋体"/>
                <w:kern w:val="0"/>
                <w:sz w:val="24"/>
                <w:szCs w:val="24"/>
                <w:lang w:val="en-US" w:eastAsia="zh-CN" w:bidi="ar-SA"/>
              </w:rPr>
              <w:t>一年来，我们不断提升居民生活质量，持续增进民生福祉。一是全面提升民生保障。社会救助方面，目前全镇享受农村低保446户725人，享受城镇低保53户68人。城乡困难群众临时救助201人次，资金22.3万元。儿童关怀方面，通过暑假爱心课堂、六一慰问、儿童之家等持续关注我镇留守儿童、困境儿童等。高龄老人方面，对181名高龄老人及时足额发放高龄补贴到位，通过党建+莲乡颐老项目打造邻里互助点2个、守望之家示范点1个。残疾人方面，对25名残疾人开展托养服务，赠送13台轮椅、16件拐杖、3个坐便器、2个助听器，为10户困难残疾人家庭进行无障碍改造，为8名残疾人培训谋生技能。退役军人方面，对全镇1447名退役军人建档立卡，并完成951人优待证申领发放。移民方面，移民直补资金64.02万元已于4月一次性发放到位。二是全心做好就业服务。今年完成新增农村劳动力转移就业200人，完成新增城镇转移就业219人，完成失业人员再就业40人，完成困难人员再就业5人，举办招聘会一场，举办电子商务师培训班和电工培训班共培训100人，办理就业失业证80本。三是全力推进乡风文明。持续开展殡葬改革，排查出“三沿六区”违法违建硬化大墓40座，活人墓3座，豪华大墓1座，并完成处理拆除。同时大力推进乡风文明，持续开展“推进移风易俗、弘扬文明新风”活动，鼓励村民摒弃陋习，棠霞村“殡葬改革”基金会的成立，更是得到群众的高度认可和推广。四是持续完善公共服务。完善政务服务体系，深入推进“三集中三到位”，完善政务服务体系建设，今年以来受理各类行政审批和服务事项500余件，基本实现简单事项即来即办、一般事项当天办结、复杂事项比法定时间缩减70%，基本实现了“只跑一次”。推动政务服务全覆盖，持续将与群众密切相关的事项受理权限下放到村（社区），共计下放45项公共服务事项，下沉84项村级高频事项“就近办”，并逐步完善三级“网上办”和“帮代办”工作机制，今年在一体化平台中办件1523件，办结率100%。办理一孩服务证37本，二孩服务证40本。完成76对免费孕前检查，孕产妇免费产前筛查100例，组织免费接送育龄妇女“两癌”筛查620人。五是大力推动基础建设。水利建设方面，涉及8个村的小水源工程和水库除险加固工程项目，投入建设资金300万元。10个村15个移民项目，投入项目资金135万元，以上两项水利工作均已完成建设任务并接受县级验收。道路交通方面，投入110万元，修复了C123、C146、Y998、Y100、Y096、C139道路，共修复20公里，补板8549平方米，摸排并安装临水临崖防护装置16处，对全镇40.64公里乡道进行养护。</w:t>
            </w:r>
          </w:p>
          <w:p>
            <w:pPr>
              <w:pStyle w:val="2"/>
              <w:keepNext w:val="0"/>
              <w:keepLines w:val="0"/>
              <w:pageBreakBefore w:val="0"/>
              <w:widowControl w:val="0"/>
              <w:kinsoku/>
              <w:wordWrap/>
              <w:overflowPunct/>
              <w:topLinePunct w:val="0"/>
              <w:autoSpaceDE/>
              <w:autoSpaceDN/>
              <w:bidi w:val="0"/>
              <w:spacing w:before="0" w:after="0" w:line="576" w:lineRule="exact"/>
              <w:ind w:firstLine="480" w:firstLineChars="200"/>
              <w:jc w:val="both"/>
              <w:textAlignment w:val="auto"/>
              <w:rPr>
                <w:rFonts w:hint="default" w:ascii="仿宋_GB2312" w:hAnsi="宋体" w:eastAsia="仿宋_GB2312" w:cs="宋体"/>
                <w:kern w:val="0"/>
                <w:sz w:val="24"/>
                <w:szCs w:val="24"/>
                <w:lang w:val="en-US" w:eastAsia="zh-CN" w:bidi="ar-SA"/>
              </w:rPr>
            </w:pPr>
            <w:r>
              <w:rPr>
                <w:rFonts w:hint="default" w:ascii="仿宋_GB2312" w:hAnsi="宋体" w:eastAsia="仿宋_GB2312" w:cs="宋体"/>
                <w:kern w:val="0"/>
                <w:sz w:val="24"/>
                <w:szCs w:val="24"/>
                <w:lang w:val="en-US" w:eastAsia="zh-CN" w:bidi="ar-SA"/>
              </w:rPr>
              <w:t>一年来，我们全面落实安全发展责任，平安建设扎实有序。一是深入开展打非治违工作。今年取缔非法经营液化气网点1个，非法销售烟花爆竹4起，非法滥砍滥伐2起罚款4万元，非法建房3起，非法采砂1起罚款3000元。开展安全大检查4批次，检查企业、零售店、问题区域共70余处，排查安全隐患105条，整改治理100条。二是全力做好自建房摸排整改工作。对全镇10002处房屋进行隐患排查录入，共排查出37处安全隐患，并完成整改到位。三是高度重视森林防火工作。成立森林防火应急队伍，在特护期内由主要负责人带队进行24小时值守，同时全面铺开禁燃禁烧宣传工作，于各村设置森林防火点并要求各护林员定时开展森林防火巡查工作。四是持续做好交通顽障痼疾整治。持续扎实做好土地庙集市交通管制工作，集中开展道路超载超限检查4次，发现并整改问题12起。节假日期间通过“两站两员”做好道路交通执勤劝导。联合多部门开展40次源头企业交通安全检查，对15所中小学校和幼儿园开展交通安全宣传。</w:t>
            </w:r>
          </w:p>
          <w:p>
            <w:pPr>
              <w:pStyle w:val="2"/>
              <w:keepNext w:val="0"/>
              <w:keepLines w:val="0"/>
              <w:pageBreakBefore w:val="0"/>
              <w:widowControl w:val="0"/>
              <w:kinsoku/>
              <w:wordWrap/>
              <w:overflowPunct/>
              <w:topLinePunct w:val="0"/>
              <w:autoSpaceDE/>
              <w:autoSpaceDN/>
              <w:bidi w:val="0"/>
              <w:spacing w:before="0" w:after="0" w:line="576" w:lineRule="exact"/>
              <w:ind w:left="0" w:leftChars="0" w:firstLine="480" w:firstLineChars="200"/>
              <w:jc w:val="both"/>
              <w:textAlignment w:val="auto"/>
              <w:rPr>
                <w:rFonts w:hint="default" w:ascii="仿宋_GB2312" w:hAnsi="宋体" w:eastAsia="仿宋_GB2312" w:cs="宋体"/>
                <w:kern w:val="0"/>
                <w:sz w:val="24"/>
                <w:szCs w:val="24"/>
                <w:lang w:val="en-US" w:eastAsia="zh-CN" w:bidi="ar-SA"/>
              </w:rPr>
            </w:pPr>
            <w:r>
              <w:rPr>
                <w:rFonts w:hint="default" w:ascii="仿宋_GB2312" w:hAnsi="宋体" w:eastAsia="仿宋_GB2312" w:cs="宋体"/>
                <w:kern w:val="0"/>
                <w:sz w:val="24"/>
                <w:szCs w:val="24"/>
                <w:lang w:val="en-US" w:eastAsia="zh-CN" w:bidi="ar-SA"/>
              </w:rPr>
              <w:t>一年来，我们稳步推进法治政府建设，坚守初心依法履职。一是严格落实执法工作。今年开展执法巡查431次，立案7起，其中林业案件2起，罚款4万元，安全生产案件4起，罚款4.2万元，国土案件1起，罚款3千元。二是扎实做好信访维稳。信访矛盾化解方面，今年共计办理来访、投诉、网信信访件29件，办理重复信访治理案件5起，化解、办结率达100%。维稳工作方面，对全镇63名重点稳控人员和5个重点群体开展“五包一”稳控工作，拦截赴省进京信访64人次，5次陪同进京正常信访，2次在京未登记劝返。三是提升现代化治理水平。结合网络智慧治理技术，打造“智慧大屏”系统，实现了智慧党建、平安乡村、云广播、政务公开、特色乡村五大模块同平安乡村建设、人居环境整治、联防联控、防汛防控等群防群治举措同平台管理，构建了综合性、集成式、共享性的信息系统和工作平台，为实现高效、便捷的社会服务提供信息支撑，也推动了基层社会治理换挡升级、提质增效。四是持续推进扫黑除恶和禁毒工作。从预防、发现、打击、整治、追责五个方面建立健全工作机制。划重点，定目标，对镇域内矛盾纠纷、涉“武”、</w:t>
            </w:r>
            <w:bookmarkStart w:id="0" w:name="_GoBack"/>
            <w:bookmarkEnd w:id="0"/>
            <w:r>
              <w:rPr>
                <w:rFonts w:hint="default" w:ascii="仿宋_GB2312" w:hAnsi="宋体" w:eastAsia="仿宋_GB2312" w:cs="宋体"/>
                <w:kern w:val="0"/>
                <w:sz w:val="24"/>
                <w:szCs w:val="24"/>
                <w:lang w:val="en-US" w:eastAsia="zh-CN" w:bidi="ar-SA"/>
              </w:rPr>
              <w:t>涉黑涉恶、黄赌毒等情况持续开展线索摸排；对镇域内扫黑除恶重点行业及重点领域矛盾纠纷、涉黑涉恶、黄赌毒等情况进行排查，</w:t>
            </w:r>
            <w:r>
              <w:rPr>
                <w:rFonts w:hint="default" w:ascii="仿宋_GB2312" w:hAnsi="宋体" w:eastAsia="仿宋_GB2312" w:cs="宋体"/>
                <w:kern w:val="0"/>
                <w:sz w:val="24"/>
                <w:szCs w:val="24"/>
                <w:lang w:val="zh-TW" w:eastAsia="zh-CN" w:bidi="ar-SA"/>
              </w:rPr>
              <w:t>加强对线索核查、督办。</w:t>
            </w:r>
            <w:r>
              <w:rPr>
                <w:rFonts w:hint="default" w:ascii="仿宋_GB2312" w:hAnsi="宋体" w:eastAsia="仿宋_GB2312" w:cs="宋体"/>
                <w:kern w:val="0"/>
                <w:sz w:val="24"/>
                <w:szCs w:val="24"/>
                <w:lang w:val="en-US" w:eastAsia="zh-CN" w:bidi="ar-SA"/>
              </w:rPr>
              <w:t>逐步</w:t>
            </w:r>
            <w:r>
              <w:rPr>
                <w:rFonts w:hint="default" w:ascii="仿宋_GB2312" w:hAnsi="宋体" w:eastAsia="仿宋_GB2312" w:cs="宋体"/>
                <w:kern w:val="0"/>
                <w:sz w:val="24"/>
                <w:szCs w:val="24"/>
                <w:lang w:val="zh-TW" w:eastAsia="zh-TW" w:bidi="ar-SA"/>
              </w:rPr>
              <w:t>形成镇村联动、部门联动的</w:t>
            </w:r>
            <w:r>
              <w:rPr>
                <w:rFonts w:hint="default" w:ascii="仿宋_GB2312" w:hAnsi="宋体" w:eastAsia="仿宋_GB2312" w:cs="宋体"/>
                <w:kern w:val="0"/>
                <w:sz w:val="24"/>
                <w:szCs w:val="24"/>
                <w:lang w:val="zh-TW" w:eastAsia="zh-CN" w:bidi="ar-SA"/>
              </w:rPr>
              <w:t>常态化</w:t>
            </w:r>
            <w:r>
              <w:rPr>
                <w:rFonts w:hint="default" w:ascii="仿宋_GB2312" w:hAnsi="宋体" w:eastAsia="仿宋_GB2312" w:cs="宋体"/>
                <w:kern w:val="0"/>
                <w:sz w:val="24"/>
                <w:szCs w:val="24"/>
                <w:lang w:val="zh-TW" w:eastAsia="zh-TW" w:bidi="ar-SA"/>
              </w:rPr>
              <w:t>工作机制</w:t>
            </w:r>
            <w:r>
              <w:rPr>
                <w:rFonts w:hint="default" w:ascii="仿宋_GB2312" w:hAnsi="宋体" w:eastAsia="仿宋_GB2312" w:cs="宋体"/>
                <w:kern w:val="0"/>
                <w:sz w:val="24"/>
                <w:szCs w:val="24"/>
                <w:lang w:val="zh-TW" w:eastAsia="zh-CN" w:bidi="ar-SA"/>
              </w:rPr>
              <w:t>。今年</w:t>
            </w:r>
            <w:r>
              <w:rPr>
                <w:rFonts w:hint="default" w:ascii="仿宋_GB2312" w:hAnsi="宋体" w:eastAsia="仿宋_GB2312" w:cs="宋体"/>
                <w:kern w:val="0"/>
                <w:sz w:val="24"/>
                <w:szCs w:val="24"/>
                <w:lang w:val="en-US" w:eastAsia="zh-CN" w:bidi="ar-SA"/>
              </w:rPr>
              <w:t>9月对全镇社区戒毒、康复人员进行集中尿检，10月对所有吸毒人员和公职人员进行毛发检测。</w:t>
            </w:r>
          </w:p>
          <w:p>
            <w:pPr>
              <w:pStyle w:val="2"/>
              <w:keepNext w:val="0"/>
              <w:keepLines w:val="0"/>
              <w:pageBreakBefore w:val="0"/>
              <w:widowControl w:val="0"/>
              <w:kinsoku/>
              <w:wordWrap/>
              <w:overflowPunct/>
              <w:topLinePunct w:val="0"/>
              <w:autoSpaceDE/>
              <w:autoSpaceDN/>
              <w:bidi w:val="0"/>
              <w:spacing w:before="0" w:after="0" w:line="576" w:lineRule="exact"/>
              <w:ind w:firstLine="480" w:firstLineChars="200"/>
              <w:jc w:val="both"/>
              <w:textAlignment w:val="auto"/>
              <w:rPr>
                <w:rFonts w:hint="default" w:ascii="仿宋_GB2312" w:hAnsi="宋体" w:eastAsia="仿宋_GB2312" w:cs="宋体"/>
                <w:kern w:val="0"/>
                <w:sz w:val="24"/>
                <w:szCs w:val="24"/>
                <w:lang w:val="en-US" w:eastAsia="zh-CN" w:bidi="ar-SA"/>
              </w:rPr>
            </w:pPr>
            <w:r>
              <w:rPr>
                <w:rFonts w:hint="default" w:ascii="仿宋_GB2312" w:hAnsi="宋体" w:eastAsia="仿宋_GB2312" w:cs="宋体"/>
                <w:kern w:val="0"/>
                <w:sz w:val="24"/>
                <w:szCs w:val="24"/>
                <w:lang w:val="en-US" w:eastAsia="zh-CN" w:bidi="ar-SA"/>
              </w:rPr>
              <w:t>2022年是艰辛、困难、不平凡的一年。面对严峻疫情形势，我们严防死守、坚决捍卫。在2022年多轮疫情冲击下，提前预判，行动迅速，提前做好各关键卡点人员管控，做好中高风险返乡人员管控，大力宣扬推动疫苗接种，最大程度保护了人民生命安全和身体健康，最大限度减少了疫情对经济社会发展的影响。面对经济下行压力，我们负重前行，稳扎稳打。持续加大招商引资力度，根据已有产业引进相关产业形成产业体系，进一步做好企业服务，全力保障各项目高效平稳推进。面对财政收支缺口，我们量入为出，开源节流。坚持“以收定支，确保平衡，重点突出，确保稳定，完善机制，关注民生，统筹安排，综合平衡”，进一步规范财务管理制度，切实按制度要求实施，坚持“零基预算”严格管控各项支出。面对极端恶劣天气，我们提前谋划，科学应对。面对2022年严重高温干旱恶劣天气，提前谋划部署做好抗旱和防火准备，通过机台抽水和洒水车送水保障居民生产生活用水。提前组建成立森林防火队伍，设置防火点，完善物资储备，做足防范准备，做到快速响应并解决各类火情，确保了一域平安。</w:t>
            </w:r>
          </w:p>
          <w:p>
            <w:pPr>
              <w:spacing w:line="360" w:lineRule="auto"/>
              <w:jc w:val="left"/>
              <w:rPr>
                <w:rFonts w:hint="eastAsia" w:ascii="仿宋_GB2312" w:hAnsi="宋体" w:eastAsia="仿宋_GB2312" w:cs="宋体"/>
                <w:kern w:val="0"/>
                <w:sz w:val="24"/>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56" w:hRule="atLeast"/>
          <w:jc w:val="center"/>
        </w:trPr>
        <w:tc>
          <w:tcPr>
            <w:tcW w:w="1384" w:type="dxa"/>
            <w:vMerge w:val="restart"/>
            <w:vAlign w:val="center"/>
          </w:tcPr>
          <w:p>
            <w:pPr>
              <w:spacing w:line="576" w:lineRule="exact"/>
              <w:jc w:val="center"/>
              <w:rPr>
                <w:rFonts w:ascii="仿宋_GB2312" w:hAnsi="宋体" w:eastAsia="仿宋_GB2312" w:cs="宋体"/>
                <w:sz w:val="24"/>
              </w:rPr>
            </w:pPr>
            <w:r>
              <w:rPr>
                <w:rFonts w:hint="eastAsia" w:ascii="仿宋_GB2312" w:hAnsi="宋体" w:eastAsia="仿宋_GB2312" w:cs="宋体"/>
                <w:sz w:val="24"/>
              </w:rPr>
              <w:t>存在的问题分析及改进措施</w:t>
            </w:r>
          </w:p>
        </w:tc>
        <w:tc>
          <w:tcPr>
            <w:tcW w:w="1697" w:type="dxa"/>
            <w:vAlign w:val="center"/>
          </w:tcPr>
          <w:p>
            <w:pPr>
              <w:spacing w:line="576" w:lineRule="exact"/>
              <w:jc w:val="center"/>
              <w:rPr>
                <w:rFonts w:ascii="仿宋_GB2312" w:hAnsi="宋体" w:eastAsia="仿宋_GB2312" w:cs="宋体"/>
                <w:sz w:val="24"/>
              </w:rPr>
            </w:pPr>
            <w:r>
              <w:rPr>
                <w:rFonts w:hint="eastAsia" w:ascii="仿宋_GB2312" w:hAnsi="宋体" w:eastAsia="仿宋_GB2312" w:cs="宋体"/>
                <w:sz w:val="24"/>
              </w:rPr>
              <w:t>存在的问题</w:t>
            </w:r>
          </w:p>
        </w:tc>
        <w:tc>
          <w:tcPr>
            <w:tcW w:w="5958" w:type="dxa"/>
            <w:vAlign w:val="center"/>
          </w:tcPr>
          <w:p>
            <w:pPr>
              <w:spacing w:line="360" w:lineRule="auto"/>
              <w:ind w:firstLine="480" w:firstLineChars="200"/>
              <w:rPr>
                <w:rFonts w:hint="eastAsia" w:ascii="仿宋_GB2312" w:hAnsi="宋体" w:eastAsia="仿宋_GB2312" w:cs="宋体"/>
                <w:kern w:val="0"/>
                <w:sz w:val="24"/>
                <w:szCs w:val="24"/>
                <w:lang w:val="en-US" w:eastAsia="zh-CN" w:bidi="ar-SA"/>
              </w:rPr>
            </w:pPr>
            <w:r>
              <w:rPr>
                <w:rFonts w:hint="eastAsia" w:ascii="仿宋_GB2312" w:hAnsi="宋体" w:eastAsia="仿宋_GB2312" w:cs="宋体"/>
                <w:kern w:val="0"/>
                <w:sz w:val="24"/>
                <w:szCs w:val="24"/>
                <w:lang w:val="en-US" w:eastAsia="zh-CN" w:bidi="ar-SA"/>
              </w:rPr>
              <w:t>在肯定成绩的同时，我们必须清醒地认识到我们的工作还存在着一些困难和不足，主要表现在以下几个方面：一是预算控制有待加强：体制基数与财政总预算支出不匹配，专项资金难预计和难确定资金来源；二是重点项目建设资金缺口较大，工程进展较慢；三是预算编制工作有待细化，预算编制不够科学合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6" w:hRule="atLeast"/>
          <w:jc w:val="center"/>
        </w:trPr>
        <w:tc>
          <w:tcPr>
            <w:tcW w:w="1384" w:type="dxa"/>
            <w:vMerge w:val="continue"/>
          </w:tcPr>
          <w:p>
            <w:pPr>
              <w:spacing w:line="576" w:lineRule="exact"/>
              <w:jc w:val="center"/>
              <w:rPr>
                <w:rFonts w:ascii="仿宋_GB2312" w:hAnsi="宋体" w:eastAsia="仿宋_GB2312" w:cs="宋体"/>
                <w:sz w:val="24"/>
              </w:rPr>
            </w:pPr>
          </w:p>
        </w:tc>
        <w:tc>
          <w:tcPr>
            <w:tcW w:w="1697" w:type="dxa"/>
            <w:vAlign w:val="center"/>
          </w:tcPr>
          <w:p>
            <w:pPr>
              <w:spacing w:line="576" w:lineRule="exact"/>
              <w:jc w:val="center"/>
              <w:rPr>
                <w:rFonts w:ascii="仿宋_GB2312" w:hAnsi="宋体" w:eastAsia="仿宋_GB2312" w:cs="宋体"/>
                <w:sz w:val="24"/>
              </w:rPr>
            </w:pPr>
            <w:r>
              <w:rPr>
                <w:rFonts w:hint="eastAsia" w:ascii="仿宋_GB2312" w:hAnsi="宋体" w:eastAsia="仿宋_GB2312" w:cs="宋体"/>
                <w:sz w:val="24"/>
              </w:rPr>
              <w:t>改进措施</w:t>
            </w:r>
          </w:p>
        </w:tc>
        <w:tc>
          <w:tcPr>
            <w:tcW w:w="5958" w:type="dxa"/>
            <w:vAlign w:val="center"/>
          </w:tcPr>
          <w:p>
            <w:pPr>
              <w:pStyle w:val="14"/>
              <w:spacing w:line="360" w:lineRule="auto"/>
              <w:ind w:firstLine="480" w:firstLineChars="200"/>
              <w:rPr>
                <w:rFonts w:hint="eastAsia" w:ascii="仿宋_GB2312" w:hAnsi="宋体" w:eastAsia="仿宋_GB2312" w:cs="宋体"/>
                <w:kern w:val="0"/>
                <w:sz w:val="24"/>
                <w:szCs w:val="24"/>
                <w:lang w:val="en-US" w:eastAsia="zh-CN" w:bidi="ar-SA"/>
              </w:rPr>
            </w:pPr>
            <w:r>
              <w:rPr>
                <w:rFonts w:hint="eastAsia" w:ascii="仿宋_GB2312" w:hAnsi="宋体" w:eastAsia="仿宋_GB2312" w:cs="宋体"/>
                <w:kern w:val="0"/>
                <w:sz w:val="24"/>
                <w:szCs w:val="24"/>
                <w:lang w:val="en-US" w:eastAsia="zh-CN" w:bidi="ar-SA"/>
              </w:rPr>
              <w:t>这些问题，是本单位工作的重中之重，镇党委、政府必将高度重视，并切实加以解决。</w:t>
            </w:r>
          </w:p>
          <w:p>
            <w:pPr>
              <w:pStyle w:val="14"/>
              <w:spacing w:line="360" w:lineRule="auto"/>
              <w:ind w:firstLine="480" w:firstLineChars="200"/>
              <w:rPr>
                <w:rFonts w:hint="eastAsia" w:ascii="仿宋_GB2312" w:hAnsi="宋体" w:eastAsia="仿宋_GB2312" w:cs="宋体"/>
                <w:kern w:val="0"/>
                <w:sz w:val="24"/>
                <w:szCs w:val="24"/>
                <w:lang w:val="en-US" w:eastAsia="zh-CN" w:bidi="ar-SA"/>
              </w:rPr>
            </w:pPr>
            <w:r>
              <w:rPr>
                <w:rFonts w:hint="eastAsia" w:ascii="仿宋_GB2312" w:hAnsi="宋体" w:eastAsia="仿宋_GB2312" w:cs="宋体"/>
                <w:kern w:val="0"/>
                <w:sz w:val="24"/>
                <w:szCs w:val="24"/>
                <w:lang w:val="en-US" w:eastAsia="zh-CN" w:bidi="ar-SA"/>
              </w:rPr>
              <w:t>1、加强预算的科学性、计划性。坚守“先有预算，后有支出”的底线，无预算不得支出，且严格要求在预算范围内开支；优化预算编制的合理性，强化内部控制制度。预算的合理性是行政事业单位内部控制的精髓，应重视部门预算，增强预算业务控制，充分发挥预算控制在内部控制中的重要作用。本单位在部门预算编制环节，均采用“二上二下”的形式进行编制。</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uto"/>
              <w:ind w:left="0" w:right="0" w:firstLine="480" w:firstLineChars="200"/>
              <w:jc w:val="both"/>
              <w:rPr>
                <w:rFonts w:hint="eastAsia" w:ascii="仿宋_GB2312" w:hAnsi="宋体" w:eastAsia="仿宋_GB2312" w:cs="宋体"/>
                <w:kern w:val="0"/>
                <w:sz w:val="24"/>
                <w:szCs w:val="24"/>
                <w:lang w:val="en-US" w:eastAsia="zh-CN" w:bidi="ar-SA"/>
              </w:rPr>
            </w:pPr>
            <w:r>
              <w:rPr>
                <w:rFonts w:hint="eastAsia" w:ascii="仿宋_GB2312" w:hAnsi="宋体" w:eastAsia="仿宋_GB2312" w:cs="宋体"/>
                <w:kern w:val="0"/>
                <w:sz w:val="24"/>
                <w:szCs w:val="24"/>
                <w:lang w:val="en-US" w:eastAsia="zh-CN" w:bidi="ar-SA"/>
              </w:rPr>
              <w:t>2、乡镇专项资金应在年初的时候根据政府下达的工作任务，合理的预算好专项项目的成本费用列支情况，必要的时候聘请中介机构进行造价的合理估算，集体决议后统一上报，大力整合各项财政资金，集中投向专项项目，保证项目的正常运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00" w:hRule="atLeast"/>
          <w:jc w:val="center"/>
        </w:trPr>
        <w:tc>
          <w:tcPr>
            <w:tcW w:w="1384" w:type="dxa"/>
            <w:vMerge w:val="continue"/>
          </w:tcPr>
          <w:p>
            <w:pPr>
              <w:spacing w:line="576" w:lineRule="exact"/>
              <w:jc w:val="center"/>
              <w:rPr>
                <w:rFonts w:ascii="仿宋_GB2312" w:hAnsi="宋体" w:eastAsia="仿宋_GB2312" w:cs="宋体"/>
                <w:sz w:val="24"/>
              </w:rPr>
            </w:pPr>
          </w:p>
        </w:tc>
        <w:tc>
          <w:tcPr>
            <w:tcW w:w="1697" w:type="dxa"/>
            <w:vAlign w:val="center"/>
          </w:tcPr>
          <w:p>
            <w:pPr>
              <w:spacing w:line="576" w:lineRule="exact"/>
              <w:jc w:val="center"/>
              <w:rPr>
                <w:rFonts w:ascii="仿宋_GB2312" w:hAnsi="宋体" w:eastAsia="仿宋_GB2312" w:cs="宋体"/>
                <w:sz w:val="24"/>
              </w:rPr>
            </w:pPr>
            <w:r>
              <w:rPr>
                <w:rFonts w:hint="eastAsia" w:ascii="仿宋_GB2312" w:hAnsi="宋体" w:eastAsia="仿宋_GB2312" w:cs="宋体"/>
                <w:sz w:val="24"/>
              </w:rPr>
              <w:t>其他需要说明问题</w:t>
            </w:r>
          </w:p>
        </w:tc>
        <w:tc>
          <w:tcPr>
            <w:tcW w:w="5958" w:type="dxa"/>
            <w:vAlign w:val="center"/>
          </w:tcPr>
          <w:p>
            <w:pPr>
              <w:spacing w:line="576" w:lineRule="exact"/>
              <w:ind w:right="880" w:rightChars="419"/>
              <w:jc w:val="center"/>
              <w:rPr>
                <w:rFonts w:ascii="仿宋_GB2312" w:hAnsi="宋体" w:eastAsia="仿宋_GB2312" w:cs="宋体"/>
                <w:sz w:val="24"/>
              </w:rPr>
            </w:pPr>
            <w:r>
              <w:rPr>
                <w:rFonts w:hint="eastAsia" w:ascii="仿宋_GB2312" w:hAnsi="宋体" w:eastAsia="仿宋_GB2312" w:cs="宋体"/>
                <w:sz w:val="24"/>
              </w:rPr>
              <w:t>无</w:t>
            </w:r>
          </w:p>
        </w:tc>
      </w:tr>
    </w:tbl>
    <w:p>
      <w:pPr>
        <w:widowControl/>
        <w:jc w:val="left"/>
        <w:rPr>
          <w:rFonts w:ascii="仿宋_GB2312" w:hAnsi="宋体" w:eastAsia="仿宋_GB2312" w:cs="宋体"/>
          <w:sz w:val="24"/>
        </w:rPr>
      </w:pPr>
    </w:p>
    <w:p>
      <w:pPr>
        <w:rPr>
          <w:rFonts w:ascii="仿宋_GB2312" w:hAnsi="宋体" w:eastAsia="仿宋_GB2312" w:cs="宋体"/>
          <w:sz w:val="24"/>
        </w:rPr>
      </w:pPr>
    </w:p>
    <w:sectPr>
      <w:pgSz w:w="11906" w:h="16838"/>
      <w:pgMar w:top="1440" w:right="1416"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2FmYmVkYTE2ZDIxYjI1ZWZkOGQ1NTEzYmVjYjdhZmUifQ=="/>
  </w:docVars>
  <w:rsids>
    <w:rsidRoot w:val="00B86CF5"/>
    <w:rsid w:val="00021C6A"/>
    <w:rsid w:val="00090A25"/>
    <w:rsid w:val="000C3168"/>
    <w:rsid w:val="00181616"/>
    <w:rsid w:val="002300C3"/>
    <w:rsid w:val="002E5B04"/>
    <w:rsid w:val="002E68B1"/>
    <w:rsid w:val="00394F29"/>
    <w:rsid w:val="0048553F"/>
    <w:rsid w:val="004E1662"/>
    <w:rsid w:val="00533C68"/>
    <w:rsid w:val="005678F6"/>
    <w:rsid w:val="006F4F0C"/>
    <w:rsid w:val="008D0458"/>
    <w:rsid w:val="00942636"/>
    <w:rsid w:val="00957619"/>
    <w:rsid w:val="009C5C83"/>
    <w:rsid w:val="00A81527"/>
    <w:rsid w:val="00A86CFC"/>
    <w:rsid w:val="00AE5FC4"/>
    <w:rsid w:val="00B6562C"/>
    <w:rsid w:val="00B86CF5"/>
    <w:rsid w:val="00B90944"/>
    <w:rsid w:val="00BB1A54"/>
    <w:rsid w:val="00BE186B"/>
    <w:rsid w:val="00BE1BF3"/>
    <w:rsid w:val="00BF058A"/>
    <w:rsid w:val="00BF7029"/>
    <w:rsid w:val="00C12E57"/>
    <w:rsid w:val="00C478BC"/>
    <w:rsid w:val="00D06DCB"/>
    <w:rsid w:val="00D24B37"/>
    <w:rsid w:val="00D34ECB"/>
    <w:rsid w:val="00E01049"/>
    <w:rsid w:val="00E84C79"/>
    <w:rsid w:val="00EA575D"/>
    <w:rsid w:val="00EA7EF2"/>
    <w:rsid w:val="00EE4BED"/>
    <w:rsid w:val="00F1448A"/>
    <w:rsid w:val="00F80D41"/>
    <w:rsid w:val="00FA7908"/>
    <w:rsid w:val="00FB3514"/>
    <w:rsid w:val="08042101"/>
    <w:rsid w:val="1B1C798F"/>
    <w:rsid w:val="237D553A"/>
    <w:rsid w:val="261E558D"/>
    <w:rsid w:val="289B5D9F"/>
    <w:rsid w:val="298B7451"/>
    <w:rsid w:val="35452569"/>
    <w:rsid w:val="49DE7B72"/>
    <w:rsid w:val="4D34390D"/>
    <w:rsid w:val="5E1208BD"/>
    <w:rsid w:val="70F06AA9"/>
    <w:rsid w:val="74C6187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qFormat="1" w:unhideWhenUsed="0" w:uiPriority="0" w:semiHidden="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qFormat="1" w:unhideWhenUsed="0" w:uiPriority="0" w:semiHidden="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nhideWhenUsed="0" w:uiPriority="0" w:semiHidden="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qFormat="1"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iPriority="0" w:name="Balloon Text"/>
    <w:lsdException w:unhideWhenUsed="0" w:uiPriority="0" w:semiHidden="0" w:name="Table Grid"/>
    <w:lsdException w:uiPriority="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9">
    <w:name w:val="Default Paragraph Font"/>
    <w:semiHidden/>
    <w:unhideWhenUsed/>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Body Text First Indent"/>
    <w:basedOn w:val="3"/>
    <w:next w:val="4"/>
    <w:qFormat/>
    <w:uiPriority w:val="0"/>
    <w:pPr>
      <w:ind w:firstLine="420" w:firstLineChars="100"/>
    </w:pPr>
  </w:style>
  <w:style w:type="paragraph" w:styleId="3">
    <w:name w:val="Body Text"/>
    <w:basedOn w:val="1"/>
    <w:next w:val="2"/>
    <w:qFormat/>
    <w:uiPriority w:val="0"/>
    <w:pPr>
      <w:spacing w:after="120"/>
    </w:pPr>
  </w:style>
  <w:style w:type="paragraph" w:styleId="4">
    <w:name w:val="index 5"/>
    <w:basedOn w:val="1"/>
    <w:next w:val="1"/>
    <w:qFormat/>
    <w:uiPriority w:val="0"/>
    <w:pPr>
      <w:ind w:left="1680"/>
    </w:pPr>
    <w:rPr>
      <w:rFonts w:ascii="Times New Roman" w:hAnsi="Times New Roman" w:cs="Times New Roman"/>
    </w:rPr>
  </w:style>
  <w:style w:type="paragraph" w:styleId="5">
    <w:name w:val="footer"/>
    <w:basedOn w:val="1"/>
    <w:link w:val="12"/>
    <w:qFormat/>
    <w:uiPriority w:val="0"/>
    <w:pPr>
      <w:tabs>
        <w:tab w:val="center" w:pos="4153"/>
        <w:tab w:val="right" w:pos="8306"/>
      </w:tabs>
      <w:snapToGrid w:val="0"/>
      <w:jc w:val="left"/>
    </w:pPr>
    <w:rPr>
      <w:sz w:val="18"/>
      <w:szCs w:val="18"/>
    </w:rPr>
  </w:style>
  <w:style w:type="paragraph" w:styleId="6">
    <w:name w:val="header"/>
    <w:basedOn w:val="1"/>
    <w:link w:val="11"/>
    <w:qFormat/>
    <w:uiPriority w:val="0"/>
    <w:pPr>
      <w:pBdr>
        <w:bottom w:val="single" w:color="auto" w:sz="6" w:space="1"/>
      </w:pBdr>
      <w:tabs>
        <w:tab w:val="center" w:pos="4153"/>
        <w:tab w:val="right" w:pos="8306"/>
      </w:tabs>
      <w:snapToGrid w:val="0"/>
      <w:jc w:val="center"/>
    </w:pPr>
    <w:rPr>
      <w:sz w:val="18"/>
      <w:szCs w:val="18"/>
    </w:rPr>
  </w:style>
  <w:style w:type="paragraph" w:styleId="7">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character" w:styleId="10">
    <w:name w:val="Hyperlink"/>
    <w:basedOn w:val="9"/>
    <w:qFormat/>
    <w:uiPriority w:val="0"/>
    <w:rPr>
      <w:color w:val="0000FF" w:themeColor="hyperlink"/>
      <w:u w:val="single"/>
      <w14:textFill>
        <w14:solidFill>
          <w14:schemeClr w14:val="hlink"/>
        </w14:solidFill>
      </w14:textFill>
    </w:rPr>
  </w:style>
  <w:style w:type="character" w:customStyle="1" w:styleId="11">
    <w:name w:val="页眉 字符"/>
    <w:basedOn w:val="9"/>
    <w:link w:val="6"/>
    <w:qFormat/>
    <w:uiPriority w:val="0"/>
    <w:rPr>
      <w:kern w:val="2"/>
      <w:sz w:val="18"/>
      <w:szCs w:val="18"/>
    </w:rPr>
  </w:style>
  <w:style w:type="character" w:customStyle="1" w:styleId="12">
    <w:name w:val="页脚 字符"/>
    <w:basedOn w:val="9"/>
    <w:link w:val="5"/>
    <w:qFormat/>
    <w:uiPriority w:val="0"/>
    <w:rPr>
      <w:kern w:val="2"/>
      <w:sz w:val="18"/>
      <w:szCs w:val="18"/>
    </w:rPr>
  </w:style>
  <w:style w:type="paragraph" w:styleId="13">
    <w:name w:val="No Spacing"/>
    <w:qFormat/>
    <w:uiPriority w:val="1"/>
    <w:pPr>
      <w:widowControl w:val="0"/>
      <w:jc w:val="both"/>
    </w:pPr>
    <w:rPr>
      <w:rFonts w:ascii="Calibri" w:hAnsi="Calibri" w:eastAsia="宋体" w:cs="Times New Roman"/>
      <w:kern w:val="2"/>
      <w:sz w:val="21"/>
      <w:szCs w:val="22"/>
      <w:lang w:val="en-US" w:eastAsia="zh-CN" w:bidi="ar-SA"/>
    </w:rPr>
  </w:style>
  <w:style w:type="paragraph" w:customStyle="1" w:styleId="14">
    <w:name w:val="无间隔1"/>
    <w:qFormat/>
    <w:uiPriority w:val="0"/>
    <w:pPr>
      <w:widowControl w:val="0"/>
      <w:jc w:val="both"/>
    </w:pPr>
    <w:rPr>
      <w:rFonts w:ascii="Calibri" w:hAnsi="Calibri" w:eastAsia="宋体"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China</Company>
  <Pages>14</Pages>
  <Words>9013</Words>
  <Characters>9593</Characters>
  <Lines>67</Lines>
  <Paragraphs>19</Paragraphs>
  <TotalTime>2</TotalTime>
  <ScaleCrop>false</ScaleCrop>
  <LinksUpToDate>false</LinksUpToDate>
  <CharactersWithSpaces>9673</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2022-05-24T02:33:00Z</dcterms:created>
  <dc:creator>kin</dc:creator>
  <cp:lastModifiedBy>1</cp:lastModifiedBy>
  <cp:lastPrinted>2019-08-29T02:25:00Z</cp:lastPrinted>
  <dcterms:modified xsi:type="dcterms:W3CDTF">2023-05-21T10:16:58Z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C9B8F06E3F934A16AA5714BBEE4E81C0</vt:lpwstr>
  </property>
</Properties>
</file>