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hint="eastAsia" w:ascii="宋体" w:hAnsi="宋体" w:eastAsia="宋体" w:cs="方正小标宋_GBK"/>
          <w:b/>
          <w:bCs/>
          <w:sz w:val="36"/>
          <w:szCs w:val="36"/>
          <w:lang w:eastAsia="zh-CN"/>
        </w:rPr>
      </w:pPr>
      <w:r>
        <w:rPr>
          <w:rFonts w:hint="eastAsia" w:ascii="宋体" w:hAnsi="宋体" w:eastAsia="宋体" w:cs="方正小标宋_GBK"/>
          <w:b/>
          <w:bCs/>
          <w:sz w:val="36"/>
          <w:szCs w:val="36"/>
          <w:lang w:eastAsia="zh-CN"/>
        </w:rPr>
        <w:t>湘潭县科技和工业信息化局</w:t>
      </w:r>
    </w:p>
    <w:p>
      <w:pPr>
        <w:tabs>
          <w:tab w:val="left" w:pos="6480"/>
        </w:tabs>
        <w:spacing w:line="600" w:lineRule="exact"/>
        <w:jc w:val="center"/>
        <w:rPr>
          <w:rFonts w:hint="eastAsia" w:ascii="宋体" w:hAnsi="宋体" w:cs="方正小标宋_GBK"/>
          <w:b/>
          <w:sz w:val="36"/>
          <w:szCs w:val="36"/>
        </w:rPr>
      </w:pPr>
      <w:r>
        <w:rPr>
          <w:rFonts w:hint="eastAsia" w:ascii="宋体" w:hAnsi="宋体" w:cs="方正小标宋_GBK"/>
          <w:b/>
          <w:bCs/>
          <w:sz w:val="36"/>
          <w:szCs w:val="36"/>
          <w:lang w:val="en-US" w:eastAsia="zh-CN"/>
        </w:rPr>
        <w:t>2022年</w:t>
      </w:r>
      <w:r>
        <w:rPr>
          <w:rFonts w:hint="eastAsia" w:ascii="宋体" w:hAnsi="宋体" w:cs="方正小标宋_GBK"/>
          <w:b/>
          <w:bCs/>
          <w:sz w:val="36"/>
          <w:szCs w:val="36"/>
        </w:rPr>
        <w:t>部门整体支出绩效评价报告</w:t>
      </w:r>
    </w:p>
    <w:tbl>
      <w:tblPr>
        <w:tblStyle w:val="5"/>
        <w:tblW w:w="8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542"/>
        <w:gridCol w:w="5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82" w:type="dxa"/>
            <w:noWrap w:val="0"/>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湘潭县科技和工业信息化局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82" w:type="dxa"/>
            <w:noWrap w:val="0"/>
            <w:vAlign w:val="center"/>
          </w:tcPr>
          <w:p>
            <w:pPr>
              <w:tabs>
                <w:tab w:val="left" w:pos="5460"/>
              </w:tabs>
              <w:spacing w:line="576" w:lineRule="exact"/>
              <w:ind w:right="6" w:rightChars="0"/>
              <w:jc w:val="left"/>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2022年预算金额支出3254.16万元，其中：基本支出841.51万元，占25.86%；项目支出2412.65万元，占74.14%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82" w:type="dxa"/>
            <w:noWrap w:val="0"/>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ind w:right="65" w:rightChars="31"/>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82" w:type="dxa"/>
            <w:noWrap w:val="0"/>
            <w:vAlign w:val="center"/>
          </w:tcPr>
          <w:p>
            <w:pPr>
              <w:spacing w:line="576" w:lineRule="exact"/>
              <w:ind w:right="6" w:rightChars="0"/>
              <w:jc w:val="both"/>
              <w:rPr>
                <w:rFonts w:hint="eastAsia" w:ascii="仿宋_GB2312" w:hAnsi="宋体" w:eastAsia="仿宋_GB2312" w:cs="宋体"/>
                <w:szCs w:val="21"/>
              </w:rPr>
            </w:pPr>
            <w:r>
              <w:rPr>
                <w:rFonts w:hint="eastAsia" w:ascii="仿宋_GB2312" w:hAnsi="宋体" w:eastAsia="仿宋_GB2312" w:cs="宋体"/>
                <w:szCs w:val="21"/>
                <w:lang w:val="en-US" w:eastAsia="zh-CN"/>
              </w:rPr>
              <w:t xml:space="preserve">    我局是县政府工作部门，是落实“强工壮县”战略、加速推进新型工业化的主阵地。主要承担工业经济综合管理职能，肩负工业经济的指导、服务、发展、改革、稳定、电力执法以及信息化建设的重任。负责制定全县科技发展战略、高新技术及产业发展、科技促进农村和社会发展、新型工业化发展战略、信息化发展，信息安全、能源节约和资源综合利用、工业和信息化领域的技术改造等相关发展规划和政策。主管全县高新技术产业发展工作，牵头组织协调全县产学研结合、成果转化、技术贸易、对外科技合作与交流等工作。负责全县专利工作的联络及业务指导，开展专利行政执法工作。同时，负责工交系统武装、计生和工会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1、整体支出管理情况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2022年，我局严格按照年初预算加强支出管理，所有资金按照用途进行管理使用，无截留挪用等现象，加强事前审批程序，增收节支方面成效显著。进一步提高了资金和资产的使用效益，强化了财务精细化管理水平，在整体支出管理方面开展了以下工作：</w:t>
            </w:r>
          </w:p>
          <w:p>
            <w:pPr>
              <w:tabs>
                <w:tab w:val="left" w:pos="5460"/>
              </w:tabs>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加强预算支出管理。在支出预算编制上，人员经费按照配置定额，逐人核定编制，公用经费分类分档，按定额编制；根据“总量控制、计划管理”的要求从严控制行政经费，压缩公务消费开支，严格控制“三公”经费，资产的配置严格政府采购，按照预算科目和项目资金的规定使用财政资金，保证部门整体支出的规范化、制度化。</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加强财务管理制度。制定了《湘潭县科技和工业信息化局财务管理制度》、《湘潭县科技和工业信息化局公用经费支出管理办法》、《湘潭县科技和工业信息化局国有资产管理办法》、《湘潭县科技和工业信息化局内部审计工作管理办法》等管理制度，并严格按照制度管理和执行，防范风险，保证财政资金的安全和高效运行。</w:t>
            </w:r>
          </w:p>
          <w:p>
            <w:pPr>
              <w:tabs>
                <w:tab w:val="left" w:pos="5460"/>
              </w:tabs>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（3）加强固定资产管理：在全面清理固定资产后，要求资产的配置、使用、保管、处置严格执行相关规定，确保资产的安全使用，杜绝国有资产流失。</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2、整体支出使用情况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（1）2022年支出合计3254.16万元，其中：基本支出841.51万元，占25.86%；项目支出2412.65万元，占74.14%。</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（2）“三公经费”支出情况：公用经费实际支出2.60万元，其中：公用接待费0.68万元，公务用车运维费1.91万元，公务用车购置费0万元，因公出国费0万元。</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3、项目资金来源及使用情况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2022年初预算安排项目资金1154.16万元。包括业务性专项资金104.16万元（其中改制企业遗留问题信访维稳经费40万元、武装经费2万元、县属改制国企党政主要责任人社会保障费13万元、海泡石产业经费10万元、化工行业发展规划工作经费10万元、中小微企业“创客中国”大赛经费5万元、工信指导服务费14.16万元、工业经济高质量发展经费10万元）；奖励资金745万元（其中2019年高新企业和规模企业奖励经费355万元、2020年高新企业和规模工业企业奖励资金390万元）；项目性专项资金305万元（其中科技特派员项目经费60万元、湘潭县中小企业服务体系经费45万元、2021年科技创新发展专项资金100万元、2021年中小企业发展高质量发展专项资金100万元）。其他项目资金为年中调整预算的省级专项资金等。</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4、项目资金管理情况分析</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val="en-US" w:eastAsia="zh-CN"/>
              </w:rPr>
              <w:t>在项目资金管理中，严格执行项目资金管理制度和规定，每笔项目开支都做到按照程序进行审批，对于项目的重大资金安排或重要事项，能及时召开局务会议或者局党组会的方式作出决定，实行集体决策确定，分管财务工作的领导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2022年，县科工局坚持稳字当头，以产业强县“百十亿”工程为抓手，以助企“纾困增效”为重点，狠抓稳增长稳市场主体这个关键，全力促进工业经济平稳发展。胖哥鑫鸿实业首次实现营业收入过百亿元，国省级专精特新“小巨人”企业总数排名全市第一；纾困增效和“小巨人”工作培育等两项工作经验被新华网推介；全方位保障企业用工等4项工作经验被湖南省“万名干部联万企”工作简报推介；常态化为企业送政策、解难题、优服务工作经验被省工信厅推介，拍摄的“莲乡里手—里手说理”党的二十大精神系列微宣讲——天空上的联通在新湖南推介，点击率近28万次。同时，被省工信厅授予2022年中小企业运行监测工作先进单位、“创客中国”中小微企业创新创业大赛优秀组织单位。按照要求，现将本年度工作总结如下：</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一、工作开展情况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牵头推进，“百十亿”初见成效。2022年，县科工局作为“百十亿”工程办所在单位，牵头组织17个乡镇和36家县直机关单位，通过建立“月分析、季考核”管理工作机制和“一单五制”督办机制，定期组织工作专班组成人员和主要产业推进单位召开工作推进会，有效落实湘潭县优势产业链“强链”计划（2022—2025 年）等八大计划和精准招商等六大举措，相关工作取得一定成效。全年营收首次过百亿企业1个，营收首次过十亿企业4个，营收首次过亿元企业40个;五洲通等3家企业启动上市工作；新开工亿元以上项目28个，总投资128.73亿元，其中新开工过10亿元的项目2个；新完工亿元以上项目42个，总投资158.05亿元，其中新完工过10亿元的项目2个。获得省级及以上肯定性批示、荣誉表彰和经验推介等95次。</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加强监测，工业经济运行平稳。对全县的工业经济运行做到年初有目标、季度有调研、月月有分析，始终按照市、县相关部门和领导的要求，认真开展好监测分析工作，全面掌握好全县工业经济的动态发展情况，并根据特殊情况做好协调衔接工作，确保工业经济运行质量和总量。积极推进培训工作，全年共组织相关企业和经发办人员开展培训工作3次，切实有效提升从事相关工作人员的业务水平和能力。全年，全县325家规模工业企业完成总产值921.4亿元，累计同比增速9.6%，规模工业增加值增速为6.5%；完成工业投资226亿元，同比增长4.2%，完成工业技改投资198亿元，同比增长29.6%。工业技改占工业投资比重为87.6%。</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转变职能，服务实体经济发展。今年，我局将工信系统服务实体经济发展关口前移，在企业招商落后、企业保留、解决国企改制遗留问题等方面积极主动作为，助力工业经济发展。今年以来，根据国家产业政策的变化以及城市规划区范围口径的调整，成功协助湘汇建材被市政府保留；积极解决国企改制遗留问题，编制《湘潭县化工行业发展规划》，为金宏泰公司尽早复工复产创造条件；解决中央环保督察“永盛船舶”搬迁选址问题，积极促成“永盛船舶”与“新昱船舶”达成整体收购协议。这些企业的进驻，将有力助推全县工业经济的发展，明年有望新增3家规模工业企业。</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强化指导，专精特新不断升级。今年，筛选86家优质企业，建立“小巨人”企业培育库，通过上门走访指导、开展业务培训和政策宣传等，新增国家级专精特新重点“小巨人”企业1家，新增国家级、省级、市级专精特新“小巨人”企业分别为3家、6家、19家。目前，全县国家级、省级、市级专精特新“小巨人”企业分别达到5家、22家、38家，国、省级专精特新“小巨人”企业总量均排名全市第一。</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两化融合，信息化工作有序推进。两化融合深入推动，协成电子为省级工业领域数据安全管理试点工作企业。目前，我县已有12家企业获得两化融合管理体系贯标认证证书。项目建设积极跟进，组织40余家次企业申报相关项目，其中，湖南银河商贸股份有限公司参赛全国工业APP和信息消费大赛工作，并进入了全国的决赛。通信设施建设稳步推进，2022年承接5G需求共240个、完成281个。农村4G基站任务43个，完成43个，新建汇聚机房6个，实现了全县4G网络全覆盖，实现了全县主城区、各乡镇镇区、重点行政村和3A以上景区5G网络连续覆盖。同时，大力清理城乡废弃电网、通信网络和电线杆，共整治213处杂乱弱电线路495余皮长公里，清理整治存在安全隐患的农村杆线900多处。</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6.抓三大行动，科技创新活力增强。落实研发“增投”、企业“登高”、成果“破茧”三大行动，通过上门走访、专题培训、一对一辅导等方式，大力宣传科技型企业相关惠企政策和研发政策。注重高企培育，对于企业有规划申报国家高新技术企业的</w:t>
            </w:r>
            <w:bookmarkStart w:id="0" w:name="_GoBack"/>
            <w:bookmarkEnd w:id="0"/>
            <w:r>
              <w:rPr>
                <w:rFonts w:hint="eastAsia" w:ascii="仿宋_GB2312" w:hAnsi="宋体" w:eastAsia="仿宋_GB2312" w:cs="宋体"/>
                <w:szCs w:val="21"/>
                <w:lang w:val="en-US" w:eastAsia="zh-CN"/>
              </w:rPr>
              <w:t>进行跟踪服务，联合服务机构在知识产权、研发经费归集等方面给予重点指导。全年组织52家企业申报高新技术企业，有效高新技术企业总数达到128家。全年完成高新技术产值717亿元，研发投入快报数达到17亿元以上；完成技术合同登记190份，较去年净增145份，同比增长322%。全年，188家企业完成了科技型中小企业评价入库。全县241家企业完成2022年度研发准备金制度备案。同时，推动创新体制改革，积极响应全市率先开展科技型企业知识价值信用贷款风险补偿改革试点工作要求，帮助湖南信诺颜料科技有限公司在内的41家企业与银行快速签订授信贷款协议，放款额度达1.42亿元，居五个县市区首位。选派科技特派员113名，今年共开展技术培训30余次，培训农民3000余人次，发放技术资料4000余份，指导争取国家、省、市、县项目共30余项，资金达200余万元。引进、推广新技术、新品种30余个，开发新产品、新技术20余项，帮助农民增收200万余元。目前我县拥有省级工程技术研究中心3家、市级工程技术研究中心13家、市级以上星创天地14家，市级以上众创空间2家，市级科技企业孵化器1家、市级科普基地3家。</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7.优化服务，纾困增效有效落实。开展中小企业深度“上云上平台”，组织和开展企业“两上三化”专题培训3场次，共计培训企业达到100余家，积极营造中小微企业深度“上云上平台”的良好氛围；全年我县完成深度“上云上平台”中小企业193家，完成市对县目标任务的183.8%。举办2022“创客中国”中小微企业创新创业大赛湘潭县赛区比赛，选送的信诺颜料在湘潭市复赛中获得企业组二等奖，金铠新材料、南方电机车获得企业组三等奖，选送的6个项目中有5个分别荣获二等奖和三等奖项。全力完善线下公共服务窗口平台。目前，“平台”共签约引进入驻服务机构22家，能够为湘潭县中小微企业提供包括工商注册、法律咨询、人才招聘、财务代理、专利申请等专业服务。推进助企“纾困增效”专项帮扶行动，结合市千名干部联千企“送政策、解难题、优服务”行动，派出550名干部对933家企业实现了联系全覆盖、走访全覆盖。同时，对企业反映的困难和问题进行分类整理，建立交办、督办制度，共为企业解决问题270个。</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8.主动对接，争资争项成效明显。共争取上级工信、科技专项资金3853.1万元，超额完成争资争项的目标任务。其中65家企业获得了湖南省研发财政奖补第一批资金，共计837.18万元，五洲通药业获批项目资金763万元，力威液压设备获批项目资金252万元，皇爷实业获批项目资金172.04万元，伍子醉获批项目资金171.01万元，胖哥鑫鸿实业获批项目资金137.53万元。</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9.有效做好清欠工作。自2021年以来，我县共接到省交办件五个，总计涉及金额733.499万元，已偿还欠款355.699万元，剩余款项县建投公司已与湖南世纪永盛工程公司达成最新还款计划，目前湘潭县在省减负办挂号的清欠工作任务已全部销号清零。</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val="en-US" w:eastAsia="zh-CN"/>
              </w:rPr>
              <w:t>10.落实责任，筑牢安全生产防线。进一步修订并完善《湘潭县科技和工业信息化局安全生产“党政同责、一岗双责 ”工作制度（2022年）》，健全了局领导和股室负责人安全生产责任制，厘清工信部门作为工业行业管理部门的安全生产管理职责，明确班子成员和各股室安全生产责任，签订安全生产责任书17份，层层压实安全生产责任。扎实推进安全生产专项整治三年行动集中攻坚，开展分管业务领域安全生产专项整治、应急管理、打非治违等工作。对民爆企业开展10次安全生产督促检查，发现问题及安全隐患13条，督促整改落实13条，全年未发生安全生产事故，牢牢守住了全县工业企业安全发展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1、2022年预算执行过程中追加资金未在年初预算时列入。不便于对其进行精细化的预算管理和分析评价。</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2、预算编制需要更加科学合理，预算绩效管理理念、业务水平有待提高</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val="en-US" w:eastAsia="zh-CN"/>
              </w:rPr>
              <w:t>3、我局属全额财政预算拨款行政单位，无其他经费来源。财政预算安排资金不断压减，日常工作开展存在一定困难。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1、精细管理预算编制，切合实际工作经费需要。</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2、加强业务学习培训，树立现代绩效管理理念，设立科学合理的绩效目标和指标，增强目标约束力</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val="en-US" w:eastAsia="zh-CN"/>
              </w:rPr>
              <w:t>3、建议加大资金投入力度，确保各项工作的正常开展和稳妥推进。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82" w:type="dxa"/>
            <w:noWrap w:val="0"/>
            <w:vAlign w:val="center"/>
          </w:tcPr>
          <w:p>
            <w:pPr>
              <w:spacing w:line="576" w:lineRule="exact"/>
              <w:ind w:right="6" w:rightChars="0"/>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无</w:t>
            </w:r>
          </w:p>
        </w:tc>
      </w:tr>
    </w:tbl>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pStyle w:val="3"/>
        <w:rPr>
          <w:rFonts w:hint="eastAsia" w:ascii="仿宋_GB2312" w:hAnsi="黑体" w:eastAsia="仿宋_GB2312" w:cs="黑体"/>
          <w:color w:val="000000"/>
          <w:sz w:val="32"/>
          <w:szCs w:val="32"/>
        </w:rPr>
      </w:pPr>
    </w:p>
    <w:p>
      <w:pPr>
        <w:widowControl/>
        <w:spacing w:line="480" w:lineRule="exact"/>
        <w:ind w:left="91"/>
        <w:jc w:val="center"/>
        <w:rPr>
          <w:rFonts w:ascii="宋体" w:hAnsi="宋体" w:cs="宋体"/>
          <w:b/>
          <w:bCs/>
          <w:kern w:val="0"/>
          <w:sz w:val="36"/>
          <w:szCs w:val="36"/>
        </w:rPr>
      </w:pPr>
      <w:r>
        <w:rPr>
          <w:rFonts w:hint="eastAsia" w:ascii="宋体" w:hAnsi="宋体" w:cs="方正小标宋_GBK"/>
          <w:b/>
          <w:kern w:val="0"/>
          <w:sz w:val="36"/>
          <w:szCs w:val="36"/>
          <w:lang w:eastAsia="zh-CN"/>
        </w:rPr>
        <w:t>湘潭县科技和工业信息化局</w:t>
      </w:r>
      <w:r>
        <w:rPr>
          <w:rFonts w:hint="eastAsia" w:ascii="宋体" w:hAnsi="宋体" w:cs="方正小标宋_GBK"/>
          <w:b/>
          <w:kern w:val="0"/>
          <w:sz w:val="36"/>
          <w:szCs w:val="36"/>
          <w:lang w:val="en-US" w:eastAsia="zh-CN"/>
        </w:rPr>
        <w:t xml:space="preserve">                   2022年</w:t>
      </w:r>
      <w:r>
        <w:rPr>
          <w:rFonts w:hint="eastAsia" w:ascii="宋体" w:hAnsi="宋体" w:cs="方正小标宋_GBK"/>
          <w:b/>
          <w:kern w:val="0"/>
          <w:sz w:val="36"/>
          <w:szCs w:val="36"/>
        </w:rPr>
        <w:t>部门整体支出绩效评价指标完成情况表</w:t>
      </w:r>
    </w:p>
    <w:tbl>
      <w:tblPr>
        <w:tblStyle w:val="5"/>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638"/>
        <w:gridCol w:w="587"/>
        <w:gridCol w:w="660"/>
        <w:gridCol w:w="3526"/>
        <w:gridCol w:w="2624"/>
        <w:gridCol w:w="539"/>
        <w:gridCol w:w="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7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一级指标</w:t>
            </w:r>
          </w:p>
        </w:tc>
        <w:tc>
          <w:tcPr>
            <w:tcW w:w="638"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二级指标</w:t>
            </w:r>
          </w:p>
        </w:tc>
        <w:tc>
          <w:tcPr>
            <w:tcW w:w="587"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分值</w:t>
            </w: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三级  指标</w:t>
            </w:r>
          </w:p>
        </w:tc>
        <w:tc>
          <w:tcPr>
            <w:tcW w:w="3526"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指标完成情况</w:t>
            </w:r>
          </w:p>
        </w:tc>
        <w:tc>
          <w:tcPr>
            <w:tcW w:w="2624"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评价标准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分值</w:t>
            </w:r>
          </w:p>
        </w:tc>
        <w:tc>
          <w:tcPr>
            <w:tcW w:w="436"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jc w:val="center"/>
        </w:trPr>
        <w:tc>
          <w:tcPr>
            <w:tcW w:w="675" w:type="dxa"/>
            <w:vMerge w:val="restart"/>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过    程</w:t>
            </w:r>
          </w:p>
        </w:tc>
        <w:tc>
          <w:tcPr>
            <w:tcW w:w="638"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预算执行</w:t>
            </w:r>
          </w:p>
        </w:tc>
        <w:tc>
          <w:tcPr>
            <w:tcW w:w="587"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30</w:t>
            </w: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预算调整率</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预算调整率=（预算调整数/预算数）×100%。</w:t>
            </w:r>
          </w:p>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预算调整数：部门（单位）在本年度内涉及预算的追加、追减或结构调整的资金总和（因落实国家政策，发生不可抗力、上级部门或本级党委政府临时交办而产生的调整除外）。</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预算调整率=0，计5分；0-10%（含），计4分；10-20%（含），计3分；20-30%（含），计2分；大于30%不得分。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基本支出预算控制率=（基本支出实际支出/基本支出年度总预算）*100%。</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项目支出预算控制率=（项目支出实际支出/项目支出年度总预算）*100%。</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资金结余</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无结余，5分；有结余，但不超过上年结余，3分；结余超过上年结余，不得分。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eastAsia" w:ascii="仿宋_GB2312" w:hAnsi="宋体" w:eastAsia="仿宋_GB2312" w:cs="宋体"/>
                <w:kern w:val="0"/>
                <w:szCs w:val="21"/>
              </w:rPr>
            </w:pP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是否分项目核算结余结转，是，5分；否，0分。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“三公经费”控制率</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“三公经费”控制率=（“三公经费”实际支出数/“三公经费”预算安排数）×100%。</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以100%为标准。三公经费控制率</w:t>
            </w:r>
            <w:r>
              <w:rPr>
                <w:rFonts w:hint="eastAsia" w:ascii="仿宋_GB2312" w:hAnsi="宋体" w:cs="宋体"/>
                <w:kern w:val="0"/>
                <w:szCs w:val="21"/>
              </w:rPr>
              <w:t>≦</w:t>
            </w:r>
            <w:r>
              <w:rPr>
                <w:rFonts w:hint="eastAsia" w:ascii="仿宋_GB2312" w:hAnsi="宋体" w:eastAsia="仿宋_GB2312" w:cs="宋体"/>
                <w:kern w:val="0"/>
                <w:szCs w:val="21"/>
              </w:rPr>
              <w:t>100%，计5分；每超过一个百分点扣1分，扣完为止。</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638" w:type="dxa"/>
            <w:vMerge w:val="restart"/>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预算管理</w:t>
            </w:r>
          </w:p>
        </w:tc>
        <w:tc>
          <w:tcPr>
            <w:tcW w:w="587"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20</w:t>
            </w: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①已制定或具有预算资金管理办法，内部财务管理制度、会计核算制度等管理制度，3分；②相关管理制度合法、合规、完整，2分。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专账核算</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项目支出是否分项目单独核算，是5；否，0分。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预决算信息公开性和完善性</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xml:space="preserve">预决算信息是指与部门预算、执行、决算、监督、绩效等管理相关的信息。                       </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xml:space="preserve">①按规定内容公开预决算信息，3分；②按规定时限公开预决算信息，2分。                                            </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政府采购完成情况</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达到政府采购要求的是否进行了政府采购，是，5分；否，0分。</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38"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资产管理</w:t>
            </w:r>
          </w:p>
        </w:tc>
        <w:tc>
          <w:tcPr>
            <w:tcW w:w="587"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6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526"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部门（单位）为加强资产管理，规范资产管理行为而制定的管理制度是否健全完整、用以反映                                                                                                                                                                                                                                                                                                                                                                                                                                                                                                                                                                               和考核部门（单位）资产管理制度对完成主要职责或促进社会发展的保障情况。</w:t>
            </w:r>
          </w:p>
        </w:tc>
        <w:tc>
          <w:tcPr>
            <w:tcW w:w="2624"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①已制定或具有资产管理制度，3分；②相关资产管理制度合法、合规、完整，2分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 xml:space="preserve">                                           </w:t>
            </w:r>
          </w:p>
        </w:tc>
        <w:tc>
          <w:tcPr>
            <w:tcW w:w="53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436"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75" w:type="dxa"/>
            <w:vMerge w:val="restart"/>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产   出</w:t>
            </w:r>
          </w:p>
          <w:p>
            <w:pPr>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效   果</w:t>
            </w:r>
          </w:p>
        </w:tc>
        <w:tc>
          <w:tcPr>
            <w:tcW w:w="638"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职责 履行</w:t>
            </w:r>
          </w:p>
        </w:tc>
        <w:tc>
          <w:tcPr>
            <w:tcW w:w="587"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45</w:t>
            </w:r>
          </w:p>
        </w:tc>
        <w:tc>
          <w:tcPr>
            <w:tcW w:w="660"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绩效目标完成情况</w:t>
            </w:r>
          </w:p>
        </w:tc>
        <w:tc>
          <w:tcPr>
            <w:tcW w:w="3526"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完成工业投资</w:t>
            </w:r>
            <w:r>
              <w:rPr>
                <w:rFonts w:hint="eastAsia" w:ascii="仿宋_GB2312" w:hAnsi="宋体" w:eastAsia="仿宋_GB2312" w:cs="宋体"/>
                <w:kern w:val="0"/>
                <w:szCs w:val="21"/>
                <w:lang w:val="en-US" w:eastAsia="zh-CN"/>
              </w:rPr>
              <w:t>200亿元以上</w:t>
            </w:r>
          </w:p>
        </w:tc>
        <w:tc>
          <w:tcPr>
            <w:tcW w:w="2624"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200亿元以上3分；每少10%扣1分</w:t>
            </w:r>
          </w:p>
        </w:tc>
        <w:tc>
          <w:tcPr>
            <w:tcW w:w="53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45</w:t>
            </w:r>
          </w:p>
        </w:tc>
        <w:tc>
          <w:tcPr>
            <w:tcW w:w="436" w:type="dxa"/>
            <w:vMerge w:val="restart"/>
            <w:noWrap w:val="0"/>
            <w:vAlign w:val="center"/>
          </w:tcPr>
          <w:p>
            <w:pPr>
              <w:widowControl/>
              <w:spacing w:line="32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完成技改投资</w:t>
            </w:r>
            <w:r>
              <w:rPr>
                <w:rFonts w:hint="eastAsia" w:ascii="仿宋_GB2312" w:hAnsi="宋体" w:eastAsia="仿宋_GB2312" w:cs="宋体"/>
                <w:kern w:val="0"/>
                <w:szCs w:val="21"/>
                <w:lang w:val="en-US" w:eastAsia="zh-CN"/>
              </w:rPr>
              <w:t>140亿元以上</w:t>
            </w:r>
          </w:p>
        </w:tc>
        <w:tc>
          <w:tcPr>
            <w:tcW w:w="2624"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140亿元以上3分；每少10%扣1分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tabs>
                <w:tab w:val="center" w:pos="1524"/>
              </w:tabs>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新增规模工业企业25家以上</w:t>
            </w:r>
          </w:p>
        </w:tc>
        <w:tc>
          <w:tcPr>
            <w:tcW w:w="2624"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25家以上</w:t>
            </w:r>
            <w:r>
              <w:rPr>
                <w:rFonts w:hint="eastAsia" w:ascii="仿宋_GB2312" w:hAnsi="宋体" w:eastAsia="仿宋_GB2312" w:cs="宋体"/>
                <w:kern w:val="0"/>
                <w:szCs w:val="21"/>
                <w:lang w:val="en-US" w:eastAsia="zh-CN"/>
              </w:rPr>
              <w:t>1分；每少10%扣1分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新增国家级专精特新“小巨人”企业1家以上</w:t>
            </w:r>
          </w:p>
        </w:tc>
        <w:tc>
          <w:tcPr>
            <w:tcW w:w="2624"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default" w:ascii="仿宋_GB2312" w:hAnsi="宋体" w:eastAsia="仿宋_GB2312" w:cs="宋体"/>
                <w:kern w:val="0"/>
                <w:szCs w:val="21"/>
                <w:lang w:val="en-US" w:eastAsia="zh-CN"/>
              </w:rPr>
              <w:t>1家以上</w:t>
            </w:r>
            <w:r>
              <w:rPr>
                <w:rFonts w:hint="eastAsia" w:ascii="仿宋_GB2312" w:hAnsi="宋体" w:eastAsia="仿宋_GB2312" w:cs="宋体"/>
                <w:kern w:val="0"/>
                <w:szCs w:val="21"/>
                <w:lang w:val="en-US" w:eastAsia="zh-CN"/>
              </w:rPr>
              <w:t>5分；每少10%扣1分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tabs>
                <w:tab w:val="left" w:pos="2143"/>
              </w:tabs>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新增省级专精特新“小巨人”企业4家以上</w:t>
            </w:r>
          </w:p>
        </w:tc>
        <w:tc>
          <w:tcPr>
            <w:tcW w:w="2624"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4家以上</w:t>
            </w:r>
            <w:r>
              <w:rPr>
                <w:rFonts w:hint="eastAsia" w:ascii="仿宋_GB2312" w:hAnsi="宋体" w:eastAsia="仿宋_GB2312" w:cs="宋体"/>
                <w:kern w:val="0"/>
                <w:szCs w:val="21"/>
                <w:lang w:val="en-US" w:eastAsia="zh-CN"/>
              </w:rPr>
              <w:t>5分；每少10%扣1分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高新技术产值520亿元</w:t>
            </w:r>
          </w:p>
        </w:tc>
        <w:tc>
          <w:tcPr>
            <w:tcW w:w="2624"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520亿元以上</w:t>
            </w:r>
            <w:r>
              <w:rPr>
                <w:rFonts w:hint="eastAsia" w:ascii="仿宋_GB2312" w:hAnsi="宋体" w:eastAsia="仿宋_GB2312" w:cs="宋体"/>
                <w:kern w:val="0"/>
                <w:szCs w:val="21"/>
                <w:lang w:val="en-US" w:eastAsia="zh-CN"/>
              </w:rPr>
              <w:t>3分；每少10%扣1分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选派科技特派员</w:t>
            </w:r>
            <w:r>
              <w:rPr>
                <w:rFonts w:hint="eastAsia" w:ascii="仿宋_GB2312" w:hAnsi="宋体" w:eastAsia="仿宋_GB2312" w:cs="宋体"/>
                <w:kern w:val="0"/>
                <w:szCs w:val="21"/>
                <w:lang w:val="en-US" w:eastAsia="zh-CN"/>
              </w:rPr>
              <w:t>100名以上</w:t>
            </w:r>
          </w:p>
        </w:tc>
        <w:tc>
          <w:tcPr>
            <w:tcW w:w="2624"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100名以上3分，每少10%扣1分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实现4G和光纤宽带自然村全覆盖</w:t>
            </w:r>
          </w:p>
        </w:tc>
        <w:tc>
          <w:tcPr>
            <w:tcW w:w="2624"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是否完成工作任务目标，是</w:t>
            </w:r>
            <w:r>
              <w:rPr>
                <w:rFonts w:hint="eastAsia" w:ascii="仿宋_GB2312" w:hAnsi="宋体" w:eastAsia="仿宋_GB2312" w:cs="宋体"/>
                <w:kern w:val="0"/>
                <w:szCs w:val="21"/>
                <w:lang w:val="en-US" w:eastAsia="zh-CN"/>
              </w:rPr>
              <w:t>5分；否0分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有效推广新技术、新产品5项以上</w:t>
            </w:r>
          </w:p>
        </w:tc>
        <w:tc>
          <w:tcPr>
            <w:tcW w:w="2624"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5项以上</w:t>
            </w:r>
            <w:r>
              <w:rPr>
                <w:rFonts w:hint="eastAsia" w:ascii="仿宋_GB2312" w:hAnsi="宋体" w:eastAsia="仿宋_GB2312" w:cs="宋体"/>
                <w:kern w:val="0"/>
                <w:szCs w:val="21"/>
                <w:lang w:val="en-US" w:eastAsia="zh-CN"/>
              </w:rPr>
              <w:t>2分；每少10%扣1分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75" w:type="dxa"/>
            <w:vMerge w:val="continue"/>
            <w:noWrap w:val="0"/>
            <w:textDirection w:val="tbRlV"/>
            <w:vAlign w:val="center"/>
          </w:tcPr>
          <w:p>
            <w:pPr>
              <w:widowControl/>
              <w:spacing w:line="320" w:lineRule="exact"/>
              <w:jc w:val="left"/>
            </w:pPr>
          </w:p>
        </w:tc>
        <w:tc>
          <w:tcPr>
            <w:tcW w:w="638" w:type="dxa"/>
            <w:vMerge w:val="continue"/>
            <w:noWrap w:val="0"/>
            <w:vAlign w:val="center"/>
          </w:tcPr>
          <w:p>
            <w:pPr>
              <w:widowControl/>
              <w:spacing w:line="320" w:lineRule="exact"/>
              <w:jc w:val="left"/>
            </w:pPr>
          </w:p>
        </w:tc>
        <w:tc>
          <w:tcPr>
            <w:tcW w:w="587" w:type="dxa"/>
            <w:vMerge w:val="continue"/>
            <w:noWrap w:val="0"/>
            <w:vAlign w:val="center"/>
          </w:tcPr>
          <w:p>
            <w:pPr>
              <w:widowControl/>
              <w:spacing w:line="320" w:lineRule="exact"/>
              <w:jc w:val="left"/>
            </w:pPr>
          </w:p>
        </w:tc>
        <w:tc>
          <w:tcPr>
            <w:tcW w:w="660"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526"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绩效目标完成时间</w:t>
            </w:r>
            <w:r>
              <w:rPr>
                <w:rFonts w:hint="eastAsia" w:ascii="仿宋_GB2312" w:hAnsi="宋体" w:eastAsia="仿宋_GB2312" w:cs="宋体"/>
                <w:kern w:val="0"/>
                <w:szCs w:val="21"/>
                <w:lang w:val="en-US" w:eastAsia="zh-CN"/>
              </w:rPr>
              <w:t>12月31日前</w:t>
            </w:r>
          </w:p>
        </w:tc>
        <w:tc>
          <w:tcPr>
            <w:tcW w:w="2624"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按时完成任务</w:t>
            </w:r>
            <w:r>
              <w:rPr>
                <w:rFonts w:hint="eastAsia" w:ascii="仿宋_GB2312" w:hAnsi="宋体" w:eastAsia="仿宋_GB2312" w:cs="宋体"/>
                <w:kern w:val="0"/>
                <w:szCs w:val="21"/>
                <w:lang w:val="en-US" w:eastAsia="zh-CN"/>
              </w:rPr>
              <w:t>3分；否0分</w:t>
            </w:r>
          </w:p>
        </w:tc>
        <w:tc>
          <w:tcPr>
            <w:tcW w:w="53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436"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638"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履职 效益</w:t>
            </w:r>
          </w:p>
        </w:tc>
        <w:tc>
          <w:tcPr>
            <w:tcW w:w="587"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60"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keepNext w:val="0"/>
              <w:keepLines w:val="0"/>
              <w:widowControl/>
              <w:suppressLineNumbers w:val="0"/>
              <w:jc w:val="center"/>
              <w:textAlignment w:val="center"/>
              <w:rPr>
                <w:rFonts w:hint="eastAsia" w:ascii="仿宋_GB2312" w:hAnsi="宋体" w:eastAsia="仿宋_GB2312" w:cs="宋体"/>
                <w:kern w:val="0"/>
                <w:szCs w:val="21"/>
                <w:lang w:eastAsia="zh-CN"/>
              </w:rPr>
            </w:pPr>
            <w:r>
              <w:rPr>
                <w:rFonts w:hint="eastAsia" w:ascii="仿宋_GB2312" w:hAnsi="宋体" w:eastAsia="仿宋_GB2312" w:cs="仿宋_GB2312"/>
                <w:i w:val="0"/>
                <w:color w:val="000000"/>
                <w:kern w:val="0"/>
                <w:sz w:val="20"/>
                <w:szCs w:val="20"/>
                <w:u w:val="none"/>
                <w:lang w:val="en-US" w:eastAsia="zh-CN" w:bidi="ar"/>
              </w:rPr>
              <w:t>完成工作任务，促进县域经济发展</w:t>
            </w:r>
          </w:p>
        </w:tc>
        <w:tc>
          <w:tcPr>
            <w:tcW w:w="2624"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是否完成工作任务，是</w:t>
            </w:r>
            <w:r>
              <w:rPr>
                <w:rFonts w:hint="eastAsia" w:ascii="仿宋_GB2312" w:hAnsi="宋体" w:eastAsia="仿宋_GB2312" w:cs="宋体"/>
                <w:kern w:val="0"/>
                <w:szCs w:val="21"/>
                <w:lang w:val="en-US" w:eastAsia="zh-CN"/>
              </w:rPr>
              <w:t>3分，否0分</w:t>
            </w:r>
          </w:p>
        </w:tc>
        <w:tc>
          <w:tcPr>
            <w:tcW w:w="539"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436" w:type="dxa"/>
            <w:vMerge w:val="continue"/>
            <w:noWrap w:val="0"/>
            <w:vAlign w:val="center"/>
          </w:tcPr>
          <w:p>
            <w:pPr>
              <w:widowControl/>
              <w:spacing w:line="240" w:lineRule="exact"/>
              <w:jc w:val="center"/>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60"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keepNext w:val="0"/>
              <w:keepLines w:val="0"/>
              <w:widowControl/>
              <w:suppressLineNumbers w:val="0"/>
              <w:jc w:val="center"/>
              <w:textAlignment w:val="center"/>
              <w:rPr>
                <w:rFonts w:hint="eastAsia" w:ascii="仿宋_GB2312" w:hAnsi="宋体" w:eastAsia="仿宋_GB2312" w:cs="宋体"/>
                <w:kern w:val="0"/>
                <w:szCs w:val="21"/>
                <w:lang w:eastAsia="zh-CN"/>
              </w:rPr>
            </w:pPr>
            <w:r>
              <w:rPr>
                <w:rFonts w:hint="eastAsia" w:ascii="仿宋_GB2312" w:hAnsi="宋体" w:eastAsia="仿宋_GB2312" w:cs="仿宋_GB2312"/>
                <w:i w:val="0"/>
                <w:color w:val="000000"/>
                <w:kern w:val="0"/>
                <w:sz w:val="20"/>
                <w:szCs w:val="20"/>
                <w:u w:val="none"/>
                <w:lang w:val="en-US" w:eastAsia="zh-CN" w:bidi="ar"/>
              </w:rPr>
              <w:t>确保工作顺利进行，保障社会稳定</w:t>
            </w:r>
          </w:p>
        </w:tc>
        <w:tc>
          <w:tcPr>
            <w:tcW w:w="2624"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工作是否顺利进行，是</w:t>
            </w:r>
            <w:r>
              <w:rPr>
                <w:rFonts w:hint="eastAsia" w:ascii="仿宋_GB2312" w:hAnsi="宋体" w:eastAsia="仿宋_GB2312" w:cs="宋体"/>
                <w:kern w:val="0"/>
                <w:szCs w:val="21"/>
                <w:lang w:val="en-US" w:eastAsia="zh-CN"/>
              </w:rPr>
              <w:t>3分；否0分</w:t>
            </w:r>
          </w:p>
        </w:tc>
        <w:tc>
          <w:tcPr>
            <w:tcW w:w="539"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436"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60"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keepNext w:val="0"/>
              <w:keepLines w:val="0"/>
              <w:widowControl/>
              <w:suppressLineNumbers w:val="0"/>
              <w:jc w:val="center"/>
              <w:textAlignment w:val="center"/>
              <w:rPr>
                <w:rFonts w:hint="eastAsia" w:ascii="仿宋_GB2312" w:hAnsi="宋体" w:eastAsia="仿宋_GB2312" w:cs="宋体"/>
                <w:kern w:val="0"/>
                <w:szCs w:val="21"/>
                <w:lang w:eastAsia="zh-CN"/>
              </w:rPr>
            </w:pPr>
            <w:r>
              <w:rPr>
                <w:rFonts w:hint="eastAsia" w:ascii="仿宋_GB2312" w:hAnsi="宋体" w:eastAsia="仿宋_GB2312" w:cs="仿宋_GB2312"/>
                <w:i w:val="0"/>
                <w:color w:val="000000"/>
                <w:kern w:val="0"/>
                <w:sz w:val="20"/>
                <w:szCs w:val="20"/>
                <w:u w:val="none"/>
                <w:lang w:val="en-US" w:eastAsia="zh-CN" w:bidi="ar"/>
              </w:rPr>
              <w:t>推广生态技术，促进环境改善</w:t>
            </w:r>
          </w:p>
        </w:tc>
        <w:tc>
          <w:tcPr>
            <w:tcW w:w="2624"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社会稳定，环境良好</w:t>
            </w:r>
            <w:r>
              <w:rPr>
                <w:rFonts w:hint="eastAsia" w:ascii="仿宋_GB2312" w:hAnsi="宋体" w:eastAsia="仿宋_GB2312" w:cs="宋体"/>
                <w:kern w:val="0"/>
                <w:szCs w:val="21"/>
                <w:lang w:val="en-US" w:eastAsia="zh-CN"/>
              </w:rPr>
              <w:t>3分</w:t>
            </w:r>
          </w:p>
        </w:tc>
        <w:tc>
          <w:tcPr>
            <w:tcW w:w="539"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436"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638"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587"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60"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keepNext w:val="0"/>
              <w:keepLines w:val="0"/>
              <w:widowControl/>
              <w:suppressLineNumbers w:val="0"/>
              <w:jc w:val="center"/>
              <w:textAlignment w:val="center"/>
              <w:rPr>
                <w:rFonts w:hint="default" w:ascii="仿宋_GB2312" w:hAnsi="宋体" w:eastAsia="仿宋_GB2312" w:cs="宋体"/>
                <w:kern w:val="0"/>
                <w:szCs w:val="21"/>
                <w:lang w:val="en-US" w:eastAsia="zh-CN"/>
              </w:rPr>
            </w:pPr>
            <w:r>
              <w:rPr>
                <w:rFonts w:hint="eastAsia" w:ascii="仿宋_GB2312" w:hAnsi="宋体" w:eastAsia="仿宋_GB2312" w:cs="仿宋_GB2312"/>
                <w:i w:val="0"/>
                <w:color w:val="000000"/>
                <w:kern w:val="0"/>
                <w:sz w:val="20"/>
                <w:szCs w:val="20"/>
                <w:u w:val="none"/>
                <w:lang w:val="en-US" w:eastAsia="zh-CN" w:bidi="ar"/>
              </w:rPr>
              <w:t>服务对象满意度</w:t>
            </w:r>
          </w:p>
        </w:tc>
        <w:tc>
          <w:tcPr>
            <w:tcW w:w="2624"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95%以上3分，每降低1%扣1分</w:t>
            </w:r>
          </w:p>
        </w:tc>
        <w:tc>
          <w:tcPr>
            <w:tcW w:w="539"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436"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5" w:type="dxa"/>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合计</w:t>
            </w:r>
          </w:p>
        </w:tc>
        <w:tc>
          <w:tcPr>
            <w:tcW w:w="638" w:type="dxa"/>
            <w:noWrap w:val="0"/>
            <w:vAlign w:val="center"/>
          </w:tcPr>
          <w:p>
            <w:pPr>
              <w:widowControl/>
              <w:spacing w:line="320" w:lineRule="exact"/>
              <w:jc w:val="center"/>
              <w:rPr>
                <w:rFonts w:hint="eastAsia" w:ascii="仿宋_GB2312" w:hAnsi="宋体" w:eastAsia="仿宋_GB2312" w:cs="宋体"/>
                <w:kern w:val="0"/>
                <w:szCs w:val="21"/>
              </w:rPr>
            </w:pPr>
          </w:p>
        </w:tc>
        <w:tc>
          <w:tcPr>
            <w:tcW w:w="587"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100</w:t>
            </w:r>
          </w:p>
        </w:tc>
        <w:tc>
          <w:tcPr>
            <w:tcW w:w="660" w:type="dxa"/>
            <w:noWrap w:val="0"/>
            <w:vAlign w:val="center"/>
          </w:tcPr>
          <w:p>
            <w:pPr>
              <w:widowControl/>
              <w:spacing w:line="320" w:lineRule="exact"/>
              <w:jc w:val="center"/>
              <w:rPr>
                <w:rFonts w:hint="eastAsia" w:ascii="仿宋_GB2312" w:hAnsi="宋体" w:eastAsia="仿宋_GB2312" w:cs="宋体"/>
                <w:kern w:val="0"/>
                <w:szCs w:val="21"/>
              </w:rPr>
            </w:pPr>
          </w:p>
        </w:tc>
        <w:tc>
          <w:tcPr>
            <w:tcW w:w="3526" w:type="dxa"/>
            <w:noWrap w:val="0"/>
            <w:vAlign w:val="center"/>
          </w:tcPr>
          <w:p>
            <w:pPr>
              <w:widowControl/>
              <w:spacing w:line="240" w:lineRule="exact"/>
              <w:jc w:val="left"/>
              <w:rPr>
                <w:rFonts w:hint="eastAsia" w:ascii="仿宋_GB2312" w:hAnsi="宋体" w:eastAsia="仿宋_GB2312" w:cs="宋体"/>
                <w:kern w:val="0"/>
                <w:szCs w:val="21"/>
              </w:rPr>
            </w:pPr>
          </w:p>
        </w:tc>
        <w:tc>
          <w:tcPr>
            <w:tcW w:w="2624" w:type="dxa"/>
            <w:noWrap w:val="0"/>
            <w:vAlign w:val="center"/>
          </w:tcPr>
          <w:p>
            <w:pPr>
              <w:widowControl/>
              <w:spacing w:line="240" w:lineRule="exact"/>
              <w:jc w:val="left"/>
              <w:rPr>
                <w:rFonts w:hint="eastAsia" w:ascii="仿宋_GB2312" w:hAnsi="宋体" w:eastAsia="仿宋_GB2312" w:cs="宋体"/>
                <w:kern w:val="0"/>
                <w:szCs w:val="21"/>
              </w:rPr>
            </w:pPr>
          </w:p>
        </w:tc>
        <w:tc>
          <w:tcPr>
            <w:tcW w:w="539" w:type="dxa"/>
            <w:noWrap w:val="0"/>
            <w:vAlign w:val="center"/>
          </w:tcPr>
          <w:p>
            <w:pPr>
              <w:widowControl/>
              <w:spacing w:line="24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100</w:t>
            </w:r>
          </w:p>
        </w:tc>
        <w:tc>
          <w:tcPr>
            <w:tcW w:w="436" w:type="dxa"/>
            <w:noWrap w:val="0"/>
            <w:vAlign w:val="center"/>
          </w:tcPr>
          <w:p>
            <w:pPr>
              <w:widowControl/>
              <w:spacing w:line="24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98</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jlkZWFmNzVhOWUzODg5ZDVlNjNlYmQxNzFhMzIifQ=="/>
  </w:docVars>
  <w:rsids>
    <w:rsidRoot w:val="25E50806"/>
    <w:rsid w:val="00E931B3"/>
    <w:rsid w:val="01A958FB"/>
    <w:rsid w:val="040704E0"/>
    <w:rsid w:val="067453BF"/>
    <w:rsid w:val="077536E6"/>
    <w:rsid w:val="0B50459F"/>
    <w:rsid w:val="0D576FA9"/>
    <w:rsid w:val="14815545"/>
    <w:rsid w:val="16EF1A49"/>
    <w:rsid w:val="1FF53D5B"/>
    <w:rsid w:val="20F94D46"/>
    <w:rsid w:val="25E50806"/>
    <w:rsid w:val="26C10FA8"/>
    <w:rsid w:val="2B795D24"/>
    <w:rsid w:val="322F6DE6"/>
    <w:rsid w:val="3BD35859"/>
    <w:rsid w:val="3D272128"/>
    <w:rsid w:val="40435490"/>
    <w:rsid w:val="40DA1A97"/>
    <w:rsid w:val="41FD037C"/>
    <w:rsid w:val="431C3BA8"/>
    <w:rsid w:val="47B74F4E"/>
    <w:rsid w:val="4F0C2135"/>
    <w:rsid w:val="54887B09"/>
    <w:rsid w:val="58672B08"/>
    <w:rsid w:val="58C400D9"/>
    <w:rsid w:val="5C0304F7"/>
    <w:rsid w:val="5F7E42EF"/>
    <w:rsid w:val="64505292"/>
    <w:rsid w:val="6453553C"/>
    <w:rsid w:val="66BF52C6"/>
    <w:rsid w:val="67E660D5"/>
    <w:rsid w:val="6DD76F36"/>
    <w:rsid w:val="70003AAC"/>
    <w:rsid w:val="78293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footer"/>
    <w:basedOn w:val="1"/>
    <w:qFormat/>
    <w:uiPriority w:val="0"/>
    <w:pPr>
      <w:tabs>
        <w:tab w:val="center" w:pos="4153"/>
        <w:tab w:val="right" w:pos="8306"/>
      </w:tabs>
      <w:snapToGrid w:val="0"/>
      <w:jc w:val="left"/>
    </w:pPr>
    <w:rPr>
      <w:rFonts w:ascii="Calibri" w:hAnsi="Calibri"/>
      <w:sz w:val="18"/>
      <w:szCs w:val="18"/>
    </w:rPr>
  </w:style>
  <w:style w:type="paragraph" w:styleId="4">
    <w:name w:val="Normal (Web)"/>
    <w:basedOn w:val="1"/>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customStyle="1" w:styleId="7">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6162</Words>
  <Characters>6646</Characters>
  <Lines>0</Lines>
  <Paragraphs>0</Paragraphs>
  <TotalTime>2</TotalTime>
  <ScaleCrop>false</ScaleCrop>
  <LinksUpToDate>false</LinksUpToDate>
  <CharactersWithSpaces>7408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2022-05-11T07:08:00Z</dcterms:created>
  <dc:creator>Administrator</dc:creator>
  <cp:lastModifiedBy>李利</cp:lastModifiedBy>
  <cp:lastPrinted>2023-05-22T07:01:00Z</cp:lastPrinted>
  <dcterms:modified xsi:type="dcterms:W3CDTF">2023-05-29T01:38:22Z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A5F9BCCAAD364324A57BBB78FA790129_13</vt:lpwstr>
  </property>
</Properties>
</file>