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方正小标宋_GBK" w:hAnsi="方正小标宋_GBK" w:eastAsia="方正小标宋_GBK" w:cs="方正小标宋_GBK"/>
          <w:color w:val="000000"/>
          <w:kern w:val="0"/>
          <w:sz w:val="39"/>
          <w:szCs w:val="39"/>
        </w:rPr>
        <w:t>湘潭县民政局201</w:t>
      </w:r>
      <w:r>
        <w:rPr>
          <w:rFonts w:hint="eastAsia" w:ascii="方正小标宋_GBK" w:hAnsi="方正小标宋_GBK" w:eastAsia="方正小标宋_GBK" w:cs="方正小标宋_GBK"/>
          <w:color w:val="000000"/>
          <w:kern w:val="0"/>
          <w:sz w:val="39"/>
          <w:szCs w:val="39"/>
          <w:lang w:val="en-US" w:eastAsia="zh-CN"/>
        </w:rPr>
        <w:t>8</w:t>
      </w:r>
      <w:r>
        <w:rPr>
          <w:rFonts w:hint="eastAsia" w:ascii="方正小标宋_GBK" w:hAnsi="方正小标宋_GBK" w:eastAsia="方正小标宋_GBK" w:cs="方正小标宋_GBK"/>
          <w:color w:val="000000"/>
          <w:kern w:val="0"/>
          <w:sz w:val="39"/>
          <w:szCs w:val="39"/>
        </w:rPr>
        <w:t>年度部门决算公开</w:t>
      </w:r>
    </w:p>
    <w:p>
      <w:pPr>
        <w:pStyle w:val="9"/>
        <w:spacing w:line="520" w:lineRule="exact"/>
        <w:ind w:firstLine="3815" w:firstLineChars="950"/>
        <w:jc w:val="both"/>
        <w:rPr>
          <w:rFonts w:hint="eastAsia" w:ascii="宋体" w:hAnsi="宋体" w:eastAsia="宋体" w:cs="宋体"/>
          <w:b/>
          <w:bCs/>
          <w:sz w:val="40"/>
          <w:szCs w:val="40"/>
        </w:rPr>
      </w:pPr>
      <w:r>
        <w:rPr>
          <w:rFonts w:hint="eastAsia" w:ascii="宋体" w:hAnsi="宋体" w:eastAsia="宋体" w:cs="宋体"/>
          <w:b/>
          <w:bCs/>
          <w:sz w:val="40"/>
          <w:szCs w:val="40"/>
        </w:rPr>
        <w:t>目  录</w:t>
      </w:r>
    </w:p>
    <w:p>
      <w:pPr>
        <w:pStyle w:val="9"/>
        <w:spacing w:line="520" w:lineRule="exact"/>
        <w:ind w:firstLine="3815" w:firstLineChars="950"/>
        <w:rPr>
          <w:rFonts w:hint="eastAsia" w:ascii="宋体" w:hAnsi="宋体" w:eastAsia="宋体" w:cs="宋体"/>
          <w:b/>
          <w:bCs/>
          <w:sz w:val="40"/>
          <w:szCs w:val="40"/>
        </w:rPr>
      </w:pPr>
    </w:p>
    <w:p>
      <w:pPr>
        <w:pStyle w:val="9"/>
        <w:spacing w:line="460" w:lineRule="exact"/>
        <w:rPr>
          <w:rFonts w:hint="eastAsia" w:hAnsi="黑体"/>
          <w:bCs/>
          <w:sz w:val="28"/>
          <w:szCs w:val="28"/>
        </w:rPr>
      </w:pPr>
      <w:r>
        <w:rPr>
          <w:rFonts w:hint="eastAsia" w:hAnsi="黑体"/>
          <w:bCs/>
          <w:sz w:val="28"/>
          <w:szCs w:val="28"/>
        </w:rPr>
        <w:t>第一部分  湘潭县民政局概况</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9"/>
        <w:spacing w:line="460" w:lineRule="exact"/>
        <w:rPr>
          <w:rFonts w:hint="eastAsia" w:hAnsi="黑体"/>
          <w:bCs/>
          <w:sz w:val="28"/>
          <w:szCs w:val="28"/>
        </w:rPr>
      </w:pPr>
      <w:r>
        <w:rPr>
          <w:rFonts w:hint="eastAsia" w:hAnsi="黑体"/>
          <w:bCs/>
          <w:sz w:val="28"/>
          <w:szCs w:val="28"/>
        </w:rPr>
        <w:t>第二部分  部门决算表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七、一般公共预算财政拨款“三公”经费支出决算表</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八、政府性基金预算财政拨款收入支出决算表</w:t>
      </w:r>
    </w:p>
    <w:p>
      <w:pPr>
        <w:pStyle w:val="9"/>
        <w:spacing w:line="460" w:lineRule="exact"/>
        <w:rPr>
          <w:rFonts w:hint="eastAsia" w:ascii="仿宋_GB2312" w:hAnsi="仿宋_GB2312" w:eastAsia="仿宋_GB2312" w:cs="仿宋_GB2312"/>
          <w:b/>
          <w:sz w:val="28"/>
          <w:szCs w:val="28"/>
        </w:rPr>
      </w:pPr>
      <w:r>
        <w:rPr>
          <w:rFonts w:hint="eastAsia" w:hAnsi="黑体"/>
          <w:bCs/>
          <w:sz w:val="28"/>
          <w:szCs w:val="28"/>
        </w:rPr>
        <w:t>第三部分  201</w:t>
      </w:r>
      <w:r>
        <w:rPr>
          <w:rFonts w:hint="eastAsia" w:hAnsi="黑体"/>
          <w:bCs/>
          <w:sz w:val="28"/>
          <w:szCs w:val="28"/>
          <w:lang w:val="en-US" w:eastAsia="zh-CN"/>
        </w:rPr>
        <w:t>8</w:t>
      </w:r>
      <w:r>
        <w:rPr>
          <w:rFonts w:hint="eastAsia" w:hAnsi="黑体"/>
          <w:bCs/>
          <w:sz w:val="28"/>
          <w:szCs w:val="28"/>
        </w:rPr>
        <w:t>年度部门决算情况说明</w:t>
      </w:r>
    </w:p>
    <w:p>
      <w:pPr>
        <w:pStyle w:val="9"/>
        <w:spacing w:line="46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46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九、预算绩效情况说明</w:t>
      </w:r>
    </w:p>
    <w:p>
      <w:pPr>
        <w:autoSpaceDE w:val="0"/>
        <w:autoSpaceDN w:val="0"/>
        <w:adjustRightInd w:val="0"/>
        <w:spacing w:line="46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十、其他重要事项情况说明</w:t>
      </w:r>
    </w:p>
    <w:p>
      <w:pPr>
        <w:autoSpaceDE w:val="0"/>
        <w:autoSpaceDN w:val="0"/>
        <w:adjustRightInd w:val="0"/>
        <w:spacing w:line="460" w:lineRule="exact"/>
        <w:jc w:val="left"/>
        <w:rPr>
          <w:rFonts w:hint="eastAsia" w:ascii="黑体" w:hAnsi="黑体" w:eastAsia="黑体" w:cs="黑体"/>
          <w:bCs/>
          <w:color w:val="000000"/>
          <w:kern w:val="0"/>
          <w:sz w:val="28"/>
          <w:szCs w:val="28"/>
        </w:rPr>
      </w:pPr>
      <w:r>
        <w:rPr>
          <w:rFonts w:hint="eastAsia" w:ascii="黑体" w:hAnsi="黑体" w:eastAsia="黑体" w:cs="黑体"/>
          <w:bCs/>
          <w:color w:val="000000"/>
          <w:kern w:val="0"/>
          <w:sz w:val="28"/>
          <w:szCs w:val="28"/>
        </w:rPr>
        <w:t>第四部分  名词解释</w:t>
      </w:r>
    </w:p>
    <w:p>
      <w:pPr>
        <w:autoSpaceDE w:val="0"/>
        <w:autoSpaceDN w:val="0"/>
        <w:adjustRightInd w:val="0"/>
        <w:spacing w:line="460" w:lineRule="exact"/>
        <w:jc w:val="left"/>
        <w:rPr>
          <w:rFonts w:hint="eastAsia" w:ascii="黑体" w:hAnsi="黑体" w:eastAsia="黑体" w:cs="黑体"/>
          <w:bCs/>
          <w:color w:val="000000"/>
          <w:kern w:val="0"/>
          <w:sz w:val="28"/>
          <w:szCs w:val="28"/>
        </w:rPr>
      </w:pPr>
      <w:r>
        <w:rPr>
          <w:rFonts w:hint="eastAsia" w:ascii="黑体" w:hAnsi="黑体" w:eastAsia="黑体" w:cs="黑体"/>
          <w:bCs/>
          <w:color w:val="000000"/>
          <w:kern w:val="0"/>
          <w:sz w:val="28"/>
          <w:szCs w:val="28"/>
        </w:rPr>
        <w:t>第五部分  附件</w:t>
      </w:r>
    </w:p>
    <w:p>
      <w:pPr>
        <w:pStyle w:val="6"/>
        <w:widowControl/>
        <w:shd w:val="clear" w:color="auto" w:fill="FFFFFF"/>
        <w:spacing w:beforeAutospacing="0" w:afterAutospacing="0" w:line="360" w:lineRule="auto"/>
        <w:ind w:firstLine="420"/>
        <w:jc w:val="both"/>
        <w:rPr>
          <w:rFonts w:ascii="宋体" w:hAnsi="宋体" w:eastAsia="宋体" w:cs="宋体"/>
          <w:color w:val="333333"/>
          <w:shd w:val="clear" w:color="auto" w:fill="FFFFFF"/>
        </w:rPr>
      </w:pPr>
    </w:p>
    <w:p>
      <w:pPr>
        <w:widowControl/>
        <w:shd w:val="clear" w:color="auto" w:fill="FFFFFF"/>
        <w:spacing w:before="225" w:line="510" w:lineRule="atLeast"/>
        <w:jc w:val="center"/>
        <w:rPr>
          <w:rFonts w:hint="eastAsia" w:ascii="宋体" w:hAnsi="宋体" w:cs="宋体"/>
          <w:b/>
          <w:bCs/>
          <w:color w:val="333333"/>
          <w:kern w:val="0"/>
          <w:sz w:val="36"/>
          <w:szCs w:val="36"/>
        </w:rPr>
      </w:pPr>
      <w:r>
        <w:rPr>
          <w:rFonts w:hint="eastAsia" w:ascii="宋体" w:hAnsi="宋体" w:cs="宋体"/>
          <w:b/>
          <w:bCs/>
          <w:color w:val="333333"/>
          <w:kern w:val="0"/>
          <w:sz w:val="36"/>
          <w:szCs w:val="36"/>
        </w:rPr>
        <w:t>第一部分  湘潭县民政局概况</w:t>
      </w:r>
    </w:p>
    <w:p>
      <w:pPr>
        <w:widowControl/>
        <w:shd w:val="clear" w:color="auto" w:fill="FFFFFF"/>
        <w:spacing w:before="225" w:line="510" w:lineRule="atLeast"/>
        <w:jc w:val="center"/>
        <w:rPr>
          <w:rFonts w:hint="eastAsia" w:ascii="宋体" w:hAnsi="宋体" w:cs="宋体"/>
          <w:b/>
          <w:bCs/>
          <w:color w:val="333333"/>
          <w:kern w:val="0"/>
          <w:sz w:val="18"/>
          <w:szCs w:val="18"/>
        </w:rPr>
      </w:pPr>
    </w:p>
    <w:p>
      <w:pPr>
        <w:pStyle w:val="10"/>
        <w:ind w:firstLine="640"/>
        <w:jc w:val="left"/>
        <w:rPr>
          <w:rFonts w:hint="eastAsia" w:ascii="黑体" w:hAnsi="黑体" w:eastAsia="黑体" w:cs="黑体"/>
          <w:sz w:val="32"/>
          <w:szCs w:val="32"/>
        </w:rPr>
      </w:pPr>
      <w:r>
        <w:rPr>
          <w:rFonts w:hint="eastAsia" w:ascii="黑体" w:hAnsi="黑体" w:eastAsia="黑体" w:cs="黑体"/>
          <w:sz w:val="32"/>
          <w:szCs w:val="32"/>
        </w:rPr>
        <w:t>一、部门职责</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（一）贯彻执行党和国家关于民政工作的法律、法规和方针、政策；拟订全县民政事业发展规划和政策，并组织实施和监督检查。</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（二）承担依法对全县社会团体、民办非企业单位的登记管理和监察责任。</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（三）贯彻执行国家的优抚政策，依法开展优抚工作；负责申报和褒扬革命烈士工作；负责优抚对象的抚恤、补助和优待工作；审核呈报全县人民警察、国家公务员以及参照《中华人民共和</w:t>
      </w:r>
      <w:bookmarkStart w:id="1" w:name="_GoBack"/>
      <w:bookmarkEnd w:id="1"/>
      <w:r>
        <w:rPr>
          <w:rFonts w:hint="eastAsia" w:ascii="Times New Roman" w:hAnsi="Times New Roman" w:eastAsia="仿宋_GB2312" w:cs="Times New Roman"/>
          <w:bCs/>
          <w:kern w:val="0"/>
          <w:sz w:val="32"/>
          <w:szCs w:val="32"/>
          <w:lang w:val="en-US" w:eastAsia="zh-CN" w:bidi="ar-SA"/>
        </w:rPr>
        <w:t>国公务员法》管理的国家机关工作人员的评残工作；指导优抚和烈士纪念建筑物保护单位的管理；组织和指导全县拥军优属、拥政爱民工作；承担县双拥工作领导小组办公室的日常工作。</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四）拟订全县退役士兵、转业士官、复员干部和移交地方政府安置的军队离退休干部、退休士官及军队无军籍退休退职职工的接收安置政策并组织实施；指导军队离退休干部休养所建设服务工作，落实军队离退休干部的有关政治、生活待遇；指导全县军地两用人才的培训。</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（五）主管全县农村自然灾害救济工作；组织、协调救灾减灾工作；组织自然灾害救助应急体系建设；组织核查、统计上报和发布灾情工作；筹措、管理、分配。</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救灾款物的监督使用；组织、指导救灾捐赠工作；指导救灾物资的储备和发放工作；指导灾民开展生产自救；会同有关部门组织实施农村危房改造。</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六）拟订全县社会救助规划、政策；健全城乡社会救助体系；负责城乡居民最低生活保障、医疗救助、临时救助工作；负责农村五保供养和敬老院建设工作；拟订城乡居民最低生活保障对象家庭收入核查办法和程序；管理和发放上级下拨的和县级安排的保障金。</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七）拟订全县城乡基层群众自治组织建设和社区建设相关制度并组织实施；提出加强和改进城乡基层政权建设的建议；指导、组织城乡社区建设和服务管理工作；推动村（居）务公开和基层民主政治建设；指导基层群众自治组织和社区组织干部的表彰。</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八）负责全县行政区划总体规划、地名管理办法的拟定并组织实施；负责行政区域界线的勘定和管理工作；负责全县法定行政区域界线争议的调查和调处工作；负责地名管理工作；组织建立和管理地名信息资料和档案。</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九）负责全县社会福利事业发展规划的拟定并组织实施；指导全县社会福利机构的建设和管理；指导老年人、孤儿和残疾人等特殊群体的权益保障工作；负责全县社会福利企业的认定审批；拟订社会福利生产的扶持保障政策；指导和监督社会福利资金的管理使用；拟订促进慈善事业发展的规划、政策；组织、指导、社会捐助工作；审批全县性社会福利募捐义演义卖等活动。</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（十）拟订全县福利彩票发行规划，组织指导全县福利彩票发行工作，确保福利彩票安全运行、健康发展；负责本级福彩公益金的管理和使用；指导、监督全县福彩公益金的管理和使用。</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（十一）贯彻执行国家的婚姻登记、殡葬管理和儿童收养政策并组织实施；推进婚俗和殡葬改革；负责国内收养登记工作，配合有关部门保护妇女儿童的合法权益；负责城市生活无着流浪乞讨人员救助管理工作。</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（十二）负责全县民政事业经费的监督和管理；负责局机关和下属单位的国有资产的管理工作；负责民政统计工作。</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（十三）承办市民政局和县政府交办的革命老区的调查研究、资料收集、宣传教育及老区开发项目的考察论证、评估审核、资金的监督管理工作。</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四）负责协调、指导、督促和推动有关部门做好维护老年人权益保障的工作；加强对全县老龄工作的宏观指导，协调推动各部门开展有利于老年人身心健康的各种活动；负责指导、督促和检查全县的老龄工作。</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（十五）指导全县基层民政干部职工队伍建设；推进全县社会工作人才队伍建设和相关志愿者队伍建设；推进民政科技信息和民政行业标准化工作。</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（十六）承办县人民政府交办的其他事项。</w:t>
      </w:r>
    </w:p>
    <w:p>
      <w:pPr>
        <w:widowControl/>
        <w:spacing w:line="560" w:lineRule="exact"/>
        <w:ind w:firstLine="640" w:firstLineChars="200"/>
        <w:jc w:val="left"/>
        <w:rPr>
          <w:rFonts w:hint="eastAsia" w:ascii="黑体" w:hAnsi="黑体" w:eastAsia="黑体" w:cs="黑体"/>
          <w:bCs/>
          <w:kern w:val="0"/>
          <w:sz w:val="32"/>
          <w:szCs w:val="32"/>
        </w:rPr>
      </w:pPr>
      <w:r>
        <w:rPr>
          <w:rFonts w:hint="eastAsia" w:ascii="黑体" w:hAnsi="黑体" w:eastAsia="黑体" w:cs="黑体"/>
          <w:bCs/>
          <w:kern w:val="0"/>
          <w:sz w:val="32"/>
          <w:szCs w:val="32"/>
        </w:rPr>
        <w:t>二、机构设置</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一）内设机构设置。湘潭县民政局机关内设办公室、党务人事股（离退休人员管理服务股）、信访法制股、民间组织管理股（政务服务股）、优抚安置股、救灾救济股（老区办）、社会救助股、社会福利和慈善事业促进股（老龄工作股）、基层政权和社区建设股（区划地名办）、社会事务股、规划财务股、福利彩票发行中心、救助申请家庭经济状况核对中心、婚姻登记处、军队离休退休干部休养所、社会福利中心（县光荣院、县儿童福利院）、慈善会办公室、城市生活无着流浪乞讨人员救助站、留守人员关爱保护中心、殡葬执法大队。</w:t>
      </w:r>
    </w:p>
    <w:p>
      <w:pPr>
        <w:pStyle w:val="6"/>
        <w:widowControl/>
        <w:shd w:val="clear" w:color="auto" w:fill="FFFFFF"/>
        <w:spacing w:beforeAutospacing="0" w:afterAutospacing="0" w:line="360" w:lineRule="auto"/>
        <w:ind w:firstLine="420"/>
        <w:jc w:val="both"/>
        <w:rPr>
          <w:rFonts w:hint="eastAsia" w:ascii="Times New Roman" w:hAnsi="Times New Roman" w:eastAsia="仿宋_GB2312" w:cs="Times New Roman"/>
          <w:bCs/>
          <w:kern w:val="0"/>
          <w:sz w:val="32"/>
          <w:szCs w:val="32"/>
          <w:lang w:val="en-US" w:eastAsia="zh-CN" w:bidi="ar-SA"/>
        </w:rPr>
      </w:pPr>
      <w:r>
        <w:rPr>
          <w:rFonts w:hint="eastAsia" w:ascii="Times New Roman" w:hAnsi="Times New Roman" w:eastAsia="仿宋_GB2312" w:cs="Times New Roman"/>
          <w:bCs/>
          <w:kern w:val="0"/>
          <w:sz w:val="32"/>
          <w:szCs w:val="32"/>
          <w:lang w:val="en-US" w:eastAsia="zh-CN" w:bidi="ar-SA"/>
        </w:rPr>
        <w:t>（二）决算单位构成。湘潭县民政局2018年部门决算汇总公开单位构成包括：1、湘潭县民政局本级；2、福利中心和军干所两个二级机构。</w:t>
      </w:r>
    </w:p>
    <w:p>
      <w:pPr>
        <w:rPr>
          <w:rFonts w:ascii="宋体" w:hAnsi="宋体" w:eastAsia="宋体" w:cs="宋体"/>
          <w:color w:val="333333"/>
          <w:sz w:val="24"/>
          <w:shd w:val="clear" w:color="auto" w:fill="FFFFFF"/>
        </w:rPr>
      </w:pPr>
      <w:r>
        <w:rPr>
          <w:rFonts w:hint="eastAsia" w:ascii="宋体" w:hAnsi="宋体" w:eastAsia="宋体" w:cs="宋体"/>
          <w:color w:val="333333"/>
          <w:sz w:val="24"/>
          <w:shd w:val="clear" w:color="auto" w:fill="FFFFFF"/>
        </w:rPr>
        <w:br w:type="page"/>
      </w:r>
    </w:p>
    <w:p>
      <w:pPr>
        <w:pStyle w:val="6"/>
        <w:widowControl/>
        <w:shd w:val="clear" w:color="auto" w:fill="FFFFFF"/>
        <w:spacing w:beforeAutospacing="0" w:afterAutospacing="0" w:line="360" w:lineRule="auto"/>
        <w:ind w:firstLine="420"/>
        <w:jc w:val="both"/>
        <w:rPr>
          <w:rFonts w:ascii="宋体" w:hAnsi="宋体" w:eastAsia="宋体" w:cs="宋体"/>
          <w:color w:val="333333"/>
          <w:shd w:val="clear" w:color="auto" w:fill="FFFFFF"/>
        </w:rPr>
        <w:sectPr>
          <w:pgSz w:w="11906" w:h="16838"/>
          <w:pgMar w:top="1440" w:right="1800" w:bottom="1440" w:left="1800" w:header="851" w:footer="992" w:gutter="0"/>
          <w:cols w:space="425" w:num="1"/>
          <w:docGrid w:type="lines" w:linePitch="312" w:charSpace="0"/>
        </w:sectPr>
      </w:pPr>
    </w:p>
    <w:tbl>
      <w:tblPr>
        <w:tblStyle w:val="7"/>
        <w:tblpPr w:leftFromText="180" w:rightFromText="180" w:vertAnchor="text" w:horzAnchor="page" w:tblpX="1147" w:tblpY="668"/>
        <w:tblOverlap w:val="never"/>
        <w:tblW w:w="5172" w:type="pct"/>
        <w:tblInd w:w="0" w:type="dxa"/>
        <w:tblLayout w:type="fixed"/>
        <w:tblCellMar>
          <w:top w:w="0" w:type="dxa"/>
          <w:left w:w="108" w:type="dxa"/>
          <w:bottom w:w="0" w:type="dxa"/>
          <w:right w:w="108" w:type="dxa"/>
        </w:tblCellMar>
      </w:tblPr>
      <w:tblGrid>
        <w:gridCol w:w="3086"/>
        <w:gridCol w:w="648"/>
        <w:gridCol w:w="1428"/>
        <w:gridCol w:w="2413"/>
        <w:gridCol w:w="589"/>
        <w:gridCol w:w="1062"/>
        <w:gridCol w:w="2686"/>
        <w:gridCol w:w="592"/>
        <w:gridCol w:w="2158"/>
      </w:tblGrid>
      <w:tr>
        <w:tblPrEx>
          <w:tblCellMar>
            <w:top w:w="0" w:type="dxa"/>
            <w:left w:w="108" w:type="dxa"/>
            <w:bottom w:w="0" w:type="dxa"/>
            <w:right w:w="108" w:type="dxa"/>
          </w:tblCellMar>
        </w:tblPrEx>
        <w:trPr>
          <w:trHeight w:val="540" w:hRule="atLeast"/>
        </w:trPr>
        <w:tc>
          <w:tcPr>
            <w:tcW w:w="5000" w:type="pct"/>
            <w:gridSpan w:val="9"/>
            <w:tcBorders>
              <w:top w:val="nil"/>
              <w:left w:val="nil"/>
              <w:bottom w:val="nil"/>
              <w:right w:val="nil"/>
            </w:tcBorders>
            <w:shd w:val="clear" w:color="auto" w:fill="auto"/>
            <w:noWrap/>
            <w:vAlign w:val="bottom"/>
          </w:tcPr>
          <w:p>
            <w:pPr>
              <w:widowControl/>
              <w:shd w:val="clear" w:color="auto" w:fill="FFFFFF"/>
              <w:spacing w:before="225" w:line="510" w:lineRule="atLeast"/>
              <w:jc w:val="center"/>
              <w:rPr>
                <w:rFonts w:hint="eastAsia" w:ascii="黑体" w:hAnsi="黑体" w:eastAsia="黑体"/>
                <w:b/>
                <w:bCs/>
                <w:sz w:val="36"/>
                <w:szCs w:val="36"/>
              </w:rPr>
            </w:pPr>
            <w:r>
              <w:rPr>
                <w:rFonts w:hint="eastAsia" w:ascii="宋体" w:hAnsi="宋体" w:cs="宋体"/>
                <w:b/>
                <w:bCs/>
                <w:color w:val="333333"/>
                <w:kern w:val="0"/>
                <w:sz w:val="36"/>
                <w:szCs w:val="36"/>
              </w:rPr>
              <w:t>第二部分 部门决算表</w:t>
            </w:r>
          </w:p>
          <w:p>
            <w:pPr>
              <w:jc w:val="center"/>
              <w:rPr>
                <w:rFonts w:ascii="宋体" w:hAnsi="宋体" w:eastAsia="宋体" w:cs="宋体"/>
                <w:color w:val="000000"/>
                <w:sz w:val="44"/>
                <w:szCs w:val="44"/>
              </w:rPr>
            </w:pPr>
            <w:r>
              <w:rPr>
                <w:rFonts w:hint="eastAsia" w:ascii="黑体" w:hAnsi="黑体" w:eastAsia="黑体"/>
                <w:sz w:val="36"/>
                <w:szCs w:val="32"/>
              </w:rPr>
              <w:t>收入支出决算总表</w:t>
            </w:r>
          </w:p>
        </w:tc>
      </w:tr>
      <w:tr>
        <w:tblPrEx>
          <w:tblCellMar>
            <w:top w:w="0" w:type="dxa"/>
            <w:left w:w="108" w:type="dxa"/>
            <w:bottom w:w="0" w:type="dxa"/>
            <w:right w:w="108" w:type="dxa"/>
          </w:tblCellMar>
        </w:tblPrEx>
        <w:trPr>
          <w:trHeight w:val="285" w:hRule="atLeast"/>
        </w:trPr>
        <w:tc>
          <w:tcPr>
            <w:tcW w:w="105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21"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5"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23"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01"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6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14"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0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35" w:type="pct"/>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财决01表</w:t>
            </w:r>
          </w:p>
        </w:tc>
      </w:tr>
      <w:tr>
        <w:tblPrEx>
          <w:tblCellMar>
            <w:top w:w="0" w:type="dxa"/>
            <w:left w:w="108" w:type="dxa"/>
            <w:bottom w:w="0" w:type="dxa"/>
            <w:right w:w="108" w:type="dxa"/>
          </w:tblCellMar>
        </w:tblPrEx>
        <w:trPr>
          <w:trHeight w:val="285" w:hRule="atLeast"/>
        </w:trPr>
        <w:tc>
          <w:tcPr>
            <w:tcW w:w="1052" w:type="pct"/>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4"/>
              </w:rPr>
            </w:pPr>
            <w:r>
              <w:rPr>
                <w:rFonts w:hint="eastAsia" w:ascii="宋体" w:hAnsi="宋体" w:eastAsia="宋体" w:cs="宋体"/>
                <w:color w:val="000000"/>
                <w:kern w:val="0"/>
                <w:sz w:val="24"/>
                <w:lang w:bidi="ar"/>
              </w:rPr>
              <w:t>编制单位：湘潭县民政局</w:t>
            </w:r>
          </w:p>
        </w:tc>
        <w:tc>
          <w:tcPr>
            <w:tcW w:w="221"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5"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23" w:type="pct"/>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4"/>
              </w:rPr>
            </w:pPr>
            <w:r>
              <w:rPr>
                <w:rFonts w:hint="eastAsia" w:ascii="宋体" w:hAnsi="宋体" w:eastAsia="宋体" w:cs="宋体"/>
                <w:color w:val="000000"/>
                <w:kern w:val="0"/>
                <w:sz w:val="24"/>
                <w:lang w:bidi="ar"/>
              </w:rPr>
              <w:t>2018年度</w:t>
            </w:r>
          </w:p>
        </w:tc>
        <w:tc>
          <w:tcPr>
            <w:tcW w:w="201"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6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14"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0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35" w:type="pct"/>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金额单位：万元</w:t>
            </w:r>
          </w:p>
        </w:tc>
      </w:tr>
      <w:tr>
        <w:tblPrEx>
          <w:tblCellMar>
            <w:top w:w="0" w:type="dxa"/>
            <w:left w:w="108" w:type="dxa"/>
            <w:bottom w:w="0" w:type="dxa"/>
            <w:right w:w="108" w:type="dxa"/>
          </w:tblCellMar>
        </w:tblPrEx>
        <w:trPr>
          <w:trHeight w:val="363" w:hRule="exact"/>
        </w:trPr>
        <w:tc>
          <w:tcPr>
            <w:tcW w:w="1760"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收入</w:t>
            </w:r>
          </w:p>
        </w:tc>
        <w:tc>
          <w:tcPr>
            <w:tcW w:w="3239"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支出</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行次</w:t>
            </w:r>
          </w:p>
        </w:tc>
        <w:tc>
          <w:tcPr>
            <w:tcW w:w="485"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决算数</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项目(按功能分类)</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行次</w:t>
            </w:r>
          </w:p>
        </w:tc>
        <w:tc>
          <w:tcPr>
            <w:tcW w:w="36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决算数</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项目(按支出性质和经济分类)</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行次</w:t>
            </w:r>
          </w:p>
        </w:tc>
        <w:tc>
          <w:tcPr>
            <w:tcW w:w="735" w:type="pct"/>
            <w:tcBorders>
              <w:top w:val="nil"/>
              <w:left w:val="nil"/>
              <w:bottom w:val="single" w:color="000000" w:sz="4" w:space="0"/>
              <w:right w:val="single" w:color="000000" w:sz="8"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决算数</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221" w:type="pc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485"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201" w:type="pc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36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202" w:type="pct"/>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735" w:type="pct"/>
            <w:tcBorders>
              <w:top w:val="nil"/>
              <w:left w:val="nil"/>
              <w:bottom w:val="single" w:color="000000" w:sz="4" w:space="0"/>
              <w:right w:val="single" w:color="000000" w:sz="8"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一、财政拨款收入</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24,286.27</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一、一般公共服务支出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37</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一、基本支出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1,335.43</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其中：政府性基金预算财政拨款</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二、外交支出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38</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人员经费</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61</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802.13</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二、上级补助收入</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三、国防支出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日常公用经费</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62</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533.30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三、事业收入</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四、公共安全支出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二、项目支出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63</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25,863.76</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四、经营收入</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五、教育支出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41</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基本建设类项目</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64</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五、附属单位上缴收入</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六、科学技术支出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42</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行政事业类项目</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25,863.76</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六、其他收入</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2,908.11</w:t>
            </w: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七、文化体育与传媒支出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43</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三、上缴上级支出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66</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八、社会保障和就业支出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25,808.15</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四、经营支出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67</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九、医疗卫生与计划生育支出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45</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五、对附属单位补助支出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68</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十、节能环保支出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w:t>
            </w:r>
          </w:p>
        </w:tc>
        <w:tc>
          <w:tcPr>
            <w:tcW w:w="735" w:type="pct"/>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宋体"/>
                <w:color w:val="000000"/>
                <w:sz w:val="22"/>
                <w:szCs w:val="22"/>
              </w:rPr>
            </w:pP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十一、城乡社区支出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47</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支出经济分类</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十二、农林水支出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48</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基本支出和项目支出合计</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27,199.19</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十三、交通运输支出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49</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工资福利支出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72</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802.13</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十四、资源勘探信息等支出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商品和服务支出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73</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1,207.43</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十五、商业服务业等支出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51</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对个人和家庭的补助</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74</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25,123.75</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十六、金融支出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债务利息及费用支出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75</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十七、援助其他地区支出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53</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资本性支出（基本建设）</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76</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十八、国土海洋气象等支出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54</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资本性支出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77</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65.88</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十九、住房保障支出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55</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对企业补助（基本建设）</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78</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二十、粮油物资储备支出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56</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对企业补助</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79</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二十一、其他支出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57</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对社会保障基金补助</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80</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二十二、债务还本支出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58</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其他支出</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23</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823" w:type="pct"/>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二十三、债务付息支出</w:t>
            </w:r>
          </w:p>
        </w:tc>
        <w:tc>
          <w:tcPr>
            <w:tcW w:w="20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59</w:t>
            </w:r>
          </w:p>
        </w:tc>
        <w:tc>
          <w:tcPr>
            <w:tcW w:w="36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914" w:type="pct"/>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w:t>
            </w:r>
          </w:p>
        </w:tc>
        <w:tc>
          <w:tcPr>
            <w:tcW w:w="735" w:type="pct"/>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宋体"/>
                <w:color w:val="000000"/>
                <w:sz w:val="22"/>
                <w:szCs w:val="22"/>
              </w:rPr>
            </w:pP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本年收入合计</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27,194.38</w:t>
            </w: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本年支出合计</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83</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27,199.19</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用事业基金弥补收支差额</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结余分配</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84</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年初结转和结余</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18.12</w:t>
            </w: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交纳所得税</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85</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基本支出结转</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18.12</w:t>
            </w: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提取职工福利基金</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项目支出结转和结余</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转入事业基金</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经营结余</w:t>
            </w: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88</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30</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年末结转和结余</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89</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13.31</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31</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基本支出结转</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13.31</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32</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项目支出结转和结余</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2302" w:type="pct"/>
            <w:gridSpan w:val="4"/>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经营结余</w:t>
            </w: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92</w:t>
            </w:r>
          </w:p>
        </w:tc>
        <w:tc>
          <w:tcPr>
            <w:tcW w:w="735" w:type="pct"/>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宋体"/>
                <w:b/>
                <w:bCs/>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34</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2302" w:type="pct"/>
            <w:gridSpan w:val="4"/>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93</w:t>
            </w:r>
          </w:p>
        </w:tc>
        <w:tc>
          <w:tcPr>
            <w:tcW w:w="735" w:type="pct"/>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宋体"/>
                <w:color w:val="000000"/>
                <w:sz w:val="22"/>
                <w:szCs w:val="22"/>
              </w:rPr>
            </w:pP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221"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w:t>
            </w:r>
          </w:p>
        </w:tc>
        <w:tc>
          <w:tcPr>
            <w:tcW w:w="48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szCs w:val="22"/>
              </w:rPr>
            </w:pPr>
          </w:p>
        </w:tc>
        <w:tc>
          <w:tcPr>
            <w:tcW w:w="2302" w:type="pct"/>
            <w:gridSpan w:val="4"/>
            <w:tcBorders>
              <w:top w:val="nil"/>
              <w:left w:val="nil"/>
              <w:bottom w:val="single" w:color="000000" w:sz="4" w:space="0"/>
              <w:right w:val="single" w:color="000000" w:sz="4" w:space="0"/>
            </w:tcBorders>
            <w:shd w:val="clear" w:color="FFFFFF" w:fill="C0C0C0"/>
            <w:noWrap/>
            <w:vAlign w:val="center"/>
          </w:tcPr>
          <w:p>
            <w:pPr>
              <w:jc w:val="left"/>
              <w:rPr>
                <w:rFonts w:ascii="宋体" w:hAnsi="宋体" w:eastAsia="宋体" w:cs="宋体"/>
                <w:color w:val="000000"/>
                <w:sz w:val="22"/>
                <w:szCs w:val="22"/>
              </w:rPr>
            </w:pPr>
          </w:p>
        </w:tc>
        <w:tc>
          <w:tcPr>
            <w:tcW w:w="20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94</w:t>
            </w:r>
          </w:p>
        </w:tc>
        <w:tc>
          <w:tcPr>
            <w:tcW w:w="735" w:type="pct"/>
            <w:tcBorders>
              <w:top w:val="nil"/>
              <w:left w:val="nil"/>
              <w:bottom w:val="single" w:color="000000" w:sz="4" w:space="0"/>
              <w:right w:val="single" w:color="000000" w:sz="8" w:space="0"/>
            </w:tcBorders>
            <w:shd w:val="clear" w:color="auto" w:fill="auto"/>
            <w:noWrap/>
            <w:vAlign w:val="center"/>
          </w:tcPr>
          <w:p>
            <w:pPr>
              <w:jc w:val="right"/>
              <w:rPr>
                <w:rFonts w:ascii="宋体" w:hAnsi="宋体" w:eastAsia="宋体" w:cs="宋体"/>
                <w:color w:val="000000"/>
                <w:sz w:val="22"/>
                <w:szCs w:val="22"/>
              </w:rPr>
            </w:pPr>
          </w:p>
        </w:tc>
      </w:tr>
      <w:tr>
        <w:tblPrEx>
          <w:tblCellMar>
            <w:top w:w="0" w:type="dxa"/>
            <w:left w:w="108" w:type="dxa"/>
            <w:bottom w:w="0" w:type="dxa"/>
            <w:right w:w="108" w:type="dxa"/>
          </w:tblCellMar>
        </w:tblPrEx>
        <w:trPr>
          <w:trHeight w:val="363" w:hRule="exact"/>
        </w:trPr>
        <w:tc>
          <w:tcPr>
            <w:tcW w:w="1052" w:type="pct"/>
            <w:tcBorders>
              <w:top w:val="nil"/>
              <w:left w:val="single" w:color="000000" w:sz="4" w:space="0"/>
              <w:bottom w:val="single" w:color="000000" w:sz="8"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总计</w:t>
            </w:r>
          </w:p>
        </w:tc>
        <w:tc>
          <w:tcPr>
            <w:tcW w:w="221" w:type="pct"/>
            <w:tcBorders>
              <w:top w:val="nil"/>
              <w:left w:val="nil"/>
              <w:bottom w:val="single" w:color="000000" w:sz="8"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36</w:t>
            </w:r>
          </w:p>
        </w:tc>
        <w:tc>
          <w:tcPr>
            <w:tcW w:w="485" w:type="pct"/>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27,212.50</w:t>
            </w:r>
          </w:p>
        </w:tc>
        <w:tc>
          <w:tcPr>
            <w:tcW w:w="2302" w:type="pct"/>
            <w:gridSpan w:val="4"/>
            <w:tcBorders>
              <w:top w:val="nil"/>
              <w:left w:val="nil"/>
              <w:bottom w:val="single" w:color="000000" w:sz="8" w:space="0"/>
              <w:right w:val="single" w:color="000000" w:sz="4" w:space="0"/>
            </w:tcBorders>
            <w:shd w:val="clear" w:color="FFFFFF" w:fill="C0C0C0"/>
            <w:noWrap/>
            <w:vAlign w:val="center"/>
          </w:tcPr>
          <w:p>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总计</w:t>
            </w:r>
          </w:p>
        </w:tc>
        <w:tc>
          <w:tcPr>
            <w:tcW w:w="202" w:type="pct"/>
            <w:tcBorders>
              <w:top w:val="nil"/>
              <w:left w:val="nil"/>
              <w:bottom w:val="single" w:color="000000" w:sz="8"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95</w:t>
            </w:r>
          </w:p>
        </w:tc>
        <w:tc>
          <w:tcPr>
            <w:tcW w:w="735" w:type="pct"/>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27,212.50</w:t>
            </w:r>
          </w:p>
        </w:tc>
      </w:tr>
    </w:tbl>
    <w:p>
      <w:pPr>
        <w:rPr>
          <w:rFonts w:ascii="宋体" w:hAnsi="宋体" w:eastAsia="宋体" w:cs="宋体"/>
          <w:color w:val="333333"/>
          <w:sz w:val="24"/>
          <w:shd w:val="clear" w:color="auto" w:fill="FFFFFF"/>
        </w:rPr>
      </w:pPr>
    </w:p>
    <w:p>
      <w:pPr>
        <w:rPr>
          <w:rFonts w:ascii="宋体" w:hAnsi="宋体" w:eastAsia="宋体" w:cs="宋体"/>
          <w:color w:val="333333"/>
          <w:sz w:val="24"/>
          <w:shd w:val="clear" w:color="auto" w:fill="FFFFFF"/>
        </w:rPr>
      </w:pPr>
    </w:p>
    <w:tbl>
      <w:tblPr>
        <w:tblStyle w:val="7"/>
        <w:tblW w:w="13859" w:type="dxa"/>
        <w:tblInd w:w="-266" w:type="dxa"/>
        <w:tblLayout w:type="fixed"/>
        <w:tblCellMar>
          <w:top w:w="0" w:type="dxa"/>
          <w:left w:w="108" w:type="dxa"/>
          <w:bottom w:w="0" w:type="dxa"/>
          <w:right w:w="108" w:type="dxa"/>
        </w:tblCellMar>
      </w:tblPr>
      <w:tblGrid>
        <w:gridCol w:w="772"/>
        <w:gridCol w:w="750"/>
        <w:gridCol w:w="687"/>
        <w:gridCol w:w="2765"/>
        <w:gridCol w:w="1244"/>
        <w:gridCol w:w="1244"/>
        <w:gridCol w:w="1244"/>
        <w:gridCol w:w="1244"/>
        <w:gridCol w:w="1244"/>
        <w:gridCol w:w="1245"/>
        <w:gridCol w:w="1420"/>
      </w:tblGrid>
      <w:tr>
        <w:tblPrEx>
          <w:tblCellMar>
            <w:top w:w="0" w:type="dxa"/>
            <w:left w:w="108" w:type="dxa"/>
            <w:bottom w:w="0" w:type="dxa"/>
            <w:right w:w="108" w:type="dxa"/>
          </w:tblCellMar>
        </w:tblPrEx>
        <w:trPr>
          <w:trHeight w:val="90" w:hRule="atLeast"/>
        </w:trPr>
        <w:tc>
          <w:tcPr>
            <w:tcW w:w="13859" w:type="dxa"/>
            <w:gridSpan w:val="11"/>
            <w:tcBorders>
              <w:top w:val="nil"/>
              <w:left w:val="nil"/>
              <w:bottom w:val="nil"/>
              <w:right w:val="nil"/>
            </w:tcBorders>
            <w:shd w:val="clear" w:color="auto" w:fill="auto"/>
            <w:noWrap/>
            <w:vAlign w:val="bottom"/>
          </w:tcPr>
          <w:p>
            <w:pPr>
              <w:widowControl/>
              <w:textAlignment w:val="bottom"/>
              <w:rPr>
                <w:rFonts w:ascii="宋体" w:hAnsi="宋体" w:eastAsia="宋体" w:cs="宋体"/>
                <w:color w:val="000000"/>
                <w:kern w:val="0"/>
                <w:sz w:val="44"/>
                <w:szCs w:val="44"/>
                <w:lang w:bidi="ar"/>
              </w:rPr>
            </w:pPr>
          </w:p>
          <w:p>
            <w:pPr>
              <w:widowControl/>
              <w:jc w:val="center"/>
              <w:rPr>
                <w:rFonts w:ascii="宋体" w:hAnsi="宋体" w:eastAsia="宋体" w:cs="宋体"/>
                <w:color w:val="000000"/>
                <w:sz w:val="44"/>
                <w:szCs w:val="44"/>
              </w:rPr>
            </w:pPr>
            <w:r>
              <w:rPr>
                <w:rFonts w:hint="eastAsia" w:eastAsia="方正小标宋_GBK"/>
                <w:color w:val="000000"/>
                <w:kern w:val="0"/>
                <w:sz w:val="36"/>
                <w:szCs w:val="36"/>
                <w:lang w:eastAsia="zh-CN"/>
              </w:rPr>
              <w:t>部门</w:t>
            </w:r>
            <w:r>
              <w:rPr>
                <w:rFonts w:hint="eastAsia" w:eastAsia="方正小标宋_GBK"/>
                <w:color w:val="000000"/>
                <w:kern w:val="0"/>
                <w:sz w:val="36"/>
                <w:szCs w:val="36"/>
              </w:rPr>
              <w:t>收入决算表</w:t>
            </w:r>
          </w:p>
        </w:tc>
      </w:tr>
      <w:tr>
        <w:tblPrEx>
          <w:tblCellMar>
            <w:top w:w="0" w:type="dxa"/>
            <w:left w:w="108" w:type="dxa"/>
            <w:bottom w:w="0" w:type="dxa"/>
            <w:right w:w="108" w:type="dxa"/>
          </w:tblCellMar>
        </w:tblPrEx>
        <w:trPr>
          <w:trHeight w:val="285" w:hRule="atLeast"/>
        </w:trPr>
        <w:tc>
          <w:tcPr>
            <w:tcW w:w="77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5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68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76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2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财决02表</w:t>
            </w:r>
          </w:p>
        </w:tc>
      </w:tr>
      <w:tr>
        <w:tblPrEx>
          <w:tblCellMar>
            <w:top w:w="0" w:type="dxa"/>
            <w:left w:w="108" w:type="dxa"/>
            <w:bottom w:w="0" w:type="dxa"/>
            <w:right w:w="108" w:type="dxa"/>
          </w:tblCellMar>
        </w:tblPrEx>
        <w:trPr>
          <w:trHeight w:val="285" w:hRule="atLeast"/>
        </w:trPr>
        <w:tc>
          <w:tcPr>
            <w:tcW w:w="4974" w:type="dxa"/>
            <w:gridSpan w:val="4"/>
            <w:tcBorders>
              <w:top w:val="nil"/>
              <w:left w:val="nil"/>
              <w:bottom w:val="nil"/>
              <w:right w:val="nil"/>
            </w:tcBorders>
            <w:shd w:val="clear" w:color="auto" w:fill="auto"/>
            <w:noWrap/>
            <w:vAlign w:val="bottom"/>
          </w:tcPr>
          <w:p>
            <w:pPr>
              <w:rPr>
                <w:rFonts w:ascii="Arial" w:hAnsi="Arial" w:cs="Arial"/>
                <w:color w:val="000000"/>
                <w:sz w:val="20"/>
                <w:szCs w:val="20"/>
              </w:rPr>
            </w:pPr>
            <w:r>
              <w:rPr>
                <w:rFonts w:hint="eastAsia" w:ascii="宋体" w:hAnsi="宋体" w:eastAsia="宋体" w:cs="宋体"/>
                <w:color w:val="000000"/>
                <w:kern w:val="0"/>
                <w:sz w:val="24"/>
                <w:lang w:bidi="ar"/>
              </w:rPr>
              <w:t>编制单位：湘潭县民政局</w:t>
            </w: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4"/>
              </w:rPr>
            </w:pPr>
            <w:r>
              <w:rPr>
                <w:rFonts w:hint="eastAsia" w:ascii="宋体" w:hAnsi="宋体" w:eastAsia="宋体" w:cs="宋体"/>
                <w:color w:val="000000"/>
                <w:kern w:val="0"/>
                <w:sz w:val="24"/>
                <w:lang w:bidi="ar"/>
              </w:rPr>
              <w:t>2018年度</w:t>
            </w: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4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665"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金额单位：万元</w:t>
            </w:r>
          </w:p>
        </w:tc>
      </w:tr>
      <w:tr>
        <w:tblPrEx>
          <w:tblCellMar>
            <w:top w:w="0" w:type="dxa"/>
            <w:left w:w="108" w:type="dxa"/>
            <w:bottom w:w="0" w:type="dxa"/>
            <w:right w:w="108" w:type="dxa"/>
          </w:tblCellMar>
        </w:tblPrEx>
        <w:trPr>
          <w:trHeight w:val="308" w:hRule="atLeast"/>
        </w:trPr>
        <w:tc>
          <w:tcPr>
            <w:tcW w:w="497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w:t>
            </w:r>
          </w:p>
        </w:tc>
        <w:tc>
          <w:tcPr>
            <w:tcW w:w="124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本年收入合计</w:t>
            </w:r>
          </w:p>
        </w:tc>
        <w:tc>
          <w:tcPr>
            <w:tcW w:w="124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财政拨款收入</w:t>
            </w:r>
          </w:p>
        </w:tc>
        <w:tc>
          <w:tcPr>
            <w:tcW w:w="124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上级补助收入</w:t>
            </w:r>
          </w:p>
        </w:tc>
        <w:tc>
          <w:tcPr>
            <w:tcW w:w="124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事业收入</w:t>
            </w:r>
          </w:p>
        </w:tc>
        <w:tc>
          <w:tcPr>
            <w:tcW w:w="124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经营收入</w:t>
            </w:r>
          </w:p>
        </w:tc>
        <w:tc>
          <w:tcPr>
            <w:tcW w:w="124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附属单位上缴收入</w:t>
            </w:r>
          </w:p>
        </w:tc>
        <w:tc>
          <w:tcPr>
            <w:tcW w:w="1420"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其他收入</w:t>
            </w:r>
          </w:p>
        </w:tc>
      </w:tr>
      <w:tr>
        <w:tblPrEx>
          <w:tblCellMar>
            <w:top w:w="0" w:type="dxa"/>
            <w:left w:w="108" w:type="dxa"/>
            <w:bottom w:w="0" w:type="dxa"/>
            <w:right w:w="108" w:type="dxa"/>
          </w:tblCellMar>
        </w:tblPrEx>
        <w:trPr>
          <w:trHeight w:val="312" w:hRule="atLeast"/>
        </w:trPr>
        <w:tc>
          <w:tcPr>
            <w:tcW w:w="220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支出功能分类科目编码</w:t>
            </w:r>
          </w:p>
        </w:tc>
        <w:tc>
          <w:tcPr>
            <w:tcW w:w="2765"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科目名称</w:t>
            </w: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420"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12" w:hRule="atLeast"/>
        </w:trPr>
        <w:tc>
          <w:tcPr>
            <w:tcW w:w="220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276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420"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975" w:hRule="atLeast"/>
        </w:trPr>
        <w:tc>
          <w:tcPr>
            <w:tcW w:w="220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276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420"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08" w:hRule="atLeast"/>
        </w:trPr>
        <w:tc>
          <w:tcPr>
            <w:tcW w:w="772" w:type="dxa"/>
            <w:vMerge w:val="restar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类</w:t>
            </w:r>
          </w:p>
        </w:tc>
        <w:tc>
          <w:tcPr>
            <w:tcW w:w="750"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款</w:t>
            </w:r>
          </w:p>
        </w:tc>
        <w:tc>
          <w:tcPr>
            <w:tcW w:w="687"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w:t>
            </w:r>
          </w:p>
        </w:tc>
        <w:tc>
          <w:tcPr>
            <w:tcW w:w="2765"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1244"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244"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244"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244"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244"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245"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420" w:type="dxa"/>
            <w:tcBorders>
              <w:top w:val="nil"/>
              <w:left w:val="nil"/>
              <w:bottom w:val="single" w:color="000000" w:sz="4" w:space="0"/>
              <w:right w:val="single" w:color="000000" w:sz="8"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r>
      <w:tr>
        <w:tblPrEx>
          <w:tblCellMar>
            <w:top w:w="0" w:type="dxa"/>
            <w:left w:w="108" w:type="dxa"/>
            <w:bottom w:w="0" w:type="dxa"/>
            <w:right w:w="108" w:type="dxa"/>
          </w:tblCellMar>
        </w:tblPrEx>
        <w:trPr>
          <w:trHeight w:val="308" w:hRule="atLeast"/>
        </w:trPr>
        <w:tc>
          <w:tcPr>
            <w:tcW w:w="772"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75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687"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2765"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27,194.38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24,286.27</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2,908.11</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社会保障和就业支出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25,803.34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22,895.24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2,908.11</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民政管理事务</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3,117.08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1,758.97</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1,358.11</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行政运行</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710.02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710.02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一般行政管理事务</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601.00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601.00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2080207</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行政区划和地名管理</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16.83</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16.83</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2080208</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基层政权和社区建设</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2080299</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其他民政管理事务支出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1,679.22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321.11</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1,358.11</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20805</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行政事业单位离退休</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2080501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归口管理的行政单位离退休</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抚恤</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8,674.77</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8,674.77</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伤残抚恤</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529.39</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529.39</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2080803</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在乡复员、退伍军人生活补助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6,581.00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6,581.00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2080804</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优抚事业单位支出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243.00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243.00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2080805</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义务兵优待</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445.88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445.88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2080899</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其他优抚支出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875.50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875.50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退役安置</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1,156.60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1,156.60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退役士兵安置</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698.70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698.70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军队移交政府的离退休人员安置</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336.94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336.94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2080903</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军队移交政府离退休干部管理机构</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11.66</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11.66</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2080904</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退役士兵管理教育</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109.30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109.30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社会福利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507.05</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507.05</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儿童福利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98.34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98.34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老年福利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284.49</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284.49</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2081004</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殡葬</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124.23</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124.23</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残疾人事业</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2081199</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其他残疾人事业支出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20815</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自然灾害生活救助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2081501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中央自然灾害生活补助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临时救助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1,656.01</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106.01</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1,550.00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临时救助支出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1,620.60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70.60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1,550.00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流浪乞讨人员救助支出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35.41</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35.41</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特困人员救助供养</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2082102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农村特困人员救助供养支出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20825</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其他生活救助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2082502</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其他农村生活救助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医疗卫生与计划生育支出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21014</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优抚对象医疗</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2101401</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优抚对象医疗补助</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农林水支出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扶贫</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2130504</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农村基础设施建设</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2130505</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生产发展</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22960</w:t>
            </w:r>
          </w:p>
        </w:tc>
        <w:tc>
          <w:tcPr>
            <w:tcW w:w="2765"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彩票公益金及对应专项债务收入安排的支出</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193" w:hRule="atLeast"/>
        </w:trPr>
        <w:tc>
          <w:tcPr>
            <w:tcW w:w="2209"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2296002</w:t>
            </w:r>
          </w:p>
        </w:tc>
        <w:tc>
          <w:tcPr>
            <w:tcW w:w="2765" w:type="dxa"/>
            <w:tcBorders>
              <w:top w:val="nil"/>
              <w:left w:val="nil"/>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用于社会福利的彩票公益金支出</w:t>
            </w:r>
          </w:p>
        </w:tc>
        <w:tc>
          <w:tcPr>
            <w:tcW w:w="12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2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2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4"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45"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42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bl>
    <w:p>
      <w:pPr>
        <w:rPr>
          <w:rFonts w:ascii="宋体" w:hAnsi="宋体" w:eastAsia="宋体" w:cs="宋体"/>
          <w:color w:val="333333"/>
          <w:sz w:val="24"/>
          <w:shd w:val="clear" w:color="auto" w:fill="FFFFFF"/>
        </w:rPr>
      </w:pPr>
    </w:p>
    <w:p>
      <w:pPr>
        <w:rPr>
          <w:rFonts w:ascii="宋体" w:hAnsi="宋体" w:eastAsia="宋体" w:cs="宋体"/>
          <w:color w:val="333333"/>
          <w:sz w:val="24"/>
          <w:shd w:val="clear" w:color="auto" w:fill="FFFFFF"/>
        </w:rPr>
      </w:pPr>
    </w:p>
    <w:tbl>
      <w:tblPr>
        <w:tblStyle w:val="7"/>
        <w:tblW w:w="14431" w:type="dxa"/>
        <w:tblInd w:w="-257" w:type="dxa"/>
        <w:tblLayout w:type="fixed"/>
        <w:tblCellMar>
          <w:top w:w="0" w:type="dxa"/>
          <w:left w:w="108" w:type="dxa"/>
          <w:bottom w:w="0" w:type="dxa"/>
          <w:right w:w="108" w:type="dxa"/>
        </w:tblCellMar>
      </w:tblPr>
      <w:tblGrid>
        <w:gridCol w:w="650"/>
        <w:gridCol w:w="663"/>
        <w:gridCol w:w="462"/>
        <w:gridCol w:w="350"/>
        <w:gridCol w:w="2338"/>
        <w:gridCol w:w="1700"/>
        <w:gridCol w:w="1600"/>
        <w:gridCol w:w="1612"/>
        <w:gridCol w:w="1538"/>
        <w:gridCol w:w="1769"/>
        <w:gridCol w:w="1749"/>
      </w:tblGrid>
      <w:tr>
        <w:tblPrEx>
          <w:tblCellMar>
            <w:top w:w="0" w:type="dxa"/>
            <w:left w:w="108" w:type="dxa"/>
            <w:bottom w:w="0" w:type="dxa"/>
            <w:right w:w="108" w:type="dxa"/>
          </w:tblCellMar>
        </w:tblPrEx>
        <w:trPr>
          <w:trHeight w:val="540" w:hRule="atLeast"/>
        </w:trPr>
        <w:tc>
          <w:tcPr>
            <w:tcW w:w="14431" w:type="dxa"/>
            <w:gridSpan w:val="11"/>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rPr>
                <w:rFonts w:ascii="宋体" w:hAnsi="宋体" w:eastAsia="宋体" w:cs="宋体"/>
                <w:color w:val="000000"/>
                <w:sz w:val="44"/>
                <w:szCs w:val="44"/>
              </w:rPr>
            </w:pPr>
            <w:r>
              <w:rPr>
                <w:rFonts w:hint="eastAsia" w:eastAsia="方正小标宋_GBK"/>
                <w:color w:val="000000"/>
                <w:kern w:val="0"/>
                <w:sz w:val="36"/>
                <w:szCs w:val="36"/>
                <w:lang w:eastAsia="zh-CN"/>
              </w:rPr>
              <w:t>部门</w:t>
            </w:r>
            <w:r>
              <w:rPr>
                <w:rFonts w:hint="eastAsia" w:eastAsia="方正小标宋_GBK"/>
                <w:color w:val="000000"/>
                <w:kern w:val="0"/>
                <w:sz w:val="36"/>
                <w:szCs w:val="36"/>
              </w:rPr>
              <w:t>支出决算表</w:t>
            </w:r>
          </w:p>
        </w:tc>
      </w:tr>
      <w:tr>
        <w:tblPrEx>
          <w:tblCellMar>
            <w:top w:w="0" w:type="dxa"/>
            <w:left w:w="108" w:type="dxa"/>
            <w:bottom w:w="0" w:type="dxa"/>
            <w:right w:w="108" w:type="dxa"/>
          </w:tblCellMar>
        </w:tblPrEx>
        <w:trPr>
          <w:trHeight w:val="285" w:hRule="atLeast"/>
        </w:trPr>
        <w:tc>
          <w:tcPr>
            <w:tcW w:w="1313"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6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5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33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0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3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6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49"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财决03表</w:t>
            </w:r>
          </w:p>
        </w:tc>
      </w:tr>
      <w:tr>
        <w:tblPrEx>
          <w:tblCellMar>
            <w:top w:w="0" w:type="dxa"/>
            <w:left w:w="108" w:type="dxa"/>
            <w:bottom w:w="0" w:type="dxa"/>
            <w:right w:w="108" w:type="dxa"/>
          </w:tblCellMar>
        </w:tblPrEx>
        <w:trPr>
          <w:trHeight w:val="285" w:hRule="atLeast"/>
        </w:trPr>
        <w:tc>
          <w:tcPr>
            <w:tcW w:w="4463" w:type="dxa"/>
            <w:gridSpan w:val="5"/>
            <w:tcBorders>
              <w:top w:val="nil"/>
              <w:left w:val="nil"/>
              <w:bottom w:val="nil"/>
              <w:right w:val="nil"/>
            </w:tcBorders>
            <w:shd w:val="clear" w:color="auto" w:fill="auto"/>
            <w:noWrap/>
            <w:vAlign w:val="bottom"/>
          </w:tcPr>
          <w:p>
            <w:pPr>
              <w:rPr>
                <w:rFonts w:ascii="Arial" w:hAnsi="Arial" w:cs="Arial"/>
                <w:color w:val="000000"/>
                <w:sz w:val="20"/>
                <w:szCs w:val="20"/>
              </w:rPr>
            </w:pPr>
            <w:r>
              <w:rPr>
                <w:rFonts w:hint="eastAsia" w:ascii="宋体" w:hAnsi="宋体" w:eastAsia="宋体" w:cs="宋体"/>
                <w:color w:val="000000"/>
                <w:kern w:val="0"/>
                <w:sz w:val="24"/>
                <w:lang w:bidi="ar"/>
              </w:rPr>
              <w:t>编制单位：湘潭县民政局</w:t>
            </w:r>
          </w:p>
        </w:tc>
        <w:tc>
          <w:tcPr>
            <w:tcW w:w="170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00" w:type="dxa"/>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4"/>
              </w:rPr>
            </w:pPr>
            <w:r>
              <w:rPr>
                <w:rFonts w:hint="eastAsia" w:ascii="宋体" w:hAnsi="宋体" w:eastAsia="宋体" w:cs="宋体"/>
                <w:color w:val="000000"/>
                <w:kern w:val="0"/>
                <w:sz w:val="24"/>
                <w:lang w:bidi="ar"/>
              </w:rPr>
              <w:t>2018年度</w:t>
            </w:r>
          </w:p>
        </w:tc>
        <w:tc>
          <w:tcPr>
            <w:tcW w:w="161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3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518"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金额单位：万元</w:t>
            </w:r>
          </w:p>
        </w:tc>
      </w:tr>
      <w:tr>
        <w:tblPrEx>
          <w:tblCellMar>
            <w:top w:w="0" w:type="dxa"/>
            <w:left w:w="108" w:type="dxa"/>
            <w:bottom w:w="0" w:type="dxa"/>
            <w:right w:w="108" w:type="dxa"/>
          </w:tblCellMar>
        </w:tblPrEx>
        <w:trPr>
          <w:trHeight w:val="308" w:hRule="atLeast"/>
        </w:trPr>
        <w:tc>
          <w:tcPr>
            <w:tcW w:w="4463"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w:t>
            </w:r>
          </w:p>
        </w:tc>
        <w:tc>
          <w:tcPr>
            <w:tcW w:w="17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本年支出合计</w:t>
            </w:r>
          </w:p>
        </w:tc>
        <w:tc>
          <w:tcPr>
            <w:tcW w:w="16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基本支出</w:t>
            </w:r>
          </w:p>
        </w:tc>
        <w:tc>
          <w:tcPr>
            <w:tcW w:w="161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项目支出</w:t>
            </w:r>
          </w:p>
        </w:tc>
        <w:tc>
          <w:tcPr>
            <w:tcW w:w="153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上缴上级支出</w:t>
            </w:r>
          </w:p>
        </w:tc>
        <w:tc>
          <w:tcPr>
            <w:tcW w:w="176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经营支出</w:t>
            </w:r>
          </w:p>
        </w:tc>
        <w:tc>
          <w:tcPr>
            <w:tcW w:w="1749"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对附属单位补助支出</w:t>
            </w:r>
          </w:p>
        </w:tc>
      </w:tr>
      <w:tr>
        <w:tblPrEx>
          <w:tblCellMar>
            <w:top w:w="0" w:type="dxa"/>
            <w:left w:w="108" w:type="dxa"/>
            <w:bottom w:w="0" w:type="dxa"/>
            <w:right w:w="108" w:type="dxa"/>
          </w:tblCellMar>
        </w:tblPrEx>
        <w:trPr>
          <w:trHeight w:val="312" w:hRule="atLeast"/>
        </w:trPr>
        <w:tc>
          <w:tcPr>
            <w:tcW w:w="2125" w:type="dxa"/>
            <w:gridSpan w:val="4"/>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支出功能分类科目编码</w:t>
            </w:r>
          </w:p>
        </w:tc>
        <w:tc>
          <w:tcPr>
            <w:tcW w:w="2338"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科目名称</w:t>
            </w:r>
          </w:p>
        </w:tc>
        <w:tc>
          <w:tcPr>
            <w:tcW w:w="17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6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6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53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76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749"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12" w:hRule="atLeast"/>
        </w:trPr>
        <w:tc>
          <w:tcPr>
            <w:tcW w:w="2125" w:type="dxa"/>
            <w:gridSpan w:val="4"/>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2338"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17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6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6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53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76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749"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12" w:hRule="atLeast"/>
        </w:trPr>
        <w:tc>
          <w:tcPr>
            <w:tcW w:w="2125" w:type="dxa"/>
            <w:gridSpan w:val="4"/>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2338"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17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6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6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53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76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749"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08" w:hRule="atLeast"/>
        </w:trPr>
        <w:tc>
          <w:tcPr>
            <w:tcW w:w="650" w:type="dxa"/>
            <w:vMerge w:val="restar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类</w:t>
            </w:r>
          </w:p>
        </w:tc>
        <w:tc>
          <w:tcPr>
            <w:tcW w:w="663"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款</w:t>
            </w:r>
          </w:p>
        </w:tc>
        <w:tc>
          <w:tcPr>
            <w:tcW w:w="812" w:type="dxa"/>
            <w:gridSpan w:val="2"/>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w:t>
            </w:r>
          </w:p>
        </w:tc>
        <w:tc>
          <w:tcPr>
            <w:tcW w:w="2338"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170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600"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612"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538"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769"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749" w:type="dxa"/>
            <w:tcBorders>
              <w:top w:val="nil"/>
              <w:left w:val="nil"/>
              <w:bottom w:val="single" w:color="000000" w:sz="4" w:space="0"/>
              <w:right w:val="single" w:color="000000" w:sz="8"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r>
      <w:tr>
        <w:tblPrEx>
          <w:tblCellMar>
            <w:top w:w="0" w:type="dxa"/>
            <w:left w:w="108" w:type="dxa"/>
            <w:bottom w:w="0" w:type="dxa"/>
            <w:right w:w="108" w:type="dxa"/>
          </w:tblCellMar>
        </w:tblPrEx>
        <w:trPr>
          <w:trHeight w:val="308" w:hRule="atLeast"/>
        </w:trPr>
        <w:tc>
          <w:tcPr>
            <w:tcW w:w="650"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663"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812" w:type="dxa"/>
            <w:gridSpan w:val="2"/>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eastAsia="宋体" w:cs="宋体"/>
                <w:color w:val="000000"/>
                <w:sz w:val="22"/>
                <w:szCs w:val="22"/>
              </w:rPr>
            </w:pPr>
          </w:p>
        </w:tc>
        <w:tc>
          <w:tcPr>
            <w:tcW w:w="2338"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27,199.19</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1,335.43</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25,863.76</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社会保障和就业支出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25,808.15</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1,335.43</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24,472.72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民政管理事务</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3,121.89</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1,335.43</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1,786.46</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行政运行</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710.02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710.02</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一般行政管理事务</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601.00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601.00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2080207</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行政区划和地名管理</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16.83</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16.83</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2080208</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基层政权和社区建设</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2080299</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其他民政管理事务支出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1,684.03</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625.41</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1,058.62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20805</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行政事业单位离退休</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2080501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归口管理的行政单位离退休</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抚恤</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8,674.77</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8,674.77</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伤残抚恤</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529.39</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529.39</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2080803</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在乡复员、退伍军人生活补助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6,581.00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6,581.00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2080804</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优抚事业单位支出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243.00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243.00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2080805</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义务兵优待</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445.88</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445.88</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2080899</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其他优抚支出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875.50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875.50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退役安置</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1,156.60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1,156.60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退役士兵安置</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698.70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698.70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军队移交政府的离退休人员安置</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336.94</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336.94</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2080903</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军队移交政府离退休干部管理机构</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11.66</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11.66</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2080904</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退役士兵管理教育</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109.30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109.30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社会福利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507.05</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507.05</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儿童福利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98.34</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98.34</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老年福利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284.49</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284.49</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2081004</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殡葬</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124.23</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124.23</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残疾人事业</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2081199</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其他残疾人事业支出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20815</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自然灾害生活救助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2081501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中央自然灾害生活补助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486"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临时救助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1,656.01</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1,656.01</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临时救助支出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1,620.60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1,620.60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流浪乞讨人员救助支出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35.41</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35.41</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特困人员救助供养</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2082102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农村特困人员救助供养支出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20825</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其他生活救助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2082502</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其他农村生活救助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医疗卫生与计划生育支出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21014</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优抚对象医疗</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2101401</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优抚对象医疗补助</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农林水支出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扶贫</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2130504</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农村基础设施建设</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474"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2130505</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生产发展</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22960</w:t>
            </w:r>
          </w:p>
        </w:tc>
        <w:tc>
          <w:tcPr>
            <w:tcW w:w="2338"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彩票公益金及对应专项债务收入安排的支出</w:t>
            </w:r>
          </w:p>
        </w:tc>
        <w:tc>
          <w:tcPr>
            <w:tcW w:w="1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6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5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2125" w:type="dxa"/>
            <w:gridSpan w:val="4"/>
            <w:tcBorders>
              <w:top w:val="nil"/>
              <w:left w:val="single" w:color="000000" w:sz="4" w:space="0"/>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2296002</w:t>
            </w:r>
          </w:p>
        </w:tc>
        <w:tc>
          <w:tcPr>
            <w:tcW w:w="2338" w:type="dxa"/>
            <w:tcBorders>
              <w:top w:val="nil"/>
              <w:left w:val="nil"/>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用于社会福利的彩票公益金支出</w:t>
            </w:r>
          </w:p>
        </w:tc>
        <w:tc>
          <w:tcPr>
            <w:tcW w:w="1700"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600"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612"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538"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69"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749"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bl>
    <w:p>
      <w:pPr>
        <w:rPr>
          <w:rFonts w:ascii="宋体" w:hAnsi="宋体" w:eastAsia="宋体" w:cs="宋体"/>
          <w:color w:val="333333"/>
          <w:sz w:val="24"/>
          <w:shd w:val="clear" w:color="auto" w:fill="FFFFFF"/>
        </w:rPr>
      </w:pPr>
    </w:p>
    <w:p>
      <w:pPr>
        <w:rPr>
          <w:rFonts w:ascii="宋体" w:hAnsi="宋体" w:eastAsia="宋体" w:cs="宋体"/>
          <w:color w:val="333333"/>
          <w:sz w:val="24"/>
          <w:shd w:val="clear" w:color="auto" w:fill="FFFFFF"/>
        </w:rPr>
      </w:pPr>
    </w:p>
    <w:p>
      <w:pPr>
        <w:widowControl/>
        <w:jc w:val="center"/>
        <w:rPr>
          <w:rFonts w:eastAsia="方正小标宋_GBK"/>
          <w:color w:val="000000"/>
          <w:kern w:val="0"/>
          <w:sz w:val="28"/>
          <w:szCs w:val="36"/>
        </w:rPr>
      </w:pPr>
      <w:bookmarkStart w:id="0" w:name="RANGE_A1_I39"/>
    </w:p>
    <w:p>
      <w:pPr>
        <w:widowControl/>
        <w:jc w:val="center"/>
        <w:rPr>
          <w:rFonts w:eastAsia="方正小标宋_GBK"/>
          <w:color w:val="000000"/>
          <w:kern w:val="0"/>
          <w:sz w:val="28"/>
          <w:szCs w:val="36"/>
        </w:rPr>
      </w:pPr>
    </w:p>
    <w:p>
      <w:pPr>
        <w:widowControl/>
        <w:jc w:val="center"/>
        <w:rPr>
          <w:rFonts w:eastAsia="方正小标宋_GBK"/>
          <w:color w:val="000000"/>
          <w:kern w:val="0"/>
          <w:sz w:val="28"/>
          <w:szCs w:val="36"/>
        </w:rPr>
      </w:pPr>
    </w:p>
    <w:p>
      <w:pPr>
        <w:widowControl/>
        <w:jc w:val="both"/>
        <w:rPr>
          <w:rFonts w:eastAsia="方正小标宋_GBK"/>
          <w:color w:val="000000"/>
          <w:kern w:val="0"/>
          <w:sz w:val="36"/>
        </w:rPr>
      </w:pPr>
    </w:p>
    <w:p>
      <w:pPr>
        <w:widowControl/>
        <w:ind w:left="93"/>
        <w:jc w:val="center"/>
        <w:rPr>
          <w:color w:val="000000"/>
          <w:kern w:val="0"/>
        </w:rPr>
      </w:pPr>
      <w:r>
        <w:rPr>
          <w:rFonts w:hint="eastAsia" w:eastAsia="方正小标宋_GBK"/>
          <w:color w:val="000000"/>
          <w:kern w:val="0"/>
          <w:sz w:val="36"/>
        </w:rPr>
        <w:t>财政拨款收支决算总表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center"/>
        <w:rPr>
          <w:color w:val="000000"/>
          <w:kern w:val="0"/>
        </w:rPr>
      </w:pPr>
      <w:r>
        <w:rPr>
          <w:rFonts w:hint="eastAsia"/>
          <w:color w:val="000000"/>
          <w:kern w:val="0"/>
        </w:rPr>
        <w:t xml:space="preserve">                                                                                                                公开</w:t>
      </w:r>
      <w:r>
        <w:rPr>
          <w:color w:val="000000"/>
          <w:kern w:val="0"/>
        </w:rPr>
        <w:t>04</w:t>
      </w:r>
      <w:r>
        <w:rPr>
          <w:rFonts w:hint="eastAsia"/>
          <w:color w:val="000000"/>
          <w:kern w:val="0"/>
        </w:rPr>
        <w:t>表</w:t>
      </w:r>
    </w:p>
    <w:p>
      <w:pPr>
        <w:widowControl/>
        <w:tabs>
          <w:tab w:val="left" w:pos="13725"/>
          <w:tab w:val="left" w:pos="13755"/>
          <w:tab w:val="left" w:pos="13800"/>
        </w:tabs>
        <w:spacing w:line="240" w:lineRule="exact"/>
        <w:ind w:left="91" w:firstLine="315" w:firstLineChars="150"/>
        <w:jc w:val="left"/>
        <w:rPr>
          <w:rFonts w:eastAsia="仿宋_GB2312"/>
          <w:color w:val="000000"/>
          <w:kern w:val="0"/>
        </w:rPr>
      </w:pPr>
      <w:r>
        <w:rPr>
          <w:rFonts w:hint="eastAsia" w:eastAsia="仿宋_GB2312"/>
          <w:color w:val="000000"/>
          <w:kern w:val="0"/>
        </w:rPr>
        <w:t>部门：湘潭县民政局</w:t>
      </w:r>
      <w:r>
        <w:rPr>
          <w:rFonts w:eastAsia="仿宋_GB2312"/>
          <w:color w:val="000000"/>
          <w:kern w:val="0"/>
        </w:rPr>
        <w:t xml:space="preserve">   </w:t>
      </w:r>
      <w:r>
        <w:rPr>
          <w:rFonts w:eastAsia="仿宋_GB2312"/>
          <w:color w:val="000000"/>
          <w:kern w:val="0"/>
          <w:sz w:val="20"/>
          <w:szCs w:val="20"/>
        </w:rPr>
        <w:t xml:space="preserve"> </w:t>
      </w:r>
      <w:r>
        <w:rPr>
          <w:rFonts w:hint="eastAsia" w:eastAsia="仿宋_GB2312"/>
          <w:color w:val="000000"/>
          <w:kern w:val="0"/>
          <w:sz w:val="20"/>
          <w:szCs w:val="20"/>
        </w:rPr>
        <w:t xml:space="preserve">                                                                                              </w:t>
      </w:r>
      <w:r>
        <w:rPr>
          <w:rFonts w:hint="eastAsia" w:eastAsia="仿宋_GB2312"/>
          <w:color w:val="000000"/>
          <w:kern w:val="0"/>
        </w:rPr>
        <w:t>单位：万元</w:t>
      </w:r>
    </w:p>
    <w:tbl>
      <w:tblPr>
        <w:tblStyle w:val="7"/>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收入</w:t>
            </w:r>
          </w:p>
        </w:tc>
        <w:tc>
          <w:tcPr>
            <w:tcW w:w="9303" w:type="dxa"/>
            <w:gridSpan w:val="5"/>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项</w:t>
            </w:r>
            <w:r>
              <w:rPr>
                <w:rFonts w:eastAsia="仿宋_GB2312"/>
                <w:b/>
                <w:kern w:val="0"/>
              </w:rPr>
              <w:t xml:space="preserve">    </w:t>
            </w:r>
            <w:r>
              <w:rPr>
                <w:rFonts w:hint="eastAsia" w:eastAsia="仿宋_GB2312"/>
                <w:b/>
                <w:kern w:val="0"/>
              </w:rPr>
              <w:t>目</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金额</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项</w:t>
            </w:r>
            <w:r>
              <w:rPr>
                <w:rFonts w:eastAsia="仿宋_GB2312"/>
                <w:b/>
                <w:kern w:val="0"/>
              </w:rPr>
              <w:t xml:space="preserve">    </w:t>
            </w:r>
            <w:r>
              <w:rPr>
                <w:rFonts w:hint="eastAsia" w:eastAsia="仿宋_GB2312"/>
                <w:b/>
                <w:kern w:val="0"/>
              </w:rPr>
              <w:t>目</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行次</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kern w:val="0"/>
              </w:rPr>
            </w:pPr>
            <w:r>
              <w:rPr>
                <w:rFonts w:hint="eastAsia" w:eastAsia="仿宋_GB2312"/>
                <w:b/>
                <w:kern w:val="0"/>
              </w:rPr>
              <w:t>合计</w:t>
            </w:r>
          </w:p>
        </w:tc>
        <w:tc>
          <w:tcPr>
            <w:tcW w:w="1660" w:type="dxa"/>
            <w:tcBorders>
              <w:top w:val="single" w:color="auto" w:sz="8" w:space="0"/>
              <w:left w:val="single" w:color="auto" w:sz="8" w:space="0"/>
              <w:bottom w:val="single" w:color="auto" w:sz="8" w:space="0"/>
              <w:right w:val="single" w:color="auto" w:sz="8" w:space="0"/>
            </w:tcBorders>
            <w:vAlign w:val="center"/>
          </w:tcPr>
          <w:p>
            <w:pPr>
              <w:widowControl/>
              <w:jc w:val="center"/>
              <w:rPr>
                <w:rFonts w:eastAsia="仿宋_GB2312"/>
                <w:b/>
                <w:kern w:val="0"/>
              </w:rPr>
            </w:pPr>
            <w:r>
              <w:rPr>
                <w:rFonts w:hint="eastAsia" w:eastAsia="仿宋_GB2312"/>
                <w:b/>
                <w:kern w:val="0"/>
              </w:rPr>
              <w:t>一般公共预算财政拨款</w:t>
            </w:r>
          </w:p>
        </w:tc>
        <w:tc>
          <w:tcPr>
            <w:tcW w:w="1572" w:type="dxa"/>
            <w:tcBorders>
              <w:top w:val="single" w:color="auto" w:sz="8" w:space="0"/>
              <w:left w:val="single" w:color="auto" w:sz="8" w:space="0"/>
              <w:bottom w:val="single" w:color="auto" w:sz="8" w:space="0"/>
              <w:right w:val="single" w:color="auto" w:sz="8" w:space="0"/>
            </w:tcBorders>
            <w:vAlign w:val="center"/>
          </w:tcPr>
          <w:p>
            <w:pPr>
              <w:widowControl/>
              <w:jc w:val="center"/>
              <w:rPr>
                <w:rFonts w:eastAsia="仿宋_GB2312"/>
                <w:b/>
                <w:kern w:val="0"/>
              </w:rPr>
            </w:pPr>
            <w:r>
              <w:rPr>
                <w:rFonts w:hint="eastAsia" w:eastAsia="仿宋_GB2312"/>
                <w:b/>
                <w:kern w:val="0"/>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栏</w:t>
            </w:r>
            <w:r>
              <w:rPr>
                <w:rFonts w:eastAsia="仿宋_GB2312"/>
                <w:kern w:val="0"/>
              </w:rPr>
              <w:t xml:space="preserve">    </w:t>
            </w:r>
            <w:r>
              <w:rPr>
                <w:rFonts w:hint="eastAsia" w:eastAsia="仿宋_GB2312"/>
                <w:kern w:val="0"/>
              </w:rPr>
              <w:t>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　</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栏</w:t>
            </w:r>
            <w:r>
              <w:rPr>
                <w:rFonts w:eastAsia="仿宋_GB2312"/>
                <w:kern w:val="0"/>
              </w:rPr>
              <w:t xml:space="preserve">    </w:t>
            </w:r>
            <w:r>
              <w:rPr>
                <w:rFonts w:hint="eastAsia" w:eastAsia="仿宋_GB2312"/>
                <w:kern w:val="0"/>
              </w:rPr>
              <w:t>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　</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w:t>
            </w: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3</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23382</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 xml:space="preserve">65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rPr>
              <w:t>一、一般公共服务支出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15</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903</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 xml:space="preserve">62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rPr>
              <w:t>二、社会保障和就业支出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16</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hint="eastAsia" w:ascii="Arial" w:hAnsi="Arial" w:cs="Arial"/>
                <w:color w:val="000000"/>
                <w:sz w:val="20"/>
                <w:szCs w:val="20"/>
              </w:rPr>
              <w:t>22895.24</w:t>
            </w: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hint="eastAsia" w:ascii="Arial" w:hAnsi="Arial" w:cs="Arial"/>
                <w:color w:val="000000"/>
                <w:sz w:val="20"/>
                <w:szCs w:val="20"/>
              </w:rPr>
              <w:t>22895.24</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rPr>
              <w:t>三、卫生健康支出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17</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cs="Arial"/>
                <w:color w:val="000000"/>
                <w:sz w:val="20"/>
                <w:szCs w:val="20"/>
              </w:rPr>
              <w:t>461</w:t>
            </w:r>
            <w:r>
              <w:rPr>
                <w:rFonts w:hint="eastAsia" w:ascii="Arial" w:hAnsi="Arial" w:cs="Arial"/>
                <w:color w:val="000000"/>
                <w:sz w:val="20"/>
                <w:szCs w:val="20"/>
              </w:rPr>
              <w:t>.</w:t>
            </w:r>
            <w:r>
              <w:rPr>
                <w:rFonts w:ascii="Arial" w:hAnsi="Arial" w:cs="Arial"/>
                <w:color w:val="000000"/>
                <w:sz w:val="20"/>
                <w:szCs w:val="20"/>
              </w:rPr>
              <w:t>41</w:t>
            </w: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cs="Arial"/>
                <w:color w:val="000000"/>
                <w:sz w:val="20"/>
                <w:szCs w:val="20"/>
              </w:rPr>
              <w:t>461</w:t>
            </w:r>
            <w:r>
              <w:rPr>
                <w:rFonts w:hint="eastAsia" w:ascii="Arial" w:hAnsi="Arial" w:cs="Arial"/>
                <w:color w:val="000000"/>
                <w:sz w:val="20"/>
                <w:szCs w:val="20"/>
              </w:rPr>
              <w:t>.</w:t>
            </w:r>
            <w:r>
              <w:rPr>
                <w:rFonts w:ascii="Arial" w:hAnsi="Arial" w:cs="Arial"/>
                <w:color w:val="000000"/>
                <w:sz w:val="20"/>
                <w:szCs w:val="20"/>
              </w:rPr>
              <w:t>41</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3"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rPr>
              <w:t>四、农林水支出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18</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hint="eastAsia" w:ascii="Arial" w:hAnsi="Arial" w:cs="Arial"/>
                <w:color w:val="000000"/>
                <w:sz w:val="20"/>
                <w:szCs w:val="20"/>
              </w:rPr>
              <w:t>26</w:t>
            </w: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hint="eastAsia" w:ascii="Arial" w:hAnsi="Arial" w:cs="Arial"/>
                <w:color w:val="000000"/>
                <w:sz w:val="20"/>
                <w:szCs w:val="20"/>
              </w:rPr>
              <w:t>26</w:t>
            </w: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rPr>
              <w:t>五、灾害防治及应急管理支出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19</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p>
        </w:tc>
        <w:tc>
          <w:tcPr>
            <w:tcW w:w="1572"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szCs w:val="21"/>
              </w:rPr>
            </w:pPr>
            <w:r>
              <w:rPr>
                <w:rFonts w:hint="eastAsia" w:eastAsia="仿宋_GB2312"/>
                <w:kern w:val="0"/>
              </w:rPr>
              <w:t>六、其他支出</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20</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903</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62</w:t>
            </w: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p>
        </w:tc>
        <w:tc>
          <w:tcPr>
            <w:tcW w:w="1572"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903</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62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七、</w:t>
            </w:r>
            <w:r>
              <w:rPr>
                <w:rFonts w:eastAsia="仿宋_GB2312"/>
                <w:kern w:val="0"/>
              </w:rPr>
              <w:t>…</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8</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rPr>
            </w:pPr>
            <w:r>
              <w:rPr>
                <w:rFonts w:hint="eastAsia" w:eastAsia="仿宋_GB2312"/>
                <w:b/>
                <w:bCs/>
                <w:kern w:val="0"/>
              </w:rPr>
              <w:t>本年收入合计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9</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24286</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 xml:space="preserve">27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rPr>
            </w:pPr>
            <w:r>
              <w:rPr>
                <w:rFonts w:hint="eastAsia" w:eastAsia="仿宋_GB2312"/>
                <w:b/>
                <w:bCs/>
                <w:kern w:val="0"/>
              </w:rPr>
              <w:t>本年支出合计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23</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hint="eastAsia" w:ascii="Arial" w:hAnsi="Arial" w:cs="Arial"/>
                <w:color w:val="000000"/>
                <w:sz w:val="20"/>
                <w:szCs w:val="20"/>
              </w:rPr>
              <w:t>24286.27</w:t>
            </w: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cs="Arial"/>
                <w:color w:val="000000"/>
                <w:sz w:val="20"/>
                <w:szCs w:val="20"/>
              </w:rPr>
              <w:t>23382.65</w:t>
            </w:r>
          </w:p>
        </w:tc>
        <w:tc>
          <w:tcPr>
            <w:tcW w:w="1572"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903</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62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年初财政拨款结转和结余</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10</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年末财政拨款结转和结余</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24</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一、一般公共预算财政拨款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11</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25</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二、政府性基金预算财政拨款</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12</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26</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hint="eastAsia" w:eastAsia="仿宋_GB2312"/>
                <w:kern w:val="0"/>
              </w:rPr>
              <w:t>　</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13</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right"/>
              <w:rPr>
                <w:rFonts w:eastAsia="仿宋_GB2312"/>
                <w:kern w:val="0"/>
              </w:rPr>
            </w:pPr>
            <w:r>
              <w:rPr>
                <w:rFonts w:hint="eastAsia" w:eastAsia="仿宋_GB2312"/>
                <w:kern w:val="0"/>
              </w:rPr>
              <w:t>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r>
              <w:rPr>
                <w:rFonts w:hint="eastAsia" w:eastAsia="仿宋_GB2312"/>
                <w:kern w:val="0"/>
              </w:rPr>
              <w:t>　</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27</w:t>
            </w:r>
          </w:p>
        </w:tc>
        <w:tc>
          <w:tcPr>
            <w:tcW w:w="18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66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p>
        </w:tc>
        <w:tc>
          <w:tcPr>
            <w:tcW w:w="1572" w:type="dxa"/>
            <w:tcBorders>
              <w:top w:val="single" w:color="auto" w:sz="8" w:space="0"/>
              <w:left w:val="single" w:color="auto" w:sz="8" w:space="0"/>
              <w:bottom w:val="single" w:color="auto" w:sz="8" w:space="0"/>
              <w:right w:val="single" w:color="auto" w:sz="8" w:space="0"/>
            </w:tcBorders>
            <w:noWrap/>
            <w:vAlign w:val="center"/>
          </w:tcPr>
          <w:p>
            <w:pPr>
              <w:widowControl/>
              <w:jc w:val="left"/>
              <w:rPr>
                <w:rFonts w:eastAsia="仿宋_GB2312"/>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rPr>
            </w:pPr>
            <w:r>
              <w:rPr>
                <w:rFonts w:hint="eastAsia" w:eastAsia="仿宋_GB2312"/>
                <w:b/>
                <w:bCs/>
                <w:kern w:val="0"/>
              </w:rPr>
              <w:t>总计</w:t>
            </w:r>
          </w:p>
        </w:tc>
        <w:tc>
          <w:tcPr>
            <w:tcW w:w="48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14</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24286</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 xml:space="preserve">27 </w:t>
            </w:r>
          </w:p>
        </w:tc>
        <w:tc>
          <w:tcPr>
            <w:tcW w:w="3761"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b/>
                <w:bCs/>
                <w:kern w:val="0"/>
              </w:rPr>
            </w:pPr>
            <w:r>
              <w:rPr>
                <w:rFonts w:hint="eastAsia" w:eastAsia="仿宋_GB2312"/>
                <w:b/>
                <w:bCs/>
                <w:kern w:val="0"/>
              </w:rPr>
              <w:t>总计</w:t>
            </w:r>
          </w:p>
        </w:tc>
        <w:tc>
          <w:tcPr>
            <w:tcW w:w="430"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eastAsia="仿宋_GB2312"/>
                <w:kern w:val="0"/>
              </w:rPr>
            </w:pPr>
            <w:r>
              <w:rPr>
                <w:rFonts w:eastAsia="仿宋_GB2312"/>
                <w:kern w:val="0"/>
              </w:rPr>
              <w:t>28</w:t>
            </w:r>
          </w:p>
        </w:tc>
        <w:tc>
          <w:tcPr>
            <w:tcW w:w="188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hint="eastAsia" w:ascii="Arial" w:hAnsi="Arial" w:cs="Arial"/>
                <w:color w:val="000000"/>
                <w:sz w:val="20"/>
                <w:szCs w:val="20"/>
              </w:rPr>
              <w:t>24286.27</w:t>
            </w:r>
          </w:p>
        </w:tc>
        <w:tc>
          <w:tcPr>
            <w:tcW w:w="1660"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cs="Arial"/>
                <w:color w:val="000000"/>
                <w:sz w:val="20"/>
                <w:szCs w:val="20"/>
              </w:rPr>
              <w:t>23382.65</w:t>
            </w:r>
          </w:p>
        </w:tc>
        <w:tc>
          <w:tcPr>
            <w:tcW w:w="1572" w:type="dxa"/>
            <w:tcBorders>
              <w:top w:val="single" w:color="auto" w:sz="8" w:space="0"/>
              <w:left w:val="single" w:color="auto" w:sz="8" w:space="0"/>
              <w:bottom w:val="single" w:color="auto" w:sz="8" w:space="0"/>
              <w:right w:val="single" w:color="auto" w:sz="8" w:space="0"/>
            </w:tcBorders>
            <w:noWrap/>
            <w:vAlign w:val="bottom"/>
          </w:tcPr>
          <w:p>
            <w:pPr>
              <w:widowControl/>
              <w:jc w:val="right"/>
              <w:textAlignment w:val="bottom"/>
              <w:rPr>
                <w:rFonts w:ascii="Arial" w:hAnsi="Arial" w:cs="Arial"/>
                <w:color w:val="000000"/>
                <w:sz w:val="20"/>
                <w:szCs w:val="20"/>
              </w:rPr>
            </w:pPr>
            <w:r>
              <w:rPr>
                <w:rFonts w:ascii="Arial" w:hAnsi="Arial" w:eastAsia="宋体" w:cs="Arial"/>
                <w:color w:val="000000"/>
                <w:kern w:val="0"/>
                <w:sz w:val="20"/>
                <w:szCs w:val="20"/>
                <w:lang w:bidi="ar"/>
              </w:rPr>
              <w:t>903</w:t>
            </w:r>
            <w:r>
              <w:rPr>
                <w:rFonts w:hint="eastAsia" w:ascii="Arial" w:hAnsi="Arial" w:eastAsia="宋体" w:cs="Arial"/>
                <w:color w:val="000000"/>
                <w:kern w:val="0"/>
                <w:sz w:val="20"/>
                <w:szCs w:val="20"/>
                <w:lang w:bidi="ar"/>
              </w:rPr>
              <w:t>.</w:t>
            </w:r>
            <w:r>
              <w:rPr>
                <w:rFonts w:ascii="Arial" w:hAnsi="Arial" w:eastAsia="宋体" w:cs="Arial"/>
                <w:color w:val="000000"/>
                <w:kern w:val="0"/>
                <w:sz w:val="20"/>
                <w:szCs w:val="20"/>
                <w:lang w:bidi="ar"/>
              </w:rPr>
              <w:t>62</w:t>
            </w:r>
          </w:p>
        </w:tc>
      </w:tr>
    </w:tbl>
    <w:p>
      <w:pPr>
        <w:widowControl/>
        <w:jc w:val="left"/>
        <w:rPr>
          <w:rFonts w:eastAsia="方正小标宋_GBK"/>
          <w:color w:val="000000"/>
          <w:kern w:val="0"/>
          <w:sz w:val="28"/>
          <w:szCs w:val="36"/>
        </w:rPr>
      </w:pPr>
      <w:r>
        <w:rPr>
          <w:rFonts w:hint="eastAsia" w:eastAsia="仿宋_GB2312"/>
          <w:kern w:val="0"/>
        </w:rPr>
        <w:t>注：本表反映部门本年度一般公共预算财政拨款和政府性基金预算财政拨款的总收支和年末结转结余情况。</w:t>
      </w:r>
    </w:p>
    <w:tbl>
      <w:tblPr>
        <w:tblStyle w:val="7"/>
        <w:tblW w:w="14450" w:type="dxa"/>
        <w:tblInd w:w="-257" w:type="dxa"/>
        <w:tblLayout w:type="fixed"/>
        <w:tblCellMar>
          <w:top w:w="0" w:type="dxa"/>
          <w:left w:w="108" w:type="dxa"/>
          <w:bottom w:w="0" w:type="dxa"/>
          <w:right w:w="108" w:type="dxa"/>
        </w:tblCellMar>
      </w:tblPr>
      <w:tblGrid>
        <w:gridCol w:w="1617"/>
        <w:gridCol w:w="1396"/>
        <w:gridCol w:w="1065"/>
        <w:gridCol w:w="3736"/>
        <w:gridCol w:w="1236"/>
        <w:gridCol w:w="1096"/>
        <w:gridCol w:w="1117"/>
        <w:gridCol w:w="1107"/>
        <w:gridCol w:w="2080"/>
      </w:tblGrid>
      <w:tr>
        <w:tblPrEx>
          <w:tblCellMar>
            <w:top w:w="0" w:type="dxa"/>
            <w:left w:w="108" w:type="dxa"/>
            <w:bottom w:w="0" w:type="dxa"/>
            <w:right w:w="108" w:type="dxa"/>
          </w:tblCellMar>
        </w:tblPrEx>
        <w:trPr>
          <w:trHeight w:val="540" w:hRule="atLeast"/>
        </w:trPr>
        <w:tc>
          <w:tcPr>
            <w:tcW w:w="14450" w:type="dxa"/>
            <w:gridSpan w:val="9"/>
            <w:tcBorders>
              <w:top w:val="nil"/>
              <w:left w:val="nil"/>
              <w:bottom w:val="nil"/>
              <w:right w:val="nil"/>
            </w:tcBorders>
            <w:shd w:val="clear" w:color="auto" w:fill="auto"/>
            <w:noWrap/>
            <w:vAlign w:val="bottom"/>
          </w:tcPr>
          <w:p>
            <w:pPr>
              <w:widowControl/>
              <w:jc w:val="center"/>
              <w:rPr>
                <w:rFonts w:ascii="宋体" w:hAnsi="宋体" w:eastAsia="宋体" w:cs="宋体"/>
                <w:color w:val="000000"/>
                <w:sz w:val="44"/>
                <w:szCs w:val="44"/>
              </w:rPr>
            </w:pPr>
            <w:r>
              <w:rPr>
                <w:rFonts w:hint="eastAsia" w:eastAsia="方正小标宋_GBK"/>
                <w:kern w:val="0"/>
                <w:sz w:val="36"/>
                <w:szCs w:val="36"/>
              </w:rPr>
              <w:t>一般公共预算财政拨款支出决算表</w:t>
            </w:r>
          </w:p>
        </w:tc>
      </w:tr>
      <w:tr>
        <w:tblPrEx>
          <w:tblCellMar>
            <w:top w:w="0" w:type="dxa"/>
            <w:left w:w="108" w:type="dxa"/>
            <w:bottom w:w="0" w:type="dxa"/>
            <w:right w:w="108" w:type="dxa"/>
          </w:tblCellMar>
        </w:tblPrEx>
        <w:trPr>
          <w:trHeight w:val="285" w:hRule="atLeast"/>
        </w:trPr>
        <w:tc>
          <w:tcPr>
            <w:tcW w:w="3013"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r>
              <w:rPr>
                <w:rFonts w:hint="eastAsia" w:ascii="宋体" w:hAnsi="宋体" w:eastAsia="宋体" w:cs="宋体"/>
                <w:color w:val="000000"/>
                <w:kern w:val="0"/>
                <w:sz w:val="24"/>
                <w:lang w:bidi="ar"/>
              </w:rPr>
              <w:t>编制单位：湘潭县民政局</w:t>
            </w:r>
          </w:p>
        </w:tc>
        <w:tc>
          <w:tcPr>
            <w:tcW w:w="106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36" w:type="dxa"/>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4"/>
              </w:rPr>
            </w:pPr>
            <w:r>
              <w:rPr>
                <w:rFonts w:hint="eastAsia" w:ascii="宋体" w:hAnsi="宋体" w:eastAsia="宋体" w:cs="宋体"/>
                <w:color w:val="000000"/>
                <w:kern w:val="0"/>
                <w:sz w:val="24"/>
                <w:lang w:bidi="ar"/>
              </w:rPr>
              <w:t>2018年度</w:t>
            </w:r>
          </w:p>
        </w:tc>
        <w:tc>
          <w:tcPr>
            <w:tcW w:w="109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1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0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080" w:type="dxa"/>
            <w:tcBorders>
              <w:top w:val="nil"/>
              <w:left w:val="nil"/>
              <w:bottom w:val="nil"/>
              <w:right w:val="nil"/>
            </w:tcBorders>
            <w:shd w:val="clear" w:color="auto" w:fill="auto"/>
            <w:noWrap/>
            <w:vAlign w:val="bottom"/>
          </w:tcPr>
          <w:p>
            <w:pPr>
              <w:rPr>
                <w:rFonts w:ascii="Arial" w:hAnsi="Arial" w:cs="Arial"/>
                <w:color w:val="000000"/>
                <w:sz w:val="20"/>
                <w:szCs w:val="20"/>
              </w:rPr>
            </w:pPr>
            <w:r>
              <w:rPr>
                <w:rFonts w:hint="eastAsia" w:ascii="宋体" w:hAnsi="宋体" w:eastAsia="宋体" w:cs="宋体"/>
                <w:color w:val="000000"/>
                <w:kern w:val="0"/>
                <w:sz w:val="24"/>
                <w:lang w:bidi="ar"/>
              </w:rPr>
              <w:t>金额单位：万元</w:t>
            </w:r>
          </w:p>
        </w:tc>
      </w:tr>
      <w:tr>
        <w:tblPrEx>
          <w:tblCellMar>
            <w:top w:w="0" w:type="dxa"/>
            <w:left w:w="108" w:type="dxa"/>
            <w:bottom w:w="0" w:type="dxa"/>
            <w:right w:w="108" w:type="dxa"/>
          </w:tblCellMar>
        </w:tblPrEx>
        <w:trPr>
          <w:trHeight w:val="308" w:hRule="atLeast"/>
        </w:trPr>
        <w:tc>
          <w:tcPr>
            <w:tcW w:w="781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w:t>
            </w:r>
          </w:p>
        </w:tc>
        <w:tc>
          <w:tcPr>
            <w:tcW w:w="6636" w:type="dxa"/>
            <w:gridSpan w:val="5"/>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本年支出</w:t>
            </w:r>
          </w:p>
        </w:tc>
      </w:tr>
      <w:tr>
        <w:tblPrEx>
          <w:tblCellMar>
            <w:top w:w="0" w:type="dxa"/>
            <w:left w:w="108" w:type="dxa"/>
            <w:bottom w:w="0" w:type="dxa"/>
            <w:right w:w="108" w:type="dxa"/>
          </w:tblCellMar>
        </w:tblPrEx>
        <w:trPr>
          <w:trHeight w:val="308" w:hRule="atLeast"/>
        </w:trPr>
        <w:tc>
          <w:tcPr>
            <w:tcW w:w="407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支出功能分类科目编码</w:t>
            </w:r>
          </w:p>
        </w:tc>
        <w:tc>
          <w:tcPr>
            <w:tcW w:w="373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科目名称</w:t>
            </w:r>
          </w:p>
        </w:tc>
        <w:tc>
          <w:tcPr>
            <w:tcW w:w="123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3320" w:type="dxa"/>
            <w:gridSpan w:val="3"/>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基本支出</w:t>
            </w:r>
          </w:p>
        </w:tc>
        <w:tc>
          <w:tcPr>
            <w:tcW w:w="208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项目支出</w:t>
            </w:r>
          </w:p>
        </w:tc>
      </w:tr>
      <w:tr>
        <w:tblPrEx>
          <w:tblCellMar>
            <w:top w:w="0" w:type="dxa"/>
            <w:left w:w="108" w:type="dxa"/>
            <w:bottom w:w="0" w:type="dxa"/>
            <w:right w:w="108" w:type="dxa"/>
          </w:tblCellMar>
        </w:tblPrEx>
        <w:trPr>
          <w:trHeight w:val="312" w:hRule="atLeast"/>
        </w:trPr>
        <w:tc>
          <w:tcPr>
            <w:tcW w:w="407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373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3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09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小计</w:t>
            </w:r>
          </w:p>
        </w:tc>
        <w:tc>
          <w:tcPr>
            <w:tcW w:w="111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人员经费</w:t>
            </w:r>
          </w:p>
        </w:tc>
        <w:tc>
          <w:tcPr>
            <w:tcW w:w="110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日常公用经费</w:t>
            </w:r>
          </w:p>
        </w:tc>
        <w:tc>
          <w:tcPr>
            <w:tcW w:w="20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440" w:hRule="atLeast"/>
        </w:trPr>
        <w:tc>
          <w:tcPr>
            <w:tcW w:w="407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373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3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09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11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10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208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08" w:hRule="atLeast"/>
        </w:trPr>
        <w:tc>
          <w:tcPr>
            <w:tcW w:w="1617"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类</w:t>
            </w:r>
          </w:p>
        </w:tc>
        <w:tc>
          <w:tcPr>
            <w:tcW w:w="139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款</w:t>
            </w:r>
          </w:p>
        </w:tc>
        <w:tc>
          <w:tcPr>
            <w:tcW w:w="1065"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w:t>
            </w:r>
          </w:p>
        </w:tc>
        <w:tc>
          <w:tcPr>
            <w:tcW w:w="3736"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1236"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096"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11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10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208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r>
      <w:tr>
        <w:tblPrEx>
          <w:tblCellMar>
            <w:top w:w="0" w:type="dxa"/>
            <w:left w:w="108" w:type="dxa"/>
            <w:bottom w:w="0" w:type="dxa"/>
            <w:right w:w="108" w:type="dxa"/>
          </w:tblCellMar>
        </w:tblPrEx>
        <w:trPr>
          <w:trHeight w:val="308" w:hRule="atLeast"/>
        </w:trPr>
        <w:tc>
          <w:tcPr>
            <w:tcW w:w="1617"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39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065"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3736"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23,382.65</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1,031.14</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682.67</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348.46</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22,351.51</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社会保障和就业支出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22,895.24</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1,031.14</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682.67</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348.46</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21,864.10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民政管理事务</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1,758.97</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1,031.14</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682.67</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348.46</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727.83</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行政运行</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710.02</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710.02</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518.41</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191.61</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一般行政管理事务</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601.00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601.00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2080207</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行政区划和地名管理</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16.83</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16.83</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2080208</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基层政权和社区建设</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2080299</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其他民政管理事务支出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321.11</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321.11</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164.26</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156.86</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20805</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行政事业单位离退休</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2080501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归口管理的行政单位离退休</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108.60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抚恤</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8,674.77</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8,674.77</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伤残抚恤</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529.39</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529.39</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2080803</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在乡复员、退伍军人生活补助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6,581.00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6,581.00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2080804</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优抚事业单位支出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243.00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243.00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2080805</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义务兵优待</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445.88</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445.88</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2080899</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其他优抚支出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875.50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875.50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退役安置</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1,156.60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1,156.60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退役士兵安置</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698.70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698.70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军队移交政府的离退休人员安置</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336.94</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336.94</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2080903</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军队移交政府离退休干部管理机构</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11.66</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11.66</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2080904</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退役士兵管理教育</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109.30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109.30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社会福利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507.05</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507.05</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儿童福利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98.34</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98.34</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老年福利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284.49</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284.49</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2081004</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殡葬</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124.23</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124.23</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残疾人事业</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2081199</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其他残疾人事业支出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2,281.18</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20815</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自然灾害生活救助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2081501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中央自然灾害生活补助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911.64</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临时救助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106.01</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106.01</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临时救助支出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70.60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70.60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2082002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流浪乞讨人员救助支出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35.41</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35.41</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特困人员救助供养</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2082102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农村特困人员救助供养支出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7,199.90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20825</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其他生活救助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2082502</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其他农村生活救助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190.50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医疗卫生与计划生育支出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21014</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优抚对象医疗</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2101401</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优抚对象医疗补助</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461.42</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农林水支出</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扶贫</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2130504</w:t>
            </w:r>
          </w:p>
        </w:tc>
        <w:tc>
          <w:tcPr>
            <w:tcW w:w="3736"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农村基础设施建设</w:t>
            </w:r>
          </w:p>
        </w:tc>
        <w:tc>
          <w:tcPr>
            <w:tcW w:w="123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09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r>
      <w:tr>
        <w:tblPrEx>
          <w:tblCellMar>
            <w:top w:w="0" w:type="dxa"/>
            <w:left w:w="108" w:type="dxa"/>
            <w:bottom w:w="0" w:type="dxa"/>
            <w:right w:w="108" w:type="dxa"/>
          </w:tblCellMar>
        </w:tblPrEx>
        <w:trPr>
          <w:trHeight w:val="308" w:hRule="atLeast"/>
        </w:trPr>
        <w:tc>
          <w:tcPr>
            <w:tcW w:w="4078"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2130505</w:t>
            </w:r>
          </w:p>
        </w:tc>
        <w:tc>
          <w:tcPr>
            <w:tcW w:w="3736" w:type="dxa"/>
            <w:tcBorders>
              <w:top w:val="nil"/>
              <w:left w:val="nil"/>
              <w:bottom w:val="single" w:color="000000" w:sz="8"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生产发展</w:t>
            </w:r>
          </w:p>
        </w:tc>
        <w:tc>
          <w:tcPr>
            <w:tcW w:w="1236"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c>
          <w:tcPr>
            <w:tcW w:w="1096"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17"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07"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2080" w:type="dxa"/>
            <w:tcBorders>
              <w:top w:val="nil"/>
              <w:left w:val="nil"/>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13.00</w:t>
            </w:r>
          </w:p>
        </w:tc>
      </w:tr>
    </w:tbl>
    <w:p>
      <w:pPr>
        <w:widowControl/>
        <w:jc w:val="both"/>
        <w:rPr>
          <w:rFonts w:hint="eastAsia" w:eastAsia="方正小标宋_GBK"/>
          <w:color w:val="000000"/>
          <w:kern w:val="0"/>
          <w:sz w:val="28"/>
          <w:szCs w:val="36"/>
        </w:rPr>
      </w:pPr>
    </w:p>
    <w:p>
      <w:pPr>
        <w:widowControl/>
        <w:jc w:val="center"/>
        <w:rPr>
          <w:rFonts w:hint="eastAsia" w:eastAsia="方正小标宋_GBK"/>
          <w:color w:val="000000"/>
          <w:kern w:val="0"/>
          <w:sz w:val="28"/>
          <w:szCs w:val="36"/>
        </w:rPr>
      </w:pPr>
    </w:p>
    <w:p>
      <w:pPr>
        <w:widowControl/>
        <w:jc w:val="center"/>
        <w:rPr>
          <w:rFonts w:eastAsia="方正小标宋_GBK"/>
          <w:color w:val="000000"/>
          <w:kern w:val="0"/>
          <w:sz w:val="28"/>
          <w:szCs w:val="36"/>
        </w:rPr>
      </w:pPr>
      <w:r>
        <w:rPr>
          <w:rFonts w:hint="eastAsia" w:eastAsia="方正小标宋_GBK"/>
          <w:color w:val="000000"/>
          <w:kern w:val="0"/>
          <w:sz w:val="28"/>
          <w:szCs w:val="36"/>
        </w:rPr>
        <w:t>一般公共预算财政拨款基本支出决算表</w:t>
      </w:r>
      <w:bookmarkEnd w:id="0"/>
    </w:p>
    <w:p>
      <w:pPr>
        <w:widowControl/>
        <w:jc w:val="left"/>
        <w:rPr>
          <w:rFonts w:eastAsia="仿宋_GB2312"/>
          <w:color w:val="000000"/>
          <w:kern w:val="0"/>
          <w:sz w:val="18"/>
          <w:szCs w:val="18"/>
        </w:rPr>
      </w:pPr>
      <w:r>
        <w:rPr>
          <w:rFonts w:hint="eastAsia" w:eastAsia="仿宋_GB2312"/>
          <w:color w:val="000000"/>
          <w:kern w:val="0"/>
          <w:sz w:val="18"/>
          <w:szCs w:val="18"/>
        </w:rPr>
        <w:t>部门：湘潭县民政局</w:t>
      </w:r>
      <w:r>
        <w:rPr>
          <w:rFonts w:eastAsia="仿宋_GB2312"/>
          <w:color w:val="000000"/>
          <w:kern w:val="0"/>
          <w:sz w:val="18"/>
          <w:szCs w:val="18"/>
        </w:rPr>
        <w:t xml:space="preserve">                                                                                              </w:t>
      </w:r>
      <w:r>
        <w:rPr>
          <w:rFonts w:hint="eastAsia" w:eastAsia="仿宋_GB2312"/>
          <w:color w:val="000000"/>
          <w:kern w:val="0"/>
          <w:sz w:val="18"/>
          <w:szCs w:val="18"/>
        </w:rPr>
        <w:t xml:space="preserve">                                 </w:t>
      </w:r>
      <w:r>
        <w:rPr>
          <w:rFonts w:eastAsia="仿宋_GB2312"/>
          <w:color w:val="000000"/>
          <w:kern w:val="0"/>
          <w:sz w:val="18"/>
          <w:szCs w:val="18"/>
        </w:rPr>
        <w:t xml:space="preserve"> </w:t>
      </w:r>
      <w:r>
        <w:rPr>
          <w:rFonts w:hint="eastAsia" w:eastAsia="仿宋_GB2312"/>
          <w:color w:val="000000"/>
          <w:kern w:val="0"/>
          <w:sz w:val="18"/>
          <w:szCs w:val="18"/>
        </w:rPr>
        <w:t>公开</w:t>
      </w:r>
      <w:r>
        <w:rPr>
          <w:rFonts w:eastAsia="仿宋_GB2312"/>
          <w:color w:val="000000"/>
          <w:kern w:val="0"/>
          <w:sz w:val="18"/>
          <w:szCs w:val="18"/>
        </w:rPr>
        <w:t>0</w:t>
      </w:r>
      <w:r>
        <w:rPr>
          <w:rFonts w:hint="eastAsia" w:eastAsia="仿宋_GB2312"/>
          <w:color w:val="000000"/>
          <w:kern w:val="0"/>
          <w:sz w:val="18"/>
          <w:szCs w:val="18"/>
          <w:lang w:val="en-US" w:eastAsia="zh-CN"/>
        </w:rPr>
        <w:t>6</w:t>
      </w:r>
      <w:r>
        <w:rPr>
          <w:rFonts w:hint="eastAsia" w:eastAsia="仿宋_GB2312"/>
          <w:color w:val="000000"/>
          <w:kern w:val="0"/>
          <w:sz w:val="18"/>
          <w:szCs w:val="18"/>
        </w:rPr>
        <w:t>表</w:t>
      </w:r>
      <w:r>
        <w:rPr>
          <w:rFonts w:eastAsia="仿宋_GB2312"/>
          <w:color w:val="000000"/>
          <w:kern w:val="0"/>
          <w:sz w:val="18"/>
          <w:szCs w:val="18"/>
        </w:rPr>
        <w:t xml:space="preserve">          </w:t>
      </w:r>
      <w:r>
        <w:rPr>
          <w:rFonts w:hint="eastAsia" w:eastAsia="仿宋_GB2312"/>
          <w:color w:val="000000"/>
          <w:kern w:val="0"/>
          <w:sz w:val="18"/>
          <w:szCs w:val="18"/>
        </w:rPr>
        <w:t xml:space="preserve"> </w:t>
      </w:r>
    </w:p>
    <w:p>
      <w:pPr>
        <w:widowControl/>
        <w:jc w:val="right"/>
        <w:rPr>
          <w:rFonts w:eastAsia="仿宋_GB2312"/>
          <w:color w:val="000000"/>
          <w:kern w:val="0"/>
          <w:sz w:val="18"/>
          <w:szCs w:val="18"/>
        </w:rPr>
      </w:pPr>
      <w:r>
        <w:rPr>
          <w:rFonts w:hint="eastAsia" w:eastAsia="仿宋_GB2312"/>
          <w:color w:val="000000"/>
          <w:kern w:val="0"/>
          <w:sz w:val="18"/>
          <w:szCs w:val="18"/>
        </w:rPr>
        <w:t>单位：万元</w:t>
      </w:r>
    </w:p>
    <w:tbl>
      <w:tblPr>
        <w:tblStyle w:val="7"/>
        <w:tblW w:w="14450" w:type="dxa"/>
        <w:tblInd w:w="-257" w:type="dxa"/>
        <w:tblLayout w:type="fixed"/>
        <w:tblCellMar>
          <w:top w:w="0" w:type="dxa"/>
          <w:left w:w="108" w:type="dxa"/>
          <w:bottom w:w="0" w:type="dxa"/>
          <w:right w:w="108" w:type="dxa"/>
        </w:tblCellMar>
      </w:tblPr>
      <w:tblGrid>
        <w:gridCol w:w="1962"/>
        <w:gridCol w:w="2007"/>
        <w:gridCol w:w="970"/>
        <w:gridCol w:w="1904"/>
        <w:gridCol w:w="1165"/>
        <w:gridCol w:w="877"/>
        <w:gridCol w:w="2008"/>
        <w:gridCol w:w="2019"/>
        <w:gridCol w:w="1538"/>
      </w:tblGrid>
      <w:tr>
        <w:tblPrEx>
          <w:tblCellMar>
            <w:top w:w="0" w:type="dxa"/>
            <w:left w:w="108" w:type="dxa"/>
            <w:bottom w:w="0" w:type="dxa"/>
            <w:right w:w="108" w:type="dxa"/>
          </w:tblCellMar>
        </w:tblPrEx>
        <w:trPr>
          <w:trHeight w:val="372" w:hRule="atLeast"/>
        </w:trPr>
        <w:tc>
          <w:tcPr>
            <w:tcW w:w="196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007"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970"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904"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1165"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77"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2008"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019"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538" w:type="dxa"/>
            <w:tcBorders>
              <w:top w:val="single" w:color="auto" w:sz="8" w:space="0"/>
              <w:left w:val="nil"/>
              <w:bottom w:val="single" w:color="auto" w:sz="8" w:space="0"/>
              <w:right w:val="single" w:color="auto" w:sz="8" w:space="0"/>
            </w:tcBorders>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1"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w:t>
            </w:r>
          </w:p>
        </w:tc>
        <w:tc>
          <w:tcPr>
            <w:tcW w:w="2007"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682.67</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w:t>
            </w:r>
          </w:p>
        </w:tc>
        <w:tc>
          <w:tcPr>
            <w:tcW w:w="1165"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348.46</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307</w:t>
            </w:r>
          </w:p>
        </w:tc>
        <w:tc>
          <w:tcPr>
            <w:tcW w:w="2019"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62"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30101</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基本工资</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208.47</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30201</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办公费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159.49</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30701</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国内债务付息</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80"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30102</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津贴补贴</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135.77</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30202</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印刷费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63.03</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30702</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国外债务付息</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56"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30103</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奖金</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94.81</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30203</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咨询费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w:t>
            </w:r>
          </w:p>
        </w:tc>
        <w:tc>
          <w:tcPr>
            <w:tcW w:w="2019"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80"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30106</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伙食补助费</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39.85</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30204</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手续费</w:t>
            </w:r>
          </w:p>
        </w:tc>
        <w:tc>
          <w:tcPr>
            <w:tcW w:w="877" w:type="dxa"/>
            <w:tcBorders>
              <w:top w:val="nil"/>
              <w:left w:val="nil"/>
              <w:bottom w:val="single" w:color="auto" w:sz="8" w:space="0"/>
              <w:right w:val="single" w:color="auto" w:sz="8" w:space="0"/>
            </w:tcBorders>
            <w:noWrap/>
            <w:vAlign w:val="bottom"/>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31001</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房屋建筑物购建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45"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30107</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绩效工资</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30205</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水费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4.09</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31002</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办公设备购置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03"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30108</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机关事业单位基本养老保险费</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64.32</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30206</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电费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21.37</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31003</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专用设备购置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92"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30109</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职业年金缴费</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21.11</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30207</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邮电费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10.66</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31005</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基础设施建设</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45"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30110</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职工基本医疗保险缴费</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33.01</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30208</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取暖费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31006</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大型修缮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60"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30111</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公务员医疗补助缴费</w:t>
            </w:r>
          </w:p>
        </w:tc>
        <w:tc>
          <w:tcPr>
            <w:tcW w:w="970" w:type="dxa"/>
            <w:tcBorders>
              <w:top w:val="nil"/>
              <w:left w:val="nil"/>
              <w:bottom w:val="single" w:color="auto" w:sz="8" w:space="0"/>
              <w:right w:val="single" w:color="auto" w:sz="8" w:space="0"/>
            </w:tcBorders>
            <w:noWrap/>
            <w:vAlign w:val="bottom"/>
          </w:tcPr>
          <w:p>
            <w:pPr>
              <w:widowControl/>
              <w:jc w:val="center"/>
              <w:textAlignment w:val="bottom"/>
              <w:rPr>
                <w:rFonts w:ascii="宋体" w:hAnsi="宋体" w:eastAsia="宋体" w:cs="宋体"/>
                <w:color w:val="000000"/>
                <w:sz w:val="18"/>
                <w:szCs w:val="18"/>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30209</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物业管理费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31007</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信息网络及软件购置更新</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03"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30112</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其他社会保障缴费</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4.95</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30211</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差旅费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6.48</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31008</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物资储备</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45"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30113</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住房公积金</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57.56</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30212</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因公出国（境）费用</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31009</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土地补偿</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57"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30114</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医疗费</w:t>
            </w:r>
          </w:p>
        </w:tc>
        <w:tc>
          <w:tcPr>
            <w:tcW w:w="970" w:type="dxa"/>
            <w:tcBorders>
              <w:top w:val="nil"/>
              <w:left w:val="nil"/>
              <w:bottom w:val="single" w:color="auto" w:sz="8" w:space="0"/>
              <w:right w:val="single" w:color="auto" w:sz="8" w:space="0"/>
            </w:tcBorders>
            <w:noWrap/>
          </w:tcPr>
          <w:p>
            <w:pPr>
              <w:widowControl/>
              <w:jc w:val="center"/>
              <w:rPr>
                <w:rFonts w:ascii="宋体" w:hAnsi="宋体" w:eastAsia="宋体" w:cs="宋体"/>
                <w:color w:val="000000"/>
                <w:kern w:val="0"/>
                <w:sz w:val="18"/>
                <w:szCs w:val="18"/>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30213</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维修（护）费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仿宋" w:hAnsi="仿宋" w:eastAsia="仿宋" w:cs="仿宋"/>
                <w:color w:val="000000"/>
                <w:kern w:val="0"/>
                <w:sz w:val="18"/>
                <w:szCs w:val="18"/>
                <w:lang w:bidi="ar"/>
              </w:rPr>
            </w:pPr>
            <w:r>
              <w:rPr>
                <w:rFonts w:hint="eastAsia" w:ascii="宋体" w:hAnsi="宋体" w:eastAsia="宋体" w:cs="宋体"/>
                <w:color w:val="000000"/>
                <w:kern w:val="0"/>
                <w:sz w:val="18"/>
                <w:szCs w:val="18"/>
                <w:lang w:bidi="ar"/>
              </w:rPr>
              <w:t>6.95</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31010</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安置补助</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51"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30199</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其他工资福利支出</w:t>
            </w:r>
          </w:p>
        </w:tc>
        <w:tc>
          <w:tcPr>
            <w:tcW w:w="970"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22.82</w:t>
            </w: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30214</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租赁费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31011</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地上附着物和青苗补偿</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80"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w:t>
            </w:r>
          </w:p>
        </w:tc>
        <w:tc>
          <w:tcPr>
            <w:tcW w:w="2007"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970" w:type="dxa"/>
            <w:tcBorders>
              <w:top w:val="nil"/>
              <w:left w:val="nil"/>
              <w:bottom w:val="single" w:color="auto" w:sz="8" w:space="0"/>
              <w:right w:val="single" w:color="auto" w:sz="8" w:space="0"/>
            </w:tcBorders>
            <w:noWrap/>
          </w:tcPr>
          <w:p>
            <w:pPr>
              <w:widowControl/>
              <w:jc w:val="center"/>
              <w:textAlignment w:val="bottom"/>
              <w:rPr>
                <w:rFonts w:ascii="宋体" w:hAnsi="宋体" w:eastAsia="宋体" w:cs="宋体"/>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30215</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会议费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0.22</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31012</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拆迁补偿</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39"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30301</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离休费</w:t>
            </w:r>
          </w:p>
        </w:tc>
        <w:tc>
          <w:tcPr>
            <w:tcW w:w="970" w:type="dxa"/>
            <w:tcBorders>
              <w:top w:val="nil"/>
              <w:left w:val="nil"/>
              <w:bottom w:val="single" w:color="auto" w:sz="8" w:space="0"/>
              <w:right w:val="single" w:color="auto" w:sz="8" w:space="0"/>
            </w:tcBorders>
            <w:noWrap/>
          </w:tcPr>
          <w:p>
            <w:pPr>
              <w:widowControl/>
              <w:jc w:val="center"/>
              <w:textAlignment w:val="bottom"/>
              <w:rPr>
                <w:rFonts w:ascii="宋体" w:hAnsi="宋体" w:eastAsia="宋体" w:cs="宋体"/>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30216</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培训费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0.54</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31013</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公务用车购置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68"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30302</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退休费</w:t>
            </w:r>
          </w:p>
        </w:tc>
        <w:tc>
          <w:tcPr>
            <w:tcW w:w="970" w:type="dxa"/>
            <w:tcBorders>
              <w:top w:val="nil"/>
              <w:left w:val="nil"/>
              <w:bottom w:val="single" w:color="auto" w:sz="8" w:space="0"/>
              <w:right w:val="single" w:color="auto" w:sz="8" w:space="0"/>
            </w:tcBorders>
            <w:noWrap/>
          </w:tcPr>
          <w:p>
            <w:pPr>
              <w:widowControl/>
              <w:jc w:val="center"/>
              <w:textAlignment w:val="bottom"/>
              <w:rPr>
                <w:rFonts w:ascii="宋体" w:hAnsi="宋体" w:eastAsia="宋体" w:cs="宋体"/>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30217</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公务接待费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1.62</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31019</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其他交通工具购置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68"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30303</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退职（役）费</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30218</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专用材料费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31021</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文物和陈列品购置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36"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30304</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抚恤金</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30224</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被装购置费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31022</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无形资产购置</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91"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30305</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生活补助</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30225</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专用燃料费</w:t>
            </w:r>
          </w:p>
        </w:tc>
        <w:tc>
          <w:tcPr>
            <w:tcW w:w="877"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31099</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其他资本性支出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79"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30306</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救济费</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30226</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劳务费</w:t>
            </w:r>
          </w:p>
        </w:tc>
        <w:tc>
          <w:tcPr>
            <w:tcW w:w="877" w:type="dxa"/>
            <w:tcBorders>
              <w:top w:val="nil"/>
              <w:left w:val="nil"/>
              <w:bottom w:val="single" w:color="auto" w:sz="8" w:space="0"/>
              <w:right w:val="single" w:color="auto" w:sz="8" w:space="0"/>
            </w:tcBorders>
            <w:noWrap/>
            <w:vAlign w:val="bottom"/>
          </w:tcPr>
          <w:p>
            <w:pPr>
              <w:widowControl/>
              <w:jc w:val="center"/>
              <w:textAlignment w:val="bottom"/>
              <w:rPr>
                <w:rFonts w:ascii="仿宋" w:hAnsi="仿宋" w:eastAsia="仿宋" w:cs="仿宋"/>
                <w:color w:val="000000"/>
                <w:kern w:val="0"/>
                <w:sz w:val="18"/>
                <w:szCs w:val="18"/>
                <w:lang w:bidi="ar"/>
              </w:rPr>
            </w:pP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399</w:t>
            </w:r>
          </w:p>
        </w:tc>
        <w:tc>
          <w:tcPr>
            <w:tcW w:w="2019"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91"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color w:val="000000"/>
                <w:kern w:val="0"/>
                <w:sz w:val="18"/>
                <w:szCs w:val="18"/>
              </w:rPr>
              <w:t>30308</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助学金</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30228</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工会经费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仿宋" w:hAnsi="仿宋" w:eastAsia="仿宋" w:cs="仿宋"/>
                <w:color w:val="000000"/>
                <w:kern w:val="0"/>
                <w:sz w:val="18"/>
                <w:szCs w:val="18"/>
                <w:lang w:bidi="ar"/>
              </w:rPr>
            </w:pPr>
            <w:r>
              <w:rPr>
                <w:rFonts w:hint="eastAsia" w:ascii="宋体" w:hAnsi="宋体" w:eastAsia="宋体" w:cs="宋体"/>
                <w:color w:val="000000"/>
                <w:kern w:val="0"/>
                <w:sz w:val="18"/>
                <w:szCs w:val="18"/>
                <w:lang w:bidi="ar"/>
              </w:rPr>
              <w:t>28.66</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39907</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国家赔偿费用支出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303" w:hRule="exact"/>
        </w:trPr>
        <w:tc>
          <w:tcPr>
            <w:tcW w:w="1962" w:type="dxa"/>
            <w:tcBorders>
              <w:top w:val="single" w:color="auto" w:sz="8" w:space="0"/>
              <w:left w:val="single" w:color="auto" w:sz="8" w:space="0"/>
              <w:bottom w:val="single" w:color="auto" w:sz="8" w:space="0"/>
              <w:right w:val="single" w:color="auto" w:sz="8" w:space="0"/>
            </w:tcBorders>
            <w:noWrap/>
            <w:vAlign w:val="center"/>
          </w:tcPr>
          <w:p>
            <w:pPr>
              <w:widowControl/>
              <w:jc w:val="center"/>
              <w:rPr>
                <w:color w:val="000000"/>
                <w:kern w:val="0"/>
                <w:sz w:val="18"/>
                <w:szCs w:val="18"/>
              </w:rPr>
            </w:pPr>
            <w:r>
              <w:rPr>
                <w:rFonts w:ascii="仿宋_GB2312" w:hAnsi="宋体" w:eastAsia="仿宋_GB2312" w:cs="宋体"/>
                <w:color w:val="000000"/>
                <w:kern w:val="0"/>
                <w:sz w:val="18"/>
                <w:szCs w:val="18"/>
              </w:rPr>
              <w:t>30309</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奖励金</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ascii="仿宋_GB2312" w:hAnsi="宋体" w:eastAsia="仿宋_GB2312" w:cs="宋体"/>
                <w:color w:val="000000"/>
                <w:kern w:val="0"/>
                <w:sz w:val="18"/>
                <w:szCs w:val="18"/>
              </w:rPr>
              <w:t>30229</w:t>
            </w:r>
          </w:p>
        </w:tc>
        <w:tc>
          <w:tcPr>
            <w:tcW w:w="1165"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hAnsi="宋体" w:eastAsia="仿宋_GB2312" w:cs="宋体"/>
                <w:color w:val="000000"/>
                <w:kern w:val="0"/>
                <w:sz w:val="18"/>
                <w:szCs w:val="18"/>
              </w:rPr>
              <w:t>福利费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12.26</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39908</w:t>
            </w:r>
          </w:p>
        </w:tc>
        <w:tc>
          <w:tcPr>
            <w:tcW w:w="2019"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hAnsi="宋体" w:eastAsia="仿宋_GB2312" w:cs="宋体"/>
                <w:color w:val="000000"/>
                <w:kern w:val="0"/>
                <w:sz w:val="18"/>
                <w:szCs w:val="18"/>
              </w:rPr>
              <w:t>对民间非营利组织和群众性自治组织补贴</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45" w:hRule="exact"/>
        </w:trPr>
        <w:tc>
          <w:tcPr>
            <w:tcW w:w="196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30310</w:t>
            </w: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个人农业生产补贴</w:t>
            </w: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30231</w:t>
            </w:r>
          </w:p>
        </w:tc>
        <w:tc>
          <w:tcPr>
            <w:tcW w:w="1165"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公务用车运行维护费</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30.44</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r>
              <w:rPr>
                <w:color w:val="000000"/>
                <w:kern w:val="0"/>
                <w:sz w:val="18"/>
                <w:szCs w:val="18"/>
              </w:rPr>
              <w:t>39999</w:t>
            </w:r>
          </w:p>
        </w:tc>
        <w:tc>
          <w:tcPr>
            <w:tcW w:w="2019"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11" w:hRule="exact"/>
        </w:trPr>
        <w:tc>
          <w:tcPr>
            <w:tcW w:w="1962" w:type="dxa"/>
            <w:tcBorders>
              <w:top w:val="single" w:color="auto" w:sz="8" w:space="0"/>
              <w:left w:val="single" w:color="auto" w:sz="8" w:space="0"/>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30399</w:t>
            </w:r>
          </w:p>
        </w:tc>
        <w:tc>
          <w:tcPr>
            <w:tcW w:w="2007" w:type="dxa"/>
            <w:tcBorders>
              <w:top w:val="single" w:color="auto" w:sz="8" w:space="0"/>
              <w:left w:val="nil"/>
              <w:bottom w:val="single" w:color="auto" w:sz="8" w:space="0"/>
              <w:right w:val="single" w:color="auto" w:sz="8" w:space="0"/>
            </w:tcBorders>
            <w:noWrap/>
          </w:tcPr>
          <w:p>
            <w:pPr>
              <w:widowControl/>
              <w:jc w:val="center"/>
              <w:rPr>
                <w:color w:val="000000"/>
                <w:kern w:val="0"/>
                <w:sz w:val="18"/>
                <w:szCs w:val="18"/>
              </w:rPr>
            </w:pPr>
            <w:r>
              <w:rPr>
                <w:rFonts w:hint="eastAsia" w:ascii="仿宋_GB2312" w:eastAsia="仿宋_GB2312"/>
                <w:color w:val="000000"/>
                <w:kern w:val="0"/>
                <w:sz w:val="18"/>
                <w:szCs w:val="18"/>
              </w:rPr>
              <w:t>对其他个人和家庭的补助支出</w:t>
            </w:r>
          </w:p>
        </w:tc>
        <w:tc>
          <w:tcPr>
            <w:tcW w:w="970" w:type="dxa"/>
            <w:tcBorders>
              <w:top w:val="single" w:color="auto" w:sz="8" w:space="0"/>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single" w:color="auto" w:sz="8" w:space="0"/>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30239</w:t>
            </w:r>
          </w:p>
        </w:tc>
        <w:tc>
          <w:tcPr>
            <w:tcW w:w="1165" w:type="dxa"/>
            <w:tcBorders>
              <w:top w:val="single" w:color="auto" w:sz="8" w:space="0"/>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其他交通费用</w:t>
            </w:r>
          </w:p>
        </w:tc>
        <w:tc>
          <w:tcPr>
            <w:tcW w:w="877" w:type="dxa"/>
            <w:tcBorders>
              <w:top w:val="single" w:color="auto" w:sz="8" w:space="0"/>
              <w:left w:val="nil"/>
              <w:bottom w:val="single" w:color="auto" w:sz="8" w:space="0"/>
              <w:right w:val="single" w:color="auto" w:sz="8" w:space="0"/>
            </w:tcBorders>
            <w:noWrap/>
          </w:tcPr>
          <w:p>
            <w:pPr>
              <w:widowControl/>
              <w:jc w:val="center"/>
              <w:textAlignment w:val="bottom"/>
              <w:rPr>
                <w:rFonts w:ascii="宋体" w:hAnsi="宋体" w:eastAsia="宋体" w:cs="宋体"/>
                <w:color w:val="000000"/>
                <w:sz w:val="18"/>
                <w:szCs w:val="18"/>
              </w:rPr>
            </w:pPr>
          </w:p>
        </w:tc>
        <w:tc>
          <w:tcPr>
            <w:tcW w:w="2008" w:type="dxa"/>
            <w:tcBorders>
              <w:top w:val="single" w:color="auto" w:sz="8" w:space="0"/>
              <w:left w:val="nil"/>
              <w:bottom w:val="single" w:color="auto" w:sz="8" w:space="0"/>
              <w:right w:val="single" w:color="auto" w:sz="8" w:space="0"/>
            </w:tcBorders>
            <w:noWrap/>
          </w:tcPr>
          <w:p>
            <w:pPr>
              <w:widowControl/>
              <w:jc w:val="center"/>
              <w:rPr>
                <w:color w:val="000000"/>
                <w:kern w:val="0"/>
                <w:sz w:val="18"/>
                <w:szCs w:val="18"/>
              </w:rPr>
            </w:pPr>
          </w:p>
        </w:tc>
        <w:tc>
          <w:tcPr>
            <w:tcW w:w="2019" w:type="dxa"/>
            <w:tcBorders>
              <w:top w:val="single" w:color="auto" w:sz="8" w:space="0"/>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538" w:type="dxa"/>
            <w:tcBorders>
              <w:top w:val="single" w:color="auto" w:sz="8" w:space="0"/>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60" w:hRule="exact"/>
        </w:trPr>
        <w:tc>
          <w:tcPr>
            <w:tcW w:w="1962" w:type="dxa"/>
            <w:tcBorders>
              <w:top w:val="nil"/>
              <w:left w:val="single" w:color="auto" w:sz="8" w:space="0"/>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c>
          <w:tcPr>
            <w:tcW w:w="2007"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970" w:type="dxa"/>
            <w:tcBorders>
              <w:top w:val="nil"/>
              <w:left w:val="nil"/>
              <w:bottom w:val="single" w:color="auto" w:sz="8" w:space="0"/>
              <w:right w:val="single" w:color="auto" w:sz="8" w:space="0"/>
            </w:tcBorders>
            <w:noWrap/>
          </w:tcPr>
          <w:p>
            <w:pPr>
              <w:widowControl/>
              <w:jc w:val="center"/>
              <w:textAlignment w:val="bottom"/>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30299</w:t>
            </w:r>
          </w:p>
        </w:tc>
        <w:tc>
          <w:tcPr>
            <w:tcW w:w="1165"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其他商品和服务支出</w:t>
            </w:r>
          </w:p>
        </w:tc>
        <w:tc>
          <w:tcPr>
            <w:tcW w:w="877" w:type="dxa"/>
            <w:tcBorders>
              <w:top w:val="nil"/>
              <w:left w:val="nil"/>
              <w:bottom w:val="single" w:color="auto" w:sz="8" w:space="0"/>
              <w:right w:val="single" w:color="auto" w:sz="8" w:space="0"/>
            </w:tcBorders>
            <w:noWrap/>
            <w:vAlign w:val="center"/>
          </w:tcPr>
          <w:p>
            <w:pPr>
              <w:widowControl/>
              <w:jc w:val="center"/>
              <w:textAlignment w:val="center"/>
              <w:rPr>
                <w:rFonts w:ascii="仿宋" w:hAnsi="仿宋" w:eastAsia="仿宋" w:cs="仿宋"/>
                <w:color w:val="000000"/>
                <w:kern w:val="0"/>
                <w:sz w:val="18"/>
                <w:szCs w:val="18"/>
                <w:lang w:bidi="ar"/>
              </w:rPr>
            </w:pPr>
            <w:r>
              <w:rPr>
                <w:rFonts w:hint="eastAsia" w:ascii="宋体" w:hAnsi="宋体" w:eastAsia="宋体" w:cs="宋体"/>
                <w:color w:val="000000"/>
                <w:kern w:val="0"/>
                <w:sz w:val="18"/>
                <w:szCs w:val="18"/>
                <w:lang w:bidi="ar"/>
              </w:rPr>
              <w:t>2.66</w:t>
            </w:r>
          </w:p>
        </w:tc>
        <w:tc>
          <w:tcPr>
            <w:tcW w:w="2008" w:type="dxa"/>
            <w:tcBorders>
              <w:top w:val="nil"/>
              <w:left w:val="nil"/>
              <w:bottom w:val="single" w:color="auto" w:sz="8" w:space="0"/>
              <w:right w:val="single" w:color="auto" w:sz="8" w:space="0"/>
            </w:tcBorders>
            <w:noWrap/>
          </w:tcPr>
          <w:p>
            <w:pPr>
              <w:widowControl/>
              <w:jc w:val="center"/>
              <w:rPr>
                <w:color w:val="000000"/>
                <w:kern w:val="0"/>
                <w:sz w:val="18"/>
                <w:szCs w:val="18"/>
              </w:rPr>
            </w:pPr>
          </w:p>
        </w:tc>
        <w:tc>
          <w:tcPr>
            <w:tcW w:w="2019" w:type="dxa"/>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p>
        </w:tc>
        <w:tc>
          <w:tcPr>
            <w:tcW w:w="1538" w:type="dxa"/>
            <w:tcBorders>
              <w:top w:val="nil"/>
              <w:left w:val="nil"/>
              <w:bottom w:val="single" w:color="auto" w:sz="8" w:space="0"/>
              <w:right w:val="single" w:color="auto" w:sz="8" w:space="0"/>
            </w:tcBorders>
            <w:noWrap/>
            <w:vAlign w:val="center"/>
          </w:tcPr>
          <w:p>
            <w:pPr>
              <w:widowControl/>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255" w:hRule="exact"/>
        </w:trPr>
        <w:tc>
          <w:tcPr>
            <w:tcW w:w="1962" w:type="dxa"/>
            <w:tcBorders>
              <w:top w:val="nil"/>
              <w:left w:val="single" w:color="auto" w:sz="8" w:space="0"/>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2007" w:type="dxa"/>
            <w:tcBorders>
              <w:top w:val="nil"/>
              <w:left w:val="nil"/>
              <w:bottom w:val="single" w:color="auto" w:sz="8" w:space="0"/>
              <w:right w:val="single" w:color="auto" w:sz="8" w:space="0"/>
            </w:tcBorders>
            <w:noWrap/>
            <w:vAlign w:val="center"/>
          </w:tcPr>
          <w:p>
            <w:pPr>
              <w:widowControl/>
              <w:jc w:val="center"/>
              <w:textAlignment w:val="bottom"/>
              <w:rPr>
                <w:color w:val="000000"/>
                <w:kern w:val="0"/>
                <w:sz w:val="18"/>
                <w:szCs w:val="18"/>
              </w:rPr>
            </w:pPr>
            <w:r>
              <w:rPr>
                <w:rFonts w:hint="eastAsia" w:ascii="宋体" w:hAnsi="宋体" w:eastAsia="宋体" w:cs="宋体"/>
                <w:color w:val="000000"/>
                <w:kern w:val="0"/>
                <w:sz w:val="18"/>
                <w:szCs w:val="18"/>
                <w:lang w:bidi="ar"/>
              </w:rPr>
              <w:t>682.67</w:t>
            </w:r>
          </w:p>
        </w:tc>
        <w:tc>
          <w:tcPr>
            <w:tcW w:w="970" w:type="dxa"/>
            <w:tcBorders>
              <w:top w:val="nil"/>
              <w:left w:val="nil"/>
              <w:bottom w:val="single" w:color="auto" w:sz="8" w:space="0"/>
              <w:right w:val="single" w:color="auto" w:sz="8" w:space="0"/>
            </w:tcBorders>
            <w:noWrap/>
          </w:tcPr>
          <w:p>
            <w:pPr>
              <w:widowControl/>
              <w:jc w:val="center"/>
              <w:rPr>
                <w:rFonts w:ascii="仿宋" w:hAnsi="仿宋" w:eastAsia="仿宋" w:cs="仿宋"/>
                <w:color w:val="000000"/>
                <w:kern w:val="0"/>
                <w:sz w:val="18"/>
                <w:szCs w:val="18"/>
                <w:lang w:bidi="ar"/>
              </w:rPr>
            </w:pPr>
          </w:p>
        </w:tc>
        <w:tc>
          <w:tcPr>
            <w:tcW w:w="1904" w:type="dxa"/>
            <w:tcBorders>
              <w:top w:val="nil"/>
              <w:left w:val="nil"/>
              <w:bottom w:val="single" w:color="auto" w:sz="8" w:space="0"/>
              <w:right w:val="single" w:color="auto" w:sz="8" w:space="0"/>
            </w:tcBorders>
            <w:vAlign w:val="center"/>
          </w:tcPr>
          <w:p>
            <w:pPr>
              <w:widowControl/>
              <w:jc w:val="center"/>
              <w:textAlignment w:val="bottom"/>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7607" w:type="dxa"/>
            <w:gridSpan w:val="5"/>
            <w:tcBorders>
              <w:top w:val="nil"/>
              <w:left w:val="nil"/>
              <w:bottom w:val="single" w:color="auto" w:sz="8" w:space="0"/>
              <w:right w:val="single" w:color="auto" w:sz="8" w:space="0"/>
            </w:tcBorders>
            <w:noWrap/>
          </w:tcPr>
          <w:p>
            <w:pPr>
              <w:widowControl/>
              <w:jc w:val="center"/>
              <w:rPr>
                <w:rFonts w:ascii="仿宋_GB2312" w:hAnsi="宋体" w:eastAsia="仿宋_GB2312" w:cs="宋体"/>
                <w:color w:val="000000"/>
                <w:kern w:val="0"/>
                <w:sz w:val="18"/>
                <w:szCs w:val="18"/>
              </w:rPr>
            </w:pPr>
            <w:r>
              <w:rPr>
                <w:rFonts w:hint="eastAsia" w:ascii="宋体" w:hAnsi="宋体" w:eastAsia="宋体" w:cs="宋体"/>
                <w:color w:val="000000"/>
                <w:kern w:val="0"/>
                <w:sz w:val="18"/>
                <w:szCs w:val="18"/>
                <w:lang w:bidi="ar"/>
              </w:rPr>
              <w:t>348.46</w:t>
            </w:r>
          </w:p>
        </w:tc>
      </w:tr>
    </w:tbl>
    <w:p>
      <w:pPr>
        <w:rPr>
          <w:rFonts w:ascii="仿宋_GB2312" w:hAnsi="仿宋_GB2312" w:eastAsia="仿宋_GB2312" w:cs="仿宋_GB2312"/>
        </w:rPr>
      </w:pPr>
      <w:r>
        <w:rPr>
          <w:rFonts w:hint="eastAsia" w:ascii="仿宋_GB2312" w:hAnsi="仿宋_GB2312" w:eastAsia="仿宋_GB2312" w:cs="仿宋_GB2312"/>
        </w:rPr>
        <w:t>注：本表反映部门年度一般公共预算财政拨款基本支出明细情况。</w:t>
      </w:r>
    </w:p>
    <w:p>
      <w:pPr>
        <w:rPr>
          <w:rFonts w:ascii="仿宋_GB2312" w:hAnsi="仿宋_GB2312" w:eastAsia="仿宋_GB2312" w:cs="仿宋_GB2312"/>
        </w:rPr>
      </w:pPr>
    </w:p>
    <w:p>
      <w:pPr>
        <w:rPr>
          <w:rFonts w:ascii="仿宋_GB2312" w:hAnsi="仿宋_GB2312" w:eastAsia="仿宋_GB2312" w:cs="仿宋_GB2312"/>
        </w:rPr>
      </w:pPr>
    </w:p>
    <w:tbl>
      <w:tblPr>
        <w:tblStyle w:val="7"/>
        <w:tblW w:w="14614" w:type="dxa"/>
        <w:tblInd w:w="-383" w:type="dxa"/>
        <w:tblLayout w:type="fixed"/>
        <w:tblCellMar>
          <w:top w:w="0" w:type="dxa"/>
          <w:left w:w="108" w:type="dxa"/>
          <w:bottom w:w="0" w:type="dxa"/>
          <w:right w:w="108" w:type="dxa"/>
        </w:tblCellMar>
      </w:tblPr>
      <w:tblGrid>
        <w:gridCol w:w="676"/>
        <w:gridCol w:w="750"/>
        <w:gridCol w:w="688"/>
        <w:gridCol w:w="240"/>
        <w:gridCol w:w="3222"/>
        <w:gridCol w:w="988"/>
        <w:gridCol w:w="1187"/>
        <w:gridCol w:w="1200"/>
        <w:gridCol w:w="1013"/>
        <w:gridCol w:w="750"/>
        <w:gridCol w:w="1150"/>
        <w:gridCol w:w="1550"/>
        <w:gridCol w:w="1200"/>
      </w:tblGrid>
      <w:tr>
        <w:tblPrEx>
          <w:tblCellMar>
            <w:top w:w="0" w:type="dxa"/>
            <w:left w:w="108" w:type="dxa"/>
            <w:bottom w:w="0" w:type="dxa"/>
            <w:right w:w="108" w:type="dxa"/>
          </w:tblCellMar>
        </w:tblPrEx>
        <w:trPr>
          <w:trHeight w:val="540" w:hRule="atLeast"/>
        </w:trPr>
        <w:tc>
          <w:tcPr>
            <w:tcW w:w="14614" w:type="dxa"/>
            <w:gridSpan w:val="13"/>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rPr>
                <w:rFonts w:eastAsia="方正小标宋_GBK"/>
                <w:color w:val="000000"/>
                <w:kern w:val="0"/>
                <w:sz w:val="36"/>
                <w:szCs w:val="36"/>
              </w:rPr>
            </w:pPr>
            <w:r>
              <w:rPr>
                <w:rFonts w:hint="eastAsia" w:eastAsia="方正小标宋_GBK"/>
                <w:color w:val="000000"/>
                <w:kern w:val="0"/>
                <w:sz w:val="36"/>
                <w:szCs w:val="36"/>
              </w:rPr>
              <w:t>一般公共预算财政拨款“三公”经费支出决算表</w:t>
            </w:r>
          </w:p>
          <w:p>
            <w:pPr>
              <w:widowControl/>
              <w:ind w:firstLine="420" w:firstLineChars="200"/>
              <w:jc w:val="left"/>
              <w:rPr>
                <w:rFonts w:eastAsia="仿宋_GB2312"/>
                <w:color w:val="000000"/>
                <w:kern w:val="0"/>
              </w:rPr>
            </w:pPr>
            <w:r>
              <w:rPr>
                <w:rFonts w:hint="eastAsia" w:eastAsia="仿宋_GB2312"/>
                <w:color w:val="000000"/>
                <w:kern w:val="0"/>
              </w:rPr>
              <w:t>部门：</w:t>
            </w:r>
            <w:r>
              <w:rPr>
                <w:rFonts w:eastAsia="仿宋_GB2312"/>
                <w:color w:val="000000"/>
                <w:kern w:val="0"/>
              </w:rPr>
              <w:t xml:space="preserve"> </w:t>
            </w:r>
            <w:r>
              <w:rPr>
                <w:rFonts w:hint="eastAsia" w:eastAsia="仿宋_GB2312"/>
                <w:color w:val="000000"/>
                <w:kern w:val="0"/>
              </w:rPr>
              <w:t>湘潭县民政局</w:t>
            </w:r>
            <w:r>
              <w:rPr>
                <w:rFonts w:eastAsia="仿宋_GB2312"/>
                <w:color w:val="000000"/>
                <w:kern w:val="0"/>
              </w:rPr>
              <w:t xml:space="preserve">                                                                                                    </w:t>
            </w:r>
            <w:r>
              <w:rPr>
                <w:rFonts w:hint="eastAsia" w:eastAsia="仿宋_GB2312"/>
                <w:color w:val="000000"/>
                <w:kern w:val="0"/>
              </w:rPr>
              <w:t>公开</w:t>
            </w:r>
            <w:r>
              <w:rPr>
                <w:rFonts w:eastAsia="仿宋_GB2312"/>
                <w:color w:val="000000"/>
                <w:kern w:val="0"/>
              </w:rPr>
              <w:t>0</w:t>
            </w:r>
            <w:r>
              <w:rPr>
                <w:rFonts w:hint="eastAsia" w:eastAsia="仿宋_GB2312"/>
                <w:color w:val="000000"/>
                <w:kern w:val="0"/>
              </w:rPr>
              <w:t>7表</w:t>
            </w:r>
          </w:p>
          <w:p>
            <w:pPr>
              <w:widowControl/>
              <w:ind w:right="420"/>
              <w:jc w:val="right"/>
              <w:rPr>
                <w:rFonts w:eastAsia="仿宋_GB2312"/>
                <w:color w:val="000000"/>
                <w:kern w:val="0"/>
              </w:rPr>
            </w:pPr>
            <w:r>
              <w:rPr>
                <w:rFonts w:hint="eastAsia" w:eastAsia="仿宋_GB2312"/>
                <w:color w:val="000000"/>
                <w:kern w:val="0"/>
              </w:rPr>
              <w:t>单位：万元</w:t>
            </w:r>
          </w:p>
          <w:tbl>
            <w:tblPr>
              <w:tblStyle w:val="7"/>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eastAsia="仿宋_GB2312"/>
                      <w:kern w:val="0"/>
                    </w:rPr>
                  </w:pPr>
                  <w:r>
                    <w:rPr>
                      <w:rFonts w:hint="eastAsia" w:eastAsia="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eastAsia="仿宋_GB2312"/>
                      <w:kern w:val="0"/>
                    </w:rPr>
                  </w:pPr>
                  <w:r>
                    <w:rPr>
                      <w:rFonts w:hint="eastAsia" w:eastAsia="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eastAsia="仿宋_GB2312"/>
                      <w:kern w:val="0"/>
                    </w:rPr>
                  </w:pPr>
                  <w:r>
                    <w:rPr>
                      <w:rFonts w:hint="eastAsia" w:eastAsia="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rPr>
                  </w:pPr>
                  <w:r>
                    <w:rPr>
                      <w:rFonts w:hint="eastAsia" w:eastAsia="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rPr>
                  </w:pPr>
                  <w:r>
                    <w:rPr>
                      <w:rFonts w:hint="eastAsia" w:eastAsia="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rPr>
                  </w:pPr>
                  <w:r>
                    <w:rPr>
                      <w:rFonts w:hint="eastAsia" w:eastAsia="仿宋_GB2312"/>
                      <w:kern w:val="0"/>
                    </w:rPr>
                    <w:t>公务</w:t>
                  </w:r>
                </w:p>
                <w:p>
                  <w:pPr>
                    <w:widowControl/>
                    <w:jc w:val="center"/>
                    <w:rPr>
                      <w:rFonts w:eastAsia="仿宋_GB2312"/>
                      <w:kern w:val="0"/>
                    </w:rPr>
                  </w:pPr>
                  <w:r>
                    <w:rPr>
                      <w:rFonts w:hint="eastAsia" w:eastAsia="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eastAsia="仿宋_GB2312"/>
                      <w:kern w:val="0"/>
                    </w:rPr>
                  </w:pPr>
                  <w:r>
                    <w:rPr>
                      <w:rFonts w:hint="eastAsia" w:eastAsia="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eastAsia="仿宋_GB2312"/>
                      <w:kern w:val="0"/>
                    </w:rPr>
                  </w:pPr>
                  <w:r>
                    <w:rPr>
                      <w:rFonts w:hint="eastAsia" w:eastAsia="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rPr>
                  </w:pPr>
                  <w:r>
                    <w:rPr>
                      <w:rFonts w:hint="eastAsia" w:eastAsia="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eastAsia="仿宋_GB2312"/>
                      <w:kern w:val="0"/>
                    </w:rPr>
                  </w:pPr>
                  <w:r>
                    <w:rPr>
                      <w:rFonts w:hint="eastAsia" w:eastAsia="仿宋_GB2312"/>
                      <w:kern w:val="0"/>
                    </w:rPr>
                    <w:t>公务</w:t>
                  </w:r>
                </w:p>
                <w:p>
                  <w:pPr>
                    <w:widowControl/>
                    <w:jc w:val="center"/>
                    <w:rPr>
                      <w:rFonts w:eastAsia="仿宋_GB2312"/>
                      <w:kern w:val="0"/>
                    </w:rPr>
                  </w:pPr>
                  <w:r>
                    <w:rPr>
                      <w:rFonts w:hint="eastAsia" w:eastAsia="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eastAsia="仿宋_GB2312"/>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rPr>
                  </w:pP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hint="eastAsia" w:eastAsia="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eastAsia="仿宋_GB2312"/>
                      <w:kern w:val="0"/>
                      <w:lang w:eastAsia="zh-CN"/>
                    </w:rPr>
                  </w:pPr>
                  <w:r>
                    <w:rPr>
                      <w:rFonts w:hint="eastAsia" w:eastAsia="仿宋_GB2312"/>
                      <w:kern w:val="0"/>
                    </w:rPr>
                    <w:t>公务用车</w:t>
                  </w:r>
                </w:p>
                <w:p>
                  <w:pPr>
                    <w:widowControl/>
                    <w:jc w:val="center"/>
                    <w:rPr>
                      <w:rFonts w:eastAsia="仿宋_GB2312"/>
                      <w:kern w:val="0"/>
                    </w:rPr>
                  </w:pPr>
                  <w:r>
                    <w:rPr>
                      <w:rFonts w:hint="eastAsia" w:eastAsia="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eastAsia="仿宋_GB2312"/>
                      <w:kern w:val="0"/>
                      <w:lang w:eastAsia="zh-CN"/>
                    </w:rPr>
                  </w:pPr>
                  <w:r>
                    <w:rPr>
                      <w:rFonts w:hint="eastAsia" w:eastAsia="仿宋_GB2312"/>
                      <w:kern w:val="0"/>
                    </w:rPr>
                    <w:t>公务用车</w:t>
                  </w:r>
                </w:p>
                <w:p>
                  <w:pPr>
                    <w:widowControl/>
                    <w:jc w:val="center"/>
                    <w:rPr>
                      <w:rFonts w:eastAsia="仿宋_GB2312"/>
                      <w:kern w:val="0"/>
                    </w:rPr>
                  </w:pPr>
                  <w:r>
                    <w:rPr>
                      <w:rFonts w:hint="eastAsia" w:eastAsia="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eastAsia="仿宋_GB2312"/>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kern w:val="0"/>
                    </w:rPr>
                  </w:pP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hint="eastAsia" w:eastAsia="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eastAsia="仿宋_GB2312"/>
                      <w:kern w:val="0"/>
                      <w:lang w:eastAsia="zh-CN"/>
                    </w:rPr>
                  </w:pPr>
                  <w:r>
                    <w:rPr>
                      <w:rFonts w:hint="eastAsia" w:eastAsia="仿宋_GB2312"/>
                      <w:kern w:val="0"/>
                    </w:rPr>
                    <w:t>公务用车</w:t>
                  </w:r>
                </w:p>
                <w:p>
                  <w:pPr>
                    <w:widowControl/>
                    <w:jc w:val="center"/>
                    <w:rPr>
                      <w:rFonts w:eastAsia="仿宋_GB2312"/>
                      <w:kern w:val="0"/>
                    </w:rPr>
                  </w:pPr>
                  <w:r>
                    <w:rPr>
                      <w:rFonts w:hint="eastAsia" w:eastAsia="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eastAsia="仿宋_GB2312"/>
                      <w:kern w:val="0"/>
                      <w:lang w:eastAsia="zh-CN"/>
                    </w:rPr>
                  </w:pPr>
                  <w:r>
                    <w:rPr>
                      <w:rFonts w:hint="eastAsia" w:eastAsia="仿宋_GB2312"/>
                      <w:kern w:val="0"/>
                    </w:rPr>
                    <w:t>公务用车</w:t>
                  </w:r>
                </w:p>
                <w:p>
                  <w:pPr>
                    <w:widowControl/>
                    <w:jc w:val="center"/>
                    <w:rPr>
                      <w:rFonts w:eastAsia="仿宋_GB2312"/>
                      <w:kern w:val="0"/>
                    </w:rPr>
                  </w:pPr>
                  <w:r>
                    <w:rPr>
                      <w:rFonts w:hint="eastAsia" w:eastAsia="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eastAsia="仿宋_GB2312"/>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eastAsia="仿宋_GB2312"/>
                      <w:kern w:val="0"/>
                    </w:rPr>
                  </w:pPr>
                  <w:r>
                    <w:rPr>
                      <w:rFonts w:eastAsia="仿宋_GB2312"/>
                      <w:kern w:val="0"/>
                    </w:rPr>
                    <w:t>1</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2</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3</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4</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5</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6</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7</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8</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9</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10</w:t>
                  </w:r>
                </w:p>
              </w:tc>
              <w:tc>
                <w:tcPr>
                  <w:tcW w:w="1220" w:type="dxa"/>
                  <w:tcBorders>
                    <w:top w:val="nil"/>
                    <w:left w:val="nil"/>
                    <w:bottom w:val="single" w:color="auto" w:sz="4" w:space="0"/>
                    <w:right w:val="single" w:color="auto" w:sz="4" w:space="0"/>
                  </w:tcBorders>
                  <w:vAlign w:val="center"/>
                </w:tcPr>
                <w:p>
                  <w:pPr>
                    <w:widowControl/>
                    <w:jc w:val="center"/>
                    <w:rPr>
                      <w:rFonts w:eastAsia="仿宋_GB2312"/>
                      <w:kern w:val="0"/>
                    </w:rPr>
                  </w:pPr>
                  <w:r>
                    <w:rPr>
                      <w:rFonts w:eastAsia="仿宋_GB2312"/>
                      <w:kern w:val="0"/>
                    </w:rPr>
                    <w:t>11</w:t>
                  </w:r>
                </w:p>
              </w:tc>
              <w:tc>
                <w:tcPr>
                  <w:tcW w:w="1220" w:type="dxa"/>
                  <w:tcBorders>
                    <w:top w:val="nil"/>
                    <w:left w:val="nil"/>
                    <w:bottom w:val="single" w:color="auto" w:sz="4" w:space="0"/>
                    <w:right w:val="single" w:color="auto" w:sz="8" w:space="0"/>
                  </w:tcBorders>
                  <w:vAlign w:val="center"/>
                </w:tcPr>
                <w:p>
                  <w:pPr>
                    <w:widowControl/>
                    <w:jc w:val="center"/>
                    <w:rPr>
                      <w:rFonts w:eastAsia="仿宋_GB2312"/>
                      <w:kern w:val="0"/>
                    </w:rPr>
                  </w:pPr>
                  <w:r>
                    <w:rPr>
                      <w:rFonts w:eastAsia="仿宋_GB2312"/>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21.10</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12.00</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12.00</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9.10</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32.06</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p>
              </w:tc>
              <w:tc>
                <w:tcPr>
                  <w:tcW w:w="1220" w:type="dxa"/>
                  <w:tcBorders>
                    <w:top w:val="nil"/>
                    <w:left w:val="nil"/>
                    <w:bottom w:val="single" w:color="auto" w:sz="8" w:space="0"/>
                    <w:right w:val="single" w:color="auto" w:sz="4"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　</w:t>
                  </w:r>
                </w:p>
              </w:tc>
              <w:tc>
                <w:tcPr>
                  <w:tcW w:w="1220" w:type="dxa"/>
                  <w:tcBorders>
                    <w:top w:val="nil"/>
                    <w:left w:val="nil"/>
                    <w:bottom w:val="single" w:color="auto" w:sz="8" w:space="0"/>
                    <w:right w:val="nil"/>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30.44</w:t>
                  </w:r>
                </w:p>
              </w:tc>
              <w:tc>
                <w:tcPr>
                  <w:tcW w:w="1220" w:type="dxa"/>
                  <w:tcBorders>
                    <w:top w:val="nil"/>
                    <w:left w:val="single" w:color="auto" w:sz="4" w:space="0"/>
                    <w:bottom w:val="single" w:color="auto" w:sz="8" w:space="0"/>
                    <w:right w:val="single" w:color="auto" w:sz="8" w:space="0"/>
                  </w:tcBorders>
                  <w:vAlign w:val="center"/>
                </w:tcPr>
                <w:p>
                  <w:pPr>
                    <w:widowControl/>
                    <w:jc w:val="right"/>
                    <w:rPr>
                      <w:rFonts w:ascii="仿宋" w:hAnsi="仿宋" w:eastAsia="仿宋" w:cs="仿宋"/>
                      <w:kern w:val="0"/>
                      <w:szCs w:val="21"/>
                    </w:rPr>
                  </w:pPr>
                  <w:r>
                    <w:rPr>
                      <w:rFonts w:hint="eastAsia" w:ascii="仿宋" w:hAnsi="仿宋" w:eastAsia="仿宋" w:cs="仿宋"/>
                      <w:kern w:val="0"/>
                      <w:szCs w:val="21"/>
                    </w:rPr>
                    <w:t>1.62　</w:t>
                  </w:r>
                </w:p>
              </w:tc>
            </w:tr>
          </w:tbl>
          <w:p>
            <w:pPr>
              <w:autoSpaceDE w:val="0"/>
              <w:autoSpaceDN w:val="0"/>
              <w:adjustRightInd w:val="0"/>
              <w:ind w:left="315" w:leftChars="150"/>
              <w:jc w:val="left"/>
              <w:rPr>
                <w:rFonts w:ascii="仿宋_GB2312" w:hAnsi="仿宋_GB2312" w:eastAsia="仿宋_GB2312" w:cs="仿宋_GB2312"/>
                <w:kern w:val="0"/>
                <w:szCs w:val="21"/>
              </w:rPr>
            </w:pPr>
            <w:r>
              <w:rPr>
                <w:rFonts w:hint="eastAsia" w:ascii="仿宋_GB2312" w:hAnsi="仿宋_GB2312" w:eastAsia="仿宋_GB2312" w:cs="仿宋_GB2312"/>
                <w:kern w:val="0"/>
                <w:szCs w:val="21"/>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textAlignment w:val="bottom"/>
              <w:rPr>
                <w:rFonts w:ascii="宋体" w:hAnsi="宋体" w:eastAsia="宋体" w:cs="宋体"/>
                <w:color w:val="000000"/>
                <w:kern w:val="0"/>
                <w:sz w:val="44"/>
                <w:szCs w:val="44"/>
                <w:lang w:bidi="ar"/>
              </w:rPr>
            </w:pPr>
          </w:p>
          <w:p>
            <w:pPr>
              <w:widowControl/>
              <w:textAlignment w:val="bottom"/>
              <w:rPr>
                <w:rFonts w:ascii="宋体" w:hAnsi="宋体" w:eastAsia="宋体" w:cs="宋体"/>
                <w:color w:val="000000"/>
                <w:kern w:val="0"/>
                <w:sz w:val="44"/>
                <w:szCs w:val="44"/>
                <w:lang w:bidi="ar"/>
              </w:rPr>
            </w:pPr>
          </w:p>
          <w:p>
            <w:pPr>
              <w:widowControl/>
              <w:jc w:val="center"/>
              <w:textAlignment w:val="bottom"/>
              <w:rPr>
                <w:rFonts w:ascii="宋体" w:hAnsi="宋体" w:eastAsia="宋体" w:cs="宋体"/>
                <w:color w:val="000000"/>
                <w:kern w:val="0"/>
                <w:sz w:val="44"/>
                <w:szCs w:val="44"/>
                <w:lang w:bidi="ar"/>
              </w:rPr>
            </w:pPr>
          </w:p>
          <w:p>
            <w:pPr>
              <w:widowControl/>
              <w:jc w:val="center"/>
              <w:rPr>
                <w:rFonts w:ascii="宋体" w:hAnsi="宋体" w:eastAsia="宋体" w:cs="宋体"/>
                <w:color w:val="000000"/>
                <w:sz w:val="44"/>
                <w:szCs w:val="44"/>
              </w:rPr>
            </w:pPr>
            <w:r>
              <w:rPr>
                <w:rFonts w:hint="eastAsia" w:eastAsia="方正小标宋_GBK"/>
                <w:kern w:val="0"/>
                <w:sz w:val="36"/>
                <w:szCs w:val="36"/>
              </w:rPr>
              <w:t>政府性基金预算财政拨款收入支出决算表</w:t>
            </w:r>
          </w:p>
        </w:tc>
      </w:tr>
      <w:tr>
        <w:tblPrEx>
          <w:tblCellMar>
            <w:top w:w="0" w:type="dxa"/>
            <w:left w:w="108" w:type="dxa"/>
            <w:bottom w:w="0" w:type="dxa"/>
            <w:right w:w="108" w:type="dxa"/>
          </w:tblCellMar>
        </w:tblPrEx>
        <w:trPr>
          <w:trHeight w:val="285" w:hRule="atLeast"/>
        </w:trPr>
        <w:tc>
          <w:tcPr>
            <w:tcW w:w="67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38"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4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22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8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8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0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01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5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5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750"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财决08表</w:t>
            </w:r>
          </w:p>
        </w:tc>
      </w:tr>
      <w:tr>
        <w:tblPrEx>
          <w:tblCellMar>
            <w:top w:w="0" w:type="dxa"/>
            <w:left w:w="108" w:type="dxa"/>
            <w:bottom w:w="0" w:type="dxa"/>
            <w:right w:w="108" w:type="dxa"/>
          </w:tblCellMar>
        </w:tblPrEx>
        <w:trPr>
          <w:trHeight w:val="285" w:hRule="atLeast"/>
        </w:trPr>
        <w:tc>
          <w:tcPr>
            <w:tcW w:w="5576" w:type="dxa"/>
            <w:gridSpan w:val="5"/>
            <w:tcBorders>
              <w:top w:val="nil"/>
              <w:left w:val="nil"/>
              <w:bottom w:val="nil"/>
              <w:right w:val="nil"/>
            </w:tcBorders>
            <w:shd w:val="clear" w:color="auto" w:fill="auto"/>
            <w:noWrap/>
            <w:vAlign w:val="bottom"/>
          </w:tcPr>
          <w:p>
            <w:pPr>
              <w:rPr>
                <w:rFonts w:ascii="Arial" w:hAnsi="Arial" w:cs="Arial"/>
                <w:color w:val="000000"/>
                <w:sz w:val="20"/>
                <w:szCs w:val="20"/>
              </w:rPr>
            </w:pPr>
            <w:r>
              <w:rPr>
                <w:rFonts w:hint="eastAsia" w:ascii="宋体" w:hAnsi="宋体" w:eastAsia="宋体" w:cs="宋体"/>
                <w:color w:val="000000"/>
                <w:kern w:val="0"/>
                <w:sz w:val="24"/>
                <w:lang w:bidi="ar"/>
              </w:rPr>
              <w:t>编制单位：湘潭县民政局</w:t>
            </w:r>
          </w:p>
        </w:tc>
        <w:tc>
          <w:tcPr>
            <w:tcW w:w="98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8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213" w:type="dxa"/>
            <w:gridSpan w:val="2"/>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4"/>
              </w:rPr>
            </w:pPr>
            <w:r>
              <w:rPr>
                <w:rFonts w:hint="eastAsia" w:ascii="宋体" w:hAnsi="宋体" w:eastAsia="宋体" w:cs="宋体"/>
                <w:color w:val="000000"/>
                <w:kern w:val="0"/>
                <w:sz w:val="24"/>
                <w:lang w:bidi="ar"/>
              </w:rPr>
              <w:t>2018年度</w:t>
            </w:r>
          </w:p>
        </w:tc>
        <w:tc>
          <w:tcPr>
            <w:tcW w:w="75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5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750"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4"/>
              </w:rPr>
            </w:pPr>
            <w:r>
              <w:rPr>
                <w:rFonts w:hint="eastAsia" w:ascii="宋体" w:hAnsi="宋体" w:eastAsia="宋体" w:cs="宋体"/>
                <w:color w:val="000000"/>
                <w:kern w:val="0"/>
                <w:sz w:val="24"/>
                <w:lang w:bidi="ar"/>
              </w:rPr>
              <w:t>金额单位：万元</w:t>
            </w:r>
          </w:p>
        </w:tc>
      </w:tr>
      <w:tr>
        <w:tblPrEx>
          <w:tblCellMar>
            <w:top w:w="0" w:type="dxa"/>
            <w:left w:w="108" w:type="dxa"/>
            <w:bottom w:w="0" w:type="dxa"/>
            <w:right w:w="108" w:type="dxa"/>
          </w:tblCellMar>
        </w:tblPrEx>
        <w:trPr>
          <w:trHeight w:val="308" w:hRule="atLeast"/>
        </w:trPr>
        <w:tc>
          <w:tcPr>
            <w:tcW w:w="5576" w:type="dxa"/>
            <w:gridSpan w:val="5"/>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w:t>
            </w:r>
          </w:p>
        </w:tc>
        <w:tc>
          <w:tcPr>
            <w:tcW w:w="3375"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本年收入</w:t>
            </w:r>
          </w:p>
        </w:tc>
        <w:tc>
          <w:tcPr>
            <w:tcW w:w="5663" w:type="dxa"/>
            <w:gridSpan w:val="5"/>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本年支出</w:t>
            </w:r>
          </w:p>
        </w:tc>
      </w:tr>
      <w:tr>
        <w:tblPrEx>
          <w:tblCellMar>
            <w:top w:w="0" w:type="dxa"/>
            <w:left w:w="108" w:type="dxa"/>
            <w:bottom w:w="0" w:type="dxa"/>
            <w:right w:w="108" w:type="dxa"/>
          </w:tblCellMar>
        </w:tblPrEx>
        <w:trPr>
          <w:trHeight w:val="308" w:hRule="atLeast"/>
        </w:trPr>
        <w:tc>
          <w:tcPr>
            <w:tcW w:w="2354" w:type="dxa"/>
            <w:gridSpan w:val="4"/>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支出功能分类科目编码</w:t>
            </w:r>
          </w:p>
        </w:tc>
        <w:tc>
          <w:tcPr>
            <w:tcW w:w="3222"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科目名称</w:t>
            </w:r>
          </w:p>
        </w:tc>
        <w:tc>
          <w:tcPr>
            <w:tcW w:w="988"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118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基本支出</w:t>
            </w:r>
          </w:p>
        </w:tc>
        <w:tc>
          <w:tcPr>
            <w:tcW w:w="120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项目支出</w:t>
            </w:r>
          </w:p>
        </w:tc>
        <w:tc>
          <w:tcPr>
            <w:tcW w:w="1013"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3450" w:type="dxa"/>
            <w:gridSpan w:val="3"/>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基本支出</w:t>
            </w:r>
          </w:p>
        </w:tc>
        <w:tc>
          <w:tcPr>
            <w:tcW w:w="120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项目支出</w:t>
            </w:r>
          </w:p>
        </w:tc>
      </w:tr>
      <w:tr>
        <w:tblPrEx>
          <w:tblCellMar>
            <w:top w:w="0" w:type="dxa"/>
            <w:left w:w="108" w:type="dxa"/>
            <w:bottom w:w="0" w:type="dxa"/>
            <w:right w:w="108" w:type="dxa"/>
          </w:tblCellMar>
        </w:tblPrEx>
        <w:trPr>
          <w:trHeight w:val="312" w:hRule="atLeast"/>
        </w:trPr>
        <w:tc>
          <w:tcPr>
            <w:tcW w:w="2354" w:type="dxa"/>
            <w:gridSpan w:val="4"/>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322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988"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18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0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013"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7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小计</w:t>
            </w:r>
          </w:p>
        </w:tc>
        <w:tc>
          <w:tcPr>
            <w:tcW w:w="11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人员经费</w:t>
            </w:r>
          </w:p>
        </w:tc>
        <w:tc>
          <w:tcPr>
            <w:tcW w:w="15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日常公用经费</w:t>
            </w:r>
          </w:p>
        </w:tc>
        <w:tc>
          <w:tcPr>
            <w:tcW w:w="120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829" w:hRule="atLeast"/>
        </w:trPr>
        <w:tc>
          <w:tcPr>
            <w:tcW w:w="2354" w:type="dxa"/>
            <w:gridSpan w:val="4"/>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322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988"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18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0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013"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7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1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5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120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308" w:hRule="atLeast"/>
        </w:trPr>
        <w:tc>
          <w:tcPr>
            <w:tcW w:w="67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类</w:t>
            </w:r>
          </w:p>
        </w:tc>
        <w:tc>
          <w:tcPr>
            <w:tcW w:w="7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款</w:t>
            </w:r>
          </w:p>
        </w:tc>
        <w:tc>
          <w:tcPr>
            <w:tcW w:w="928"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项</w:t>
            </w:r>
          </w:p>
        </w:tc>
        <w:tc>
          <w:tcPr>
            <w:tcW w:w="3222"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栏次</w:t>
            </w:r>
          </w:p>
        </w:tc>
        <w:tc>
          <w:tcPr>
            <w:tcW w:w="988"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18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20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013"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75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15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55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20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r>
      <w:tr>
        <w:tblPrEx>
          <w:tblCellMar>
            <w:top w:w="0" w:type="dxa"/>
            <w:left w:w="108" w:type="dxa"/>
            <w:bottom w:w="0" w:type="dxa"/>
            <w:right w:w="108" w:type="dxa"/>
          </w:tblCellMar>
        </w:tblPrEx>
        <w:trPr>
          <w:trHeight w:val="308" w:hRule="atLeast"/>
        </w:trPr>
        <w:tc>
          <w:tcPr>
            <w:tcW w:w="676"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7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928"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eastAsia="宋体" w:cs="宋体"/>
                <w:color w:val="000000"/>
                <w:sz w:val="22"/>
                <w:szCs w:val="22"/>
              </w:rPr>
            </w:pPr>
          </w:p>
        </w:tc>
        <w:tc>
          <w:tcPr>
            <w:tcW w:w="3222" w:type="dxa"/>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9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18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01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7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r>
      <w:tr>
        <w:tblPrEx>
          <w:tblCellMar>
            <w:top w:w="0" w:type="dxa"/>
            <w:left w:w="108" w:type="dxa"/>
            <w:bottom w:w="0" w:type="dxa"/>
            <w:right w:w="108" w:type="dxa"/>
          </w:tblCellMar>
        </w:tblPrEx>
        <w:trPr>
          <w:trHeight w:val="308" w:hRule="atLeast"/>
        </w:trPr>
        <w:tc>
          <w:tcPr>
            <w:tcW w:w="2354"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w:t>
            </w:r>
          </w:p>
        </w:tc>
        <w:tc>
          <w:tcPr>
            <w:tcW w:w="322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其他支出</w:t>
            </w:r>
          </w:p>
        </w:tc>
        <w:tc>
          <w:tcPr>
            <w:tcW w:w="9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18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01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7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r>
      <w:tr>
        <w:tblPrEx>
          <w:tblCellMar>
            <w:top w:w="0" w:type="dxa"/>
            <w:left w:w="108" w:type="dxa"/>
            <w:bottom w:w="0" w:type="dxa"/>
            <w:right w:w="108" w:type="dxa"/>
          </w:tblCellMar>
        </w:tblPrEx>
        <w:trPr>
          <w:trHeight w:val="308" w:hRule="atLeast"/>
        </w:trPr>
        <w:tc>
          <w:tcPr>
            <w:tcW w:w="2354"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22960</w:t>
            </w:r>
          </w:p>
        </w:tc>
        <w:tc>
          <w:tcPr>
            <w:tcW w:w="322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彩票公益金及对应专项债务收入安排的支出</w:t>
            </w:r>
          </w:p>
        </w:tc>
        <w:tc>
          <w:tcPr>
            <w:tcW w:w="9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18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01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7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r>
      <w:tr>
        <w:tblPrEx>
          <w:tblCellMar>
            <w:top w:w="0" w:type="dxa"/>
            <w:left w:w="108" w:type="dxa"/>
            <w:bottom w:w="0" w:type="dxa"/>
            <w:right w:w="108" w:type="dxa"/>
          </w:tblCellMar>
        </w:tblPrEx>
        <w:trPr>
          <w:trHeight w:val="308" w:hRule="atLeast"/>
        </w:trPr>
        <w:tc>
          <w:tcPr>
            <w:tcW w:w="2354"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2296002</w:t>
            </w:r>
          </w:p>
        </w:tc>
        <w:tc>
          <w:tcPr>
            <w:tcW w:w="322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 xml:space="preserve">  用于社会福利的彩票公益金支出</w:t>
            </w:r>
          </w:p>
        </w:tc>
        <w:tc>
          <w:tcPr>
            <w:tcW w:w="9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18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101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c>
          <w:tcPr>
            <w:tcW w:w="7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1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0.00</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903.62</w:t>
            </w:r>
          </w:p>
        </w:tc>
      </w:tr>
    </w:tbl>
    <w:p>
      <w:pPr>
        <w:rPr>
          <w:rFonts w:ascii="宋体" w:hAnsi="宋体" w:eastAsia="宋体" w:cs="宋体"/>
          <w:color w:val="333333"/>
          <w:sz w:val="24"/>
          <w:shd w:val="clear" w:color="auto" w:fill="FFFFFF"/>
        </w:rPr>
        <w:sectPr>
          <w:pgSz w:w="16838" w:h="11906" w:orient="landscape"/>
          <w:pgMar w:top="980" w:right="1440" w:bottom="1800" w:left="1440" w:header="851" w:footer="992" w:gutter="0"/>
          <w:cols w:space="425" w:num="1"/>
          <w:docGrid w:type="lines" w:linePitch="312" w:charSpace="0"/>
        </w:sectPr>
      </w:pPr>
      <w:r>
        <w:rPr>
          <w:rFonts w:hint="eastAsia" w:ascii="仿宋_GB2312" w:hAnsi="仿宋_GB2312" w:eastAsia="仿宋_GB2312" w:cs="仿宋_GB2312"/>
        </w:rPr>
        <w:br w:type="page"/>
      </w:r>
    </w:p>
    <w:p>
      <w:pPr>
        <w:widowControl/>
        <w:numPr>
          <w:ilvl w:val="0"/>
          <w:numId w:val="1"/>
        </w:numPr>
        <w:shd w:val="clear" w:color="auto" w:fill="FFFFFF"/>
        <w:spacing w:before="225" w:line="510" w:lineRule="atLeast"/>
        <w:jc w:val="center"/>
        <w:rPr>
          <w:rFonts w:hint="eastAsia" w:ascii="宋体" w:hAnsi="宋体" w:cs="宋体"/>
          <w:b/>
          <w:bCs/>
          <w:color w:val="333333"/>
          <w:kern w:val="0"/>
          <w:sz w:val="36"/>
          <w:szCs w:val="36"/>
        </w:rPr>
      </w:pPr>
      <w:r>
        <w:rPr>
          <w:rFonts w:hint="eastAsia" w:ascii="宋体" w:hAnsi="宋体" w:eastAsia="宋体" w:cs="宋体"/>
          <w:color w:val="333333"/>
          <w:sz w:val="24"/>
          <w:shd w:val="clear" w:color="auto" w:fill="FFFFFF"/>
        </w:rPr>
        <w:t> </w:t>
      </w:r>
      <w:r>
        <w:rPr>
          <w:rFonts w:hint="eastAsia" w:ascii="宋体" w:hAnsi="宋体" w:cs="宋体"/>
          <w:b/>
          <w:bCs/>
          <w:color w:val="333333"/>
          <w:kern w:val="0"/>
          <w:sz w:val="36"/>
          <w:szCs w:val="36"/>
        </w:rPr>
        <w:t>201</w:t>
      </w:r>
      <w:r>
        <w:rPr>
          <w:rFonts w:hint="eastAsia" w:ascii="宋体" w:hAnsi="宋体" w:cs="宋体"/>
          <w:b/>
          <w:bCs/>
          <w:color w:val="333333"/>
          <w:kern w:val="0"/>
          <w:sz w:val="36"/>
          <w:szCs w:val="36"/>
          <w:lang w:val="en-US" w:eastAsia="zh-CN"/>
        </w:rPr>
        <w:t>8</w:t>
      </w:r>
      <w:r>
        <w:rPr>
          <w:rFonts w:hint="eastAsia" w:ascii="宋体" w:hAnsi="宋体" w:cs="宋体"/>
          <w:b/>
          <w:bCs/>
          <w:color w:val="333333"/>
          <w:kern w:val="0"/>
          <w:sz w:val="36"/>
          <w:szCs w:val="36"/>
        </w:rPr>
        <w:t>年度部门决算情况说明</w:t>
      </w:r>
    </w:p>
    <w:p>
      <w:pPr>
        <w:rPr>
          <w:rFonts w:ascii="宋体" w:hAnsi="宋体" w:eastAsia="宋体" w:cs="宋体"/>
          <w:color w:val="333333"/>
          <w:sz w:val="24"/>
        </w:rPr>
      </w:pP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一、收入支出决算总体情况说明</w:t>
      </w:r>
    </w:p>
    <w:p>
      <w:pPr>
        <w:spacing w:line="360" w:lineRule="auto"/>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收入共计27194.38万元，其中财政拨款24286.27万元（含政府性基金预算财政拨款903.62万元），其他收入2908.11万元。与上年收入相比，本年收入增加3413.89万元，增加率为14.36%；其中财政拨款比上年增加1587.38万元，增加率为7.28%。其主要是因为财政拨款收入中临时救助、城乡特困人员供养收入等增加。</w:t>
      </w:r>
    </w:p>
    <w:p>
      <w:pPr>
        <w:spacing w:line="360" w:lineRule="auto"/>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2018年支出共计27199.19万元，其中基本支出1335.43万元、项目支出25863.76万元。比2017年支出增加3422.13万元，增加率为14.39%；其中基本支出减少1029.14万元，减少43.52%；项目支出增加4451.27万元，增加率为20.79%。其中：</w:t>
      </w:r>
      <w:r>
        <w:rPr>
          <w:rFonts w:hint="eastAsia" w:ascii="仿宋_GB2312" w:hAnsi="仿宋_GB2312" w:eastAsia="仿宋_GB2312" w:cs="仿宋_GB2312"/>
          <w:color w:val="333333"/>
          <w:kern w:val="0"/>
          <w:sz w:val="32"/>
          <w:szCs w:val="32"/>
          <w:lang w:val="en-US" w:eastAsia="zh-CN" w:bidi="ar-SA"/>
        </w:rPr>
        <w:fldChar w:fldCharType="begin"/>
      </w:r>
      <w:r>
        <w:rPr>
          <w:rFonts w:hint="eastAsia" w:ascii="仿宋_GB2312" w:hAnsi="仿宋_GB2312" w:eastAsia="仿宋_GB2312" w:cs="仿宋_GB2312"/>
          <w:color w:val="333333"/>
          <w:kern w:val="0"/>
          <w:sz w:val="32"/>
          <w:szCs w:val="32"/>
          <w:lang w:val="en-US" w:eastAsia="zh-CN" w:bidi="ar-SA"/>
        </w:rPr>
        <w:instrText xml:space="preserve"> = 1 \* GB2 </w:instrText>
      </w:r>
      <w:r>
        <w:rPr>
          <w:rFonts w:hint="eastAsia" w:ascii="仿宋_GB2312" w:hAnsi="仿宋_GB2312" w:eastAsia="仿宋_GB2312" w:cs="仿宋_GB2312"/>
          <w:color w:val="333333"/>
          <w:kern w:val="0"/>
          <w:sz w:val="32"/>
          <w:szCs w:val="32"/>
          <w:lang w:val="en-US" w:eastAsia="zh-CN" w:bidi="ar-SA"/>
        </w:rPr>
        <w:fldChar w:fldCharType="separate"/>
      </w:r>
      <w:r>
        <w:rPr>
          <w:rFonts w:hint="eastAsia" w:ascii="仿宋_GB2312" w:hAnsi="仿宋_GB2312" w:eastAsia="仿宋_GB2312" w:cs="仿宋_GB2312"/>
          <w:color w:val="333333"/>
          <w:kern w:val="0"/>
          <w:sz w:val="32"/>
          <w:szCs w:val="32"/>
          <w:lang w:val="en-US" w:eastAsia="zh-CN" w:bidi="ar-SA"/>
        </w:rPr>
        <w:t>⑴</w:t>
      </w:r>
      <w:r>
        <w:rPr>
          <w:rFonts w:hint="eastAsia" w:ascii="仿宋_GB2312" w:hAnsi="仿宋_GB2312" w:eastAsia="仿宋_GB2312" w:cs="仿宋_GB2312"/>
          <w:color w:val="333333"/>
          <w:kern w:val="0"/>
          <w:sz w:val="32"/>
          <w:szCs w:val="32"/>
          <w:lang w:val="en-US" w:eastAsia="zh-CN" w:bidi="ar-SA"/>
        </w:rPr>
        <w:fldChar w:fldCharType="end"/>
      </w:r>
      <w:r>
        <w:rPr>
          <w:rFonts w:hint="eastAsia" w:ascii="仿宋_GB2312" w:hAnsi="仿宋_GB2312" w:eastAsia="仿宋_GB2312" w:cs="仿宋_GB2312"/>
          <w:color w:val="333333"/>
          <w:kern w:val="0"/>
          <w:sz w:val="32"/>
          <w:szCs w:val="32"/>
          <w:lang w:val="en-US" w:eastAsia="zh-CN" w:bidi="ar-SA"/>
        </w:rPr>
        <w:t xml:space="preserve">退伍军人教育培训费增加70万元支出。 </w:t>
      </w:r>
      <w:r>
        <w:rPr>
          <w:rFonts w:hint="eastAsia" w:ascii="仿宋_GB2312" w:hAnsi="仿宋_GB2312" w:eastAsia="仿宋_GB2312" w:cs="仿宋_GB2312"/>
          <w:color w:val="333333"/>
          <w:kern w:val="0"/>
          <w:sz w:val="32"/>
          <w:szCs w:val="32"/>
          <w:lang w:val="en-US" w:eastAsia="zh-CN" w:bidi="ar-SA"/>
        </w:rPr>
        <w:fldChar w:fldCharType="begin"/>
      </w:r>
      <w:r>
        <w:rPr>
          <w:rFonts w:hint="eastAsia" w:ascii="仿宋_GB2312" w:hAnsi="仿宋_GB2312" w:eastAsia="仿宋_GB2312" w:cs="仿宋_GB2312"/>
          <w:color w:val="333333"/>
          <w:kern w:val="0"/>
          <w:sz w:val="32"/>
          <w:szCs w:val="32"/>
          <w:lang w:val="en-US" w:eastAsia="zh-CN" w:bidi="ar-SA"/>
        </w:rPr>
        <w:instrText xml:space="preserve"> = 2 \* GB2 </w:instrText>
      </w:r>
      <w:r>
        <w:rPr>
          <w:rFonts w:hint="eastAsia" w:ascii="仿宋_GB2312" w:hAnsi="仿宋_GB2312" w:eastAsia="仿宋_GB2312" w:cs="仿宋_GB2312"/>
          <w:color w:val="333333"/>
          <w:kern w:val="0"/>
          <w:sz w:val="32"/>
          <w:szCs w:val="32"/>
          <w:lang w:val="en-US" w:eastAsia="zh-CN" w:bidi="ar-SA"/>
        </w:rPr>
        <w:fldChar w:fldCharType="separate"/>
      </w:r>
      <w:r>
        <w:rPr>
          <w:rFonts w:hint="eastAsia" w:ascii="仿宋_GB2312" w:hAnsi="仿宋_GB2312" w:eastAsia="仿宋_GB2312" w:cs="仿宋_GB2312"/>
          <w:color w:val="333333"/>
          <w:kern w:val="0"/>
          <w:sz w:val="32"/>
          <w:szCs w:val="32"/>
          <w:lang w:val="en-US" w:eastAsia="zh-CN" w:bidi="ar-SA"/>
        </w:rPr>
        <w:t>⑵</w:t>
      </w:r>
      <w:r>
        <w:rPr>
          <w:rFonts w:hint="eastAsia" w:ascii="仿宋_GB2312" w:hAnsi="仿宋_GB2312" w:eastAsia="仿宋_GB2312" w:cs="仿宋_GB2312"/>
          <w:color w:val="333333"/>
          <w:kern w:val="0"/>
          <w:sz w:val="32"/>
          <w:szCs w:val="32"/>
          <w:lang w:val="en-US" w:eastAsia="zh-CN" w:bidi="ar-SA"/>
        </w:rPr>
        <w:fldChar w:fldCharType="end"/>
      </w:r>
      <w:r>
        <w:rPr>
          <w:rFonts w:hint="eastAsia" w:ascii="仿宋_GB2312" w:hAnsi="仿宋_GB2312" w:eastAsia="仿宋_GB2312" w:cs="仿宋_GB2312"/>
          <w:color w:val="333333"/>
          <w:kern w:val="0"/>
          <w:sz w:val="32"/>
          <w:szCs w:val="32"/>
          <w:lang w:val="en-US" w:eastAsia="zh-CN" w:bidi="ar-SA"/>
        </w:rPr>
        <w:t>特困人员供养生活费标准由5520元每人每年调标至7200元每人每年，增加2004.84万元支出。（3）临时救济相比上年增加支出1555.14万元。</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二、收入决算情况说明</w:t>
      </w:r>
    </w:p>
    <w:p>
      <w:pPr>
        <w:pStyle w:val="6"/>
        <w:widowControl/>
        <w:shd w:val="clear" w:color="auto" w:fill="FFFFFF"/>
        <w:spacing w:beforeAutospacing="0" w:afterAutospacing="0" w:line="360" w:lineRule="auto"/>
        <w:ind w:firstLine="640" w:firstLineChars="20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本年总收入27194.38万元：其中社会保障和就业支出25803.34万元，占总收入的94.88%；医疗卫生与计划生育支出461.42万元，占总收入的1.69%；农林水支出26万元，占总收入的0.01%；其他支出903.62万元，占总收入的3.32%。</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三、支出决算情况说明</w:t>
      </w:r>
    </w:p>
    <w:p>
      <w:pPr>
        <w:pStyle w:val="6"/>
        <w:widowControl/>
        <w:shd w:val="clear" w:color="auto" w:fill="FFFFFF"/>
        <w:spacing w:beforeAutospacing="0" w:afterAutospacing="0" w:line="360" w:lineRule="auto"/>
        <w:ind w:firstLine="640" w:firstLineChars="20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本年支出27199.19万元：其中社会保障和就业支出25808.15万元，占总收入的94.88%；医疗卫生与计划生育支出461.42万元，占总收入的1.7%；农林水支出26万元，占总收入的0.1%；其他支出903.62万元，占总收入的3.32%。</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四、财政拨款收入支出决算总体情况说明</w:t>
      </w:r>
    </w:p>
    <w:p>
      <w:pPr>
        <w:spacing w:line="360" w:lineRule="auto"/>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本单位财政拨款收入24286.27万元，财政拨款支出24286.27万元；2017年财政拨款22693.27万元。较2017年，2018年财政拨款增加了1592.99元，增加率为7.02%。财政拨款增加主要是：﹙1﹚临时救济增加了1500多万。主要是由于财政社保股从2017年下半年起未单独拨付城乡医疗救助资金，而是并入临时救助中，因此年终从临时救助支出中冲转城乡医疗救助。﹙2﹚城乡特困人员供养标准提高了30.43%，财政增拨资金2000多万。城市最低生活保障和农村最低生活保障的业务虽由我局管理，但城市最低生活保障金和农村最低生活保障金的发放由财政局社保股直接发放，所以这项收入支出没有体现在我局账务中。城乡医疗救助资金由财政社保股拨入我局在国库的结算户中，我局将此款放在其他应付款—城乡医疗救助款中核算,全年社保拨城乡救助款1601.60万元，支出1872.53万元，因此今年的其他应收款和其他应付款都比去年减少数百万。</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五、一般公共预算财政拨款支出决算情况说明</w:t>
      </w:r>
    </w:p>
    <w:p>
      <w:pPr>
        <w:pStyle w:val="9"/>
        <w:spacing w:line="560" w:lineRule="exact"/>
        <w:ind w:firstLine="643" w:firstLineChars="200"/>
        <w:rPr>
          <w:rFonts w:ascii="宋体" w:hAnsi="宋体" w:eastAsia="宋体" w:cs="宋体"/>
          <w:color w:val="333333"/>
        </w:rPr>
      </w:pPr>
      <w:r>
        <w:rPr>
          <w:rFonts w:hint="eastAsia" w:ascii="楷体_GB2312" w:hAnsi="楷体_GB2312" w:eastAsia="楷体_GB2312" w:cs="楷体_GB2312"/>
          <w:b/>
          <w:bCs/>
          <w:color w:val="333333"/>
          <w:sz w:val="32"/>
          <w:szCs w:val="32"/>
        </w:rPr>
        <w:t>（一）财政拨款支出决算总体情况</w:t>
      </w:r>
    </w:p>
    <w:p>
      <w:pPr>
        <w:spacing w:line="360" w:lineRule="auto"/>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一般公共预算财政拨款2018年支出23382.65万元，占本年支出合计的85.97%，2017年财政拨款支出21795.27万元，与2017年财政拨款相比增加1587.38万元，增加率为7.28%。其主要是因为特困人员供养生活费标准由5520元每人每年调标至7200元每人每年，增加2004.849万元支出。</w:t>
      </w:r>
    </w:p>
    <w:p>
      <w:pPr>
        <w:pStyle w:val="9"/>
        <w:spacing w:line="560" w:lineRule="exact"/>
        <w:ind w:firstLine="643" w:firstLineChars="200"/>
        <w:rPr>
          <w:rFonts w:ascii="宋体" w:hAnsi="宋体" w:eastAsia="宋体" w:cs="宋体"/>
          <w:color w:val="333333"/>
        </w:rPr>
      </w:pPr>
      <w:r>
        <w:rPr>
          <w:rFonts w:hint="eastAsia" w:ascii="楷体_GB2312" w:hAnsi="楷体_GB2312" w:eastAsia="楷体_GB2312" w:cs="楷体_GB2312"/>
          <w:b/>
          <w:bCs/>
          <w:color w:val="333333"/>
          <w:sz w:val="32"/>
          <w:szCs w:val="32"/>
        </w:rPr>
        <w:t>（二）财政拨款支出决算结构情况</w:t>
      </w:r>
    </w:p>
    <w:p>
      <w:pPr>
        <w:pStyle w:val="6"/>
        <w:widowControl/>
        <w:shd w:val="clear" w:color="auto" w:fill="FFFFFF"/>
        <w:spacing w:beforeAutospacing="0" w:afterAutospacing="0" w:line="360" w:lineRule="auto"/>
        <w:ind w:firstLine="640" w:firstLineChars="20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财政拨款本年支出决算数为23382.65万元。按支出性质的经济分类分，基本支出1031.14万元，占本年财政拨款支出4.41%，项目支出22351.51万元，占本年财政拨款支出95.59%。按功能分类分：其中社会保障和就业支出22895.24万元，占本年财政拨款支出97.91%；医疗卫生与计划生育支出461.42万元，占本年财政拨款支出1.97%；农林水支出26万元，占本年财政拨款支出0.11%。</w:t>
      </w:r>
    </w:p>
    <w:p>
      <w:pPr>
        <w:pStyle w:val="9"/>
        <w:spacing w:line="560" w:lineRule="exact"/>
        <w:ind w:firstLine="643" w:firstLineChars="200"/>
        <w:rPr>
          <w:rFonts w:hint="eastAsia" w:ascii="楷体_GB2312" w:hAnsi="楷体_GB2312" w:eastAsia="楷体_GB2312" w:cs="楷体_GB2312"/>
          <w:b/>
          <w:bCs/>
          <w:color w:val="333333"/>
          <w:sz w:val="32"/>
          <w:szCs w:val="32"/>
        </w:rPr>
      </w:pPr>
      <w:r>
        <w:rPr>
          <w:rFonts w:hint="eastAsia" w:ascii="楷体_GB2312" w:hAnsi="楷体_GB2312" w:eastAsia="楷体_GB2312" w:cs="楷体_GB2312"/>
          <w:b/>
          <w:bCs/>
          <w:color w:val="333333"/>
          <w:sz w:val="32"/>
          <w:szCs w:val="32"/>
        </w:rPr>
        <w:t>（三）财政拨款支出决算具体情况</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2018年度财政拨款支出年初预算数为22286.27万元，支出决算数为24286.27万元，完成年初预算的109%，其中：</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1、社会保障和就业支出  民政管理事务 行政运行</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年初预算为719.6万元，支出决算为719.02万元，完成年初预算的100%。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2、社会保障和就业支出 民政管理事务 一般行政管理事务</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年初预算为0万元，支出决算为601万元，决算数大于年初预算数的主要原因是有年中追加资金。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3、社会保障和就业支出  民政管理事务  行政区划和地名管理</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年初预算为16万元，支出决算为16.8万元，完成年初预算的105%，决算数大于年初预算数的主要原因是有上年结余资金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4、社会保障和就业支出  民政管理事务  基层政权和社区建设</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年初预算为110万元，支出决算为110万元，完成年初预算的100%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5、社会保障和就业支出  民政管理事务    其他民政管理事务支出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年初预算为0万元，支出决算为312.15，决算数大于年初预算数的主要原因是有年中追加资金。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6、社会保障和就业支出 行政事业单位离退休   归口管理的行政单位离退休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年初预算为50万元，支出决算为108.6万元，完成年初预算的217%，决算数大于年初预算数的主要原因是有上年结余资金。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7、社会保障和就业支出  抚恤  伤残抚恤</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年初预算为529.39万元，支出决算为529.39万元，完成年初预算的100%。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8、社会保障和就业支出  抚恤  在乡复员、退伍军人生活补助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年初预算为6581万元，支出决算为6581万元，完成年初预算的100%。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9、社会保障和就业支出  抚恤   优抚事业单位支出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年初预算为243万元，支出决算为243万元，完成年初预算的100%。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10、社会保障和就业支出  抚恤  义务兵优待</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年初预算为400万元，支出决算为445.88万元，完成年初预算的111%，决算数大于年初预算数的主要原因是有上年结余资金。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11、社会保障和就业支出  抚恤  其他优抚支出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年初预算为650万元，支出决算为875.5万元，完成年初预算的135%，决算数大于年初预算数的主要原因是有年中追加资金。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12、社会保障和就业支出  退役安置    退役士兵安置</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年初预算为543.28万元，支出决算为698.7万元，完成年初预算的128.61%，决算数大于年初预算数的主要原因是有年中追加资金。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13、社会保障和就业支出  退役安置  军队移交政府的离退休人员安置</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年初预算为200万元，支出决算为348.60万元，完成年初预算的174%，决算数大于年初预算数的主要原因是有年中追加资金。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14、社会保障和就业支出  退役安置     退役士兵管理教育</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年初预算为109万元，支出决算为109.3万元，完成年初预算的100%。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15、社会保障和就业支出   社会福利    儿童福利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年初预算为83万元，支出决算为98.34万元，完成年初预算的118%，决算数大于年初预算数的主要原因是有上年结余资金。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16、社会保障和就业支出   社会福利  老年福利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年初预算为280万元，支出决算为284.49万元，完成年初预算的1.02%，决算数大于年初预算数的主要原因是有上年结余资金。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17、社会保障和就业支出   社会福利   殡葬</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年初预算为70万元，支出决算为124.23万元，完成年初预算的177%，决算数大于年初预算数的主要原因是有年中追加资金。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18、社会保障和就业支出  残疾人事业    其他残疾人事业支出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年初预算为2000万元，支出决算为2281.18万元，完成年初预算的114%，决算数大于年初预算数的主要原因是有年中追加资金。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19、社会保障和就业支出  自然灾害生活救助   中央自然灾害生活补助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年初预算为910万元，支出决算为911.64万元，完成年初预算的100%。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20、社会保障和就业支出  临时救助  临时救助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年初预算为71万元，支出决算为70.60万元，完成年初预算的100%。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21、社会保障和就业支出  临时救助   流浪乞讨人员救助支出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年初预算为35万元，支出决算为35.41万元，完成年初预算的101.17%，决算数大于年初预算数的主要原因是有上年结余资金。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22、社会保障和就业支出 特困人员救助供养 农村特困人员救助供养支出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年初预算为7200万元，支出决算为7199.90万元，完成年初预算的100%。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23、社会保障和就业支出  其他生活救助  其他农村生活救助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年初预算为190万元，支出决算为190.50万元，完成年初预算的100%。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24、社会保障和就业支出  优抚对象医疗  优抚对象医疗补助</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年初预算为420万元，支出决算为461.42万元，完成年初预算的109.86%，决算数大于年初预算数的主要原因是有年中追加资金。</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25、社会保障和就业支出  扶贫  农村基础设施建设</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年初预算为26万元，支出决算为26万元，完成年初预算的100%。</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26、社会保障和就业支出 彩票公益金及对应专项债务收入安排的支出   用于社会福利的彩票公益金支出</w:t>
      </w:r>
    </w:p>
    <w:p>
      <w:pPr>
        <w:pStyle w:val="9"/>
        <w:spacing w:line="600" w:lineRule="exact"/>
        <w:ind w:firstLine="640" w:firstLineChars="200"/>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年初预算为900万元，支出决算为903.62万元，完成年初预算的100.4 %，决算数大于年初预算数的主要原因是有上年结余资金。</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六、一般公共预算财政拨款基本支出决算情况说明</w:t>
      </w:r>
    </w:p>
    <w:p>
      <w:pPr>
        <w:pStyle w:val="6"/>
        <w:widowControl/>
        <w:shd w:val="clear" w:color="auto" w:fill="FFFFFF"/>
        <w:spacing w:beforeAutospacing="0" w:afterAutospacing="0" w:line="360" w:lineRule="auto"/>
        <w:ind w:firstLine="640" w:firstLineChars="20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2018年一般公共预算财政拨款基本支出1031.14万元，其中工资福利支出682.67万元，占一般公共预算财政拨款基本支出的66.21%；商品和服务支出 348.46万元，占一般公共预算财政拨款基本支出的33.79%。</w:t>
      </w:r>
    </w:p>
    <w:p>
      <w:pPr>
        <w:pStyle w:val="9"/>
        <w:spacing w:line="560" w:lineRule="exact"/>
        <w:ind w:left="638" w:leftChars="304" w:firstLine="0" w:firstLineChars="0"/>
        <w:rPr>
          <w:rFonts w:hint="eastAsia" w:ascii="仿宋_GB2312" w:hAnsi="仿宋_GB2312" w:eastAsia="仿宋_GB2312" w:cs="仿宋_GB2312"/>
          <w:color w:val="333333"/>
          <w:sz w:val="32"/>
          <w:szCs w:val="32"/>
        </w:rPr>
      </w:pPr>
      <w:r>
        <w:rPr>
          <w:rFonts w:hint="eastAsia" w:ascii="黑体" w:hAnsi="黑体" w:eastAsia="黑体" w:cs="黑体"/>
          <w:color w:val="333333"/>
          <w:kern w:val="0"/>
          <w:sz w:val="32"/>
          <w:szCs w:val="32"/>
          <w:lang w:val="en-US" w:eastAsia="zh-CN" w:bidi="ar-SA"/>
        </w:rPr>
        <w:t>七、一般公共预算财政拨款三公经费支出决算情况说明</w:t>
      </w:r>
      <w:r>
        <w:rPr>
          <w:rFonts w:hint="eastAsia" w:ascii="仿宋_GB2312" w:hAnsi="仿宋_GB2312" w:eastAsia="仿宋_GB2312" w:cs="仿宋_GB2312"/>
          <w:color w:val="333333"/>
          <w:sz w:val="32"/>
          <w:szCs w:val="32"/>
        </w:rPr>
        <w:t>（一）“三公”经费财政拨款支出决算总体情况说明</w:t>
      </w:r>
    </w:p>
    <w:p>
      <w:pPr>
        <w:pStyle w:val="6"/>
        <w:widowControl/>
        <w:shd w:val="clear" w:color="auto" w:fill="FFFFFF"/>
        <w:spacing w:beforeAutospacing="0" w:afterAutospacing="0" w:line="360" w:lineRule="auto"/>
        <w:ind w:firstLine="640" w:firstLineChars="20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2018年“三公”经费预算为21.10万元，支出决算为32.06万元，完成预算的151.94%，其中：</w:t>
      </w:r>
    </w:p>
    <w:p>
      <w:pPr>
        <w:pStyle w:val="9"/>
        <w:spacing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公务接待费支出预算为</w:t>
      </w:r>
      <w:r>
        <w:rPr>
          <w:rFonts w:hint="eastAsia" w:ascii="仿宋_GB2312" w:hAnsi="仿宋_GB2312" w:eastAsia="仿宋_GB2312" w:cs="仿宋_GB2312"/>
          <w:color w:val="333333"/>
          <w:sz w:val="32"/>
          <w:szCs w:val="32"/>
          <w:lang w:val="en-US" w:eastAsia="zh-CN"/>
        </w:rPr>
        <w:t>9.1万元</w:t>
      </w:r>
      <w:r>
        <w:rPr>
          <w:rFonts w:hint="eastAsia" w:ascii="仿宋_GB2312" w:hAnsi="仿宋_GB2312" w:eastAsia="仿宋_GB2312" w:cs="仿宋_GB2312"/>
          <w:color w:val="333333"/>
          <w:sz w:val="32"/>
          <w:szCs w:val="32"/>
          <w:lang w:eastAsia="zh-CN"/>
        </w:rPr>
        <w:t>，支出决算为</w:t>
      </w:r>
      <w:r>
        <w:rPr>
          <w:rFonts w:hint="eastAsia" w:ascii="仿宋_GB2312" w:hAnsi="仿宋_GB2312" w:eastAsia="仿宋_GB2312" w:cs="仿宋_GB2312"/>
          <w:color w:val="333333"/>
          <w:kern w:val="0"/>
          <w:sz w:val="32"/>
          <w:szCs w:val="32"/>
          <w:lang w:val="en-US" w:eastAsia="zh-CN" w:bidi="ar-SA"/>
        </w:rPr>
        <w:t>1.62万元，</w:t>
      </w:r>
      <w:r>
        <w:rPr>
          <w:rFonts w:hint="eastAsia" w:ascii="仿宋_GB2312" w:hAnsi="仿宋_GB2312" w:eastAsia="仿宋_GB2312" w:cs="仿宋_GB2312"/>
          <w:color w:val="333333"/>
          <w:sz w:val="32"/>
          <w:szCs w:val="32"/>
        </w:rPr>
        <w:t>完成预算的</w:t>
      </w:r>
      <w:r>
        <w:rPr>
          <w:rFonts w:hint="eastAsia" w:ascii="仿宋_GB2312" w:hAnsi="仿宋_GB2312" w:eastAsia="仿宋_GB2312" w:cs="仿宋_GB2312"/>
          <w:color w:val="333333"/>
          <w:sz w:val="32"/>
          <w:szCs w:val="32"/>
          <w:lang w:val="en-US" w:eastAsia="zh-CN"/>
        </w:rPr>
        <w:t>17.8</w:t>
      </w:r>
      <w:r>
        <w:rPr>
          <w:rFonts w:hint="eastAsia" w:ascii="仿宋_GB2312" w:hAnsi="仿宋_GB2312" w:eastAsia="仿宋_GB2312" w:cs="仿宋_GB2312"/>
          <w:color w:val="333333"/>
          <w:sz w:val="32"/>
          <w:szCs w:val="32"/>
        </w:rPr>
        <w:t>%，决算数小于年初预算数的主要原因是严格按规定控制“三公”经费的开支，与上年相比</w:t>
      </w:r>
      <w:r>
        <w:rPr>
          <w:rFonts w:hint="eastAsia" w:ascii="仿宋_GB2312" w:hAnsi="仿宋_GB2312" w:eastAsia="仿宋_GB2312" w:cs="仿宋_GB2312"/>
          <w:color w:val="333333"/>
          <w:sz w:val="32"/>
          <w:szCs w:val="32"/>
          <w:lang w:eastAsia="zh-CN"/>
        </w:rPr>
        <w:t>减少</w:t>
      </w:r>
      <w:r>
        <w:rPr>
          <w:rFonts w:hint="eastAsia" w:ascii="仿宋_GB2312" w:hAnsi="仿宋_GB2312" w:eastAsia="仿宋_GB2312" w:cs="仿宋_GB2312"/>
          <w:color w:val="333333"/>
          <w:sz w:val="32"/>
          <w:szCs w:val="32"/>
          <w:lang w:val="en-US" w:eastAsia="zh-CN"/>
        </w:rPr>
        <w:t>4.88</w:t>
      </w:r>
      <w:r>
        <w:rPr>
          <w:rFonts w:hint="eastAsia" w:ascii="仿宋_GB2312" w:hAnsi="仿宋_GB2312" w:eastAsia="仿宋_GB2312" w:cs="仿宋_GB2312"/>
          <w:color w:val="333333"/>
          <w:sz w:val="32"/>
          <w:szCs w:val="32"/>
        </w:rPr>
        <w:t>万元，</w:t>
      </w:r>
      <w:r>
        <w:rPr>
          <w:rFonts w:hint="eastAsia" w:ascii="仿宋_GB2312" w:hAnsi="仿宋_GB2312" w:eastAsia="仿宋_GB2312" w:cs="仿宋_GB2312"/>
          <w:color w:val="333333"/>
          <w:sz w:val="32"/>
          <w:szCs w:val="32"/>
          <w:lang w:eastAsia="zh-CN"/>
        </w:rPr>
        <w:t>减少</w:t>
      </w:r>
      <w:r>
        <w:rPr>
          <w:rFonts w:hint="eastAsia" w:ascii="仿宋_GB2312" w:hAnsi="仿宋_GB2312" w:eastAsia="仿宋_GB2312" w:cs="仿宋_GB2312"/>
          <w:color w:val="333333"/>
          <w:sz w:val="32"/>
          <w:szCs w:val="32"/>
          <w:lang w:val="en-US" w:eastAsia="zh-CN"/>
        </w:rPr>
        <w:t>75.08</w:t>
      </w:r>
      <w:r>
        <w:rPr>
          <w:rFonts w:hint="eastAsia" w:ascii="仿宋_GB2312" w:hAnsi="仿宋_GB2312" w:eastAsia="仿宋_GB2312" w:cs="仿宋_GB2312"/>
          <w:color w:val="333333"/>
          <w:sz w:val="32"/>
          <w:szCs w:val="32"/>
        </w:rPr>
        <w:t>%。</w:t>
      </w:r>
    </w:p>
    <w:p>
      <w:pPr>
        <w:pStyle w:val="9"/>
        <w:spacing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公务用车购置费及运行维护费支出预算为12万元，支出决算为</w:t>
      </w:r>
      <w:r>
        <w:rPr>
          <w:rFonts w:hint="eastAsia" w:ascii="仿宋_GB2312" w:hAnsi="仿宋_GB2312" w:eastAsia="仿宋_GB2312" w:cs="仿宋_GB2312"/>
          <w:color w:val="333333"/>
          <w:sz w:val="32"/>
          <w:szCs w:val="32"/>
          <w:lang w:val="en-US" w:eastAsia="zh-CN"/>
        </w:rPr>
        <w:t>30.44</w:t>
      </w:r>
      <w:r>
        <w:rPr>
          <w:rFonts w:hint="eastAsia" w:ascii="仿宋_GB2312" w:hAnsi="仿宋_GB2312" w:eastAsia="仿宋_GB2312" w:cs="仿宋_GB2312"/>
          <w:color w:val="333333"/>
          <w:sz w:val="32"/>
          <w:szCs w:val="32"/>
        </w:rPr>
        <w:t>万元，完成预算的</w:t>
      </w:r>
      <w:r>
        <w:rPr>
          <w:rFonts w:hint="eastAsia" w:ascii="仿宋_GB2312" w:hAnsi="仿宋_GB2312" w:eastAsia="仿宋_GB2312" w:cs="仿宋_GB2312"/>
          <w:color w:val="333333"/>
          <w:sz w:val="32"/>
          <w:szCs w:val="32"/>
          <w:lang w:val="en-US" w:eastAsia="zh-CN"/>
        </w:rPr>
        <w:t>253.67</w:t>
      </w:r>
      <w:r>
        <w:rPr>
          <w:rFonts w:hint="eastAsia" w:ascii="仿宋_GB2312" w:hAnsi="仿宋_GB2312" w:eastAsia="仿宋_GB2312" w:cs="仿宋_GB2312"/>
          <w:color w:val="333333"/>
          <w:sz w:val="32"/>
          <w:szCs w:val="32"/>
        </w:rPr>
        <w:t>%，决算数大于年初预算数的主要原因是下乡扶贫租车费较多，与上年相比减少4.</w:t>
      </w:r>
      <w:r>
        <w:rPr>
          <w:rFonts w:hint="eastAsia" w:ascii="仿宋_GB2312" w:hAnsi="仿宋_GB2312" w:eastAsia="仿宋_GB2312" w:cs="仿宋_GB2312"/>
          <w:color w:val="333333"/>
          <w:sz w:val="32"/>
          <w:szCs w:val="32"/>
          <w:lang w:val="en-US" w:eastAsia="zh-CN"/>
        </w:rPr>
        <w:t>06</w:t>
      </w:r>
      <w:r>
        <w:rPr>
          <w:rFonts w:hint="eastAsia" w:ascii="仿宋_GB2312" w:hAnsi="仿宋_GB2312" w:eastAsia="仿宋_GB2312" w:cs="仿宋_GB2312"/>
          <w:color w:val="333333"/>
          <w:sz w:val="32"/>
          <w:szCs w:val="32"/>
        </w:rPr>
        <w:t>万元，减少</w:t>
      </w:r>
      <w:r>
        <w:rPr>
          <w:rFonts w:hint="eastAsia" w:ascii="仿宋_GB2312" w:hAnsi="仿宋_GB2312" w:eastAsia="仿宋_GB2312" w:cs="仿宋_GB2312"/>
          <w:color w:val="333333"/>
          <w:sz w:val="32"/>
          <w:szCs w:val="32"/>
          <w:lang w:val="en-US" w:eastAsia="zh-CN"/>
        </w:rPr>
        <w:t>11.77</w:t>
      </w:r>
      <w:r>
        <w:rPr>
          <w:rFonts w:hint="eastAsia" w:ascii="仿宋_GB2312" w:hAnsi="仿宋_GB2312" w:eastAsia="仿宋_GB2312" w:cs="仿宋_GB2312"/>
          <w:color w:val="333333"/>
          <w:sz w:val="32"/>
          <w:szCs w:val="32"/>
        </w:rPr>
        <w:t>%,减少的主要原因是严格按规定控制“三公”经费的开支。</w:t>
      </w:r>
    </w:p>
    <w:p>
      <w:pPr>
        <w:pStyle w:val="9"/>
        <w:numPr>
          <w:ilvl w:val="0"/>
          <w:numId w:val="2"/>
        </w:numPr>
        <w:spacing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“三公”经费财政拨款支出决算具体情况说明</w:t>
      </w:r>
    </w:p>
    <w:p>
      <w:pPr>
        <w:pStyle w:val="9"/>
        <w:spacing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201</w:t>
      </w: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年度“三公”经费财政拨款支出决算中，公务接待费支出决算</w:t>
      </w:r>
      <w:r>
        <w:rPr>
          <w:rFonts w:hint="eastAsia" w:ascii="仿宋_GB2312" w:hAnsi="仿宋_GB2312" w:eastAsia="仿宋_GB2312" w:cs="仿宋_GB2312"/>
          <w:color w:val="333333"/>
          <w:sz w:val="32"/>
          <w:szCs w:val="32"/>
          <w:lang w:val="en-US" w:eastAsia="zh-CN"/>
        </w:rPr>
        <w:t>1.62</w:t>
      </w:r>
      <w:r>
        <w:rPr>
          <w:rFonts w:hint="eastAsia" w:ascii="仿宋_GB2312" w:hAnsi="仿宋_GB2312" w:eastAsia="仿宋_GB2312" w:cs="仿宋_GB2312"/>
          <w:color w:val="333333"/>
          <w:sz w:val="32"/>
          <w:szCs w:val="32"/>
        </w:rPr>
        <w:t>万元，占</w:t>
      </w:r>
      <w:r>
        <w:rPr>
          <w:rFonts w:hint="eastAsia" w:ascii="仿宋_GB2312" w:hAnsi="仿宋_GB2312" w:eastAsia="仿宋_GB2312" w:cs="仿宋_GB2312"/>
          <w:color w:val="333333"/>
          <w:sz w:val="32"/>
          <w:szCs w:val="32"/>
          <w:lang w:val="en-US" w:eastAsia="zh-CN"/>
        </w:rPr>
        <w:t>5.05</w:t>
      </w:r>
      <w:r>
        <w:rPr>
          <w:rFonts w:hint="eastAsia" w:ascii="仿宋_GB2312" w:hAnsi="仿宋_GB2312" w:eastAsia="仿宋_GB2312" w:cs="仿宋_GB2312"/>
          <w:color w:val="333333"/>
          <w:sz w:val="32"/>
          <w:szCs w:val="32"/>
        </w:rPr>
        <w:t>%,因公出国（境）费支出决算0万元，占0%,公务用车购置费及运行维护费支出决算</w:t>
      </w:r>
      <w:r>
        <w:rPr>
          <w:rFonts w:hint="eastAsia" w:ascii="仿宋_GB2312" w:hAnsi="仿宋_GB2312" w:eastAsia="仿宋_GB2312" w:cs="仿宋_GB2312"/>
          <w:color w:val="333333"/>
          <w:sz w:val="32"/>
          <w:szCs w:val="32"/>
          <w:lang w:val="en-US" w:eastAsia="zh-CN"/>
        </w:rPr>
        <w:t>30.44</w:t>
      </w:r>
      <w:r>
        <w:rPr>
          <w:rFonts w:hint="eastAsia" w:ascii="仿宋_GB2312" w:hAnsi="仿宋_GB2312" w:eastAsia="仿宋_GB2312" w:cs="仿宋_GB2312"/>
          <w:color w:val="333333"/>
          <w:sz w:val="32"/>
          <w:szCs w:val="32"/>
        </w:rPr>
        <w:t>万元，占</w:t>
      </w:r>
      <w:r>
        <w:rPr>
          <w:rFonts w:hint="eastAsia" w:ascii="仿宋_GB2312" w:hAnsi="仿宋_GB2312" w:eastAsia="仿宋_GB2312" w:cs="仿宋_GB2312"/>
          <w:color w:val="333333"/>
          <w:sz w:val="32"/>
          <w:szCs w:val="32"/>
          <w:lang w:val="en-US" w:eastAsia="zh-CN"/>
        </w:rPr>
        <w:t>94.95</w:t>
      </w:r>
      <w:r>
        <w:rPr>
          <w:rFonts w:hint="eastAsia" w:ascii="仿宋_GB2312" w:hAnsi="仿宋_GB2312" w:eastAsia="仿宋_GB2312" w:cs="仿宋_GB2312"/>
          <w:color w:val="333333"/>
          <w:sz w:val="32"/>
          <w:szCs w:val="32"/>
        </w:rPr>
        <w:t>%。其中：</w:t>
      </w:r>
    </w:p>
    <w:p>
      <w:pPr>
        <w:pStyle w:val="6"/>
        <w:widowControl/>
        <w:numPr>
          <w:ilvl w:val="0"/>
          <w:numId w:val="0"/>
        </w:numPr>
        <w:shd w:val="clear" w:color="auto" w:fill="FFFFFF"/>
        <w:spacing w:beforeAutospacing="0" w:afterAutospacing="0" w:line="360" w:lineRule="auto"/>
        <w:ind w:firstLine="640" w:firstLineChars="200"/>
        <w:jc w:val="both"/>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1、公务接待费支出决算为</w:t>
      </w:r>
      <w:r>
        <w:rPr>
          <w:rFonts w:hint="eastAsia" w:ascii="仿宋_GB2312" w:hAnsi="仿宋_GB2312" w:eastAsia="仿宋_GB2312" w:cs="仿宋_GB2312"/>
          <w:color w:val="333333"/>
          <w:sz w:val="32"/>
          <w:szCs w:val="32"/>
          <w:lang w:val="en-US" w:eastAsia="zh-CN"/>
        </w:rPr>
        <w:t>1.62</w:t>
      </w:r>
      <w:r>
        <w:rPr>
          <w:rFonts w:hint="eastAsia" w:ascii="仿宋_GB2312" w:hAnsi="仿宋_GB2312" w:eastAsia="仿宋_GB2312" w:cs="仿宋_GB2312"/>
          <w:color w:val="333333"/>
          <w:sz w:val="32"/>
          <w:szCs w:val="32"/>
        </w:rPr>
        <w:t>万元，全年共接待来访团组</w:t>
      </w:r>
      <w:r>
        <w:rPr>
          <w:rFonts w:hint="eastAsia" w:ascii="仿宋_GB2312" w:hAnsi="仿宋_GB2312" w:eastAsia="仿宋_GB2312" w:cs="仿宋_GB2312"/>
          <w:color w:val="333333"/>
          <w:kern w:val="0"/>
          <w:sz w:val="32"/>
          <w:szCs w:val="32"/>
          <w:lang w:val="en-US" w:eastAsia="zh-CN" w:bidi="ar-SA"/>
        </w:rPr>
        <w:t>45批次，接待252人次，</w:t>
      </w:r>
      <w:r>
        <w:rPr>
          <w:rFonts w:hint="eastAsia" w:ascii="仿宋_GB2312" w:hAnsi="仿宋_GB2312" w:eastAsia="仿宋_GB2312" w:cs="仿宋_GB2312"/>
          <w:color w:val="333333"/>
          <w:sz w:val="32"/>
          <w:szCs w:val="32"/>
        </w:rPr>
        <w:t>主要是上级检查、调研及兄弟单位学习经验交流发生的接待支出。</w:t>
      </w:r>
    </w:p>
    <w:p>
      <w:pPr>
        <w:spacing w:line="560" w:lineRule="exact"/>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2、公务用车购置费及运行维护费支出决算为</w:t>
      </w:r>
      <w:r>
        <w:rPr>
          <w:rFonts w:hint="eastAsia" w:ascii="仿宋_GB2312" w:hAnsi="仿宋_GB2312" w:eastAsia="仿宋_GB2312" w:cs="仿宋_GB2312"/>
          <w:color w:val="333333"/>
          <w:kern w:val="0"/>
          <w:sz w:val="32"/>
          <w:szCs w:val="32"/>
          <w:lang w:val="en-US" w:eastAsia="zh-CN"/>
        </w:rPr>
        <w:t>30.44</w:t>
      </w:r>
      <w:r>
        <w:rPr>
          <w:rFonts w:hint="eastAsia" w:ascii="仿宋_GB2312" w:hAnsi="仿宋_GB2312" w:eastAsia="仿宋_GB2312" w:cs="仿宋_GB2312"/>
          <w:color w:val="333333"/>
          <w:kern w:val="0"/>
          <w:sz w:val="32"/>
          <w:szCs w:val="32"/>
        </w:rPr>
        <w:t>万元，其中：公务用车购置费0万元</w:t>
      </w:r>
      <w:r>
        <w:rPr>
          <w:rFonts w:hint="eastAsia" w:ascii="仿宋_GB2312" w:hAnsi="仿宋_GB2312" w:eastAsia="仿宋_GB2312" w:cs="仿宋_GB2312"/>
          <w:color w:val="333333"/>
          <w:kern w:val="0"/>
          <w:sz w:val="32"/>
          <w:szCs w:val="32"/>
          <w:lang w:eastAsia="zh-CN"/>
        </w:rPr>
        <w:t>。</w:t>
      </w:r>
      <w:r>
        <w:rPr>
          <w:rFonts w:hint="eastAsia" w:ascii="仿宋_GB2312" w:hAnsi="仿宋_GB2312" w:eastAsia="仿宋_GB2312" w:cs="仿宋_GB2312"/>
          <w:color w:val="333333"/>
          <w:kern w:val="0"/>
          <w:sz w:val="32"/>
          <w:szCs w:val="32"/>
        </w:rPr>
        <w:t>公务用车运行维护费</w:t>
      </w:r>
      <w:r>
        <w:rPr>
          <w:rFonts w:hint="eastAsia" w:ascii="仿宋_GB2312" w:hAnsi="仿宋_GB2312" w:eastAsia="仿宋_GB2312" w:cs="仿宋_GB2312"/>
          <w:color w:val="333333"/>
          <w:kern w:val="0"/>
          <w:sz w:val="32"/>
          <w:szCs w:val="32"/>
          <w:lang w:val="en-US" w:eastAsia="zh-CN"/>
        </w:rPr>
        <w:t>30.44</w:t>
      </w:r>
      <w:r>
        <w:rPr>
          <w:rFonts w:hint="eastAsia" w:ascii="仿宋_GB2312" w:hAnsi="仿宋_GB2312" w:eastAsia="仿宋_GB2312" w:cs="仿宋_GB2312"/>
          <w:color w:val="333333"/>
          <w:kern w:val="0"/>
          <w:sz w:val="32"/>
          <w:szCs w:val="32"/>
        </w:rPr>
        <w:t>万元</w:t>
      </w:r>
      <w:r>
        <w:rPr>
          <w:rFonts w:hint="eastAsia" w:ascii="仿宋_GB2312" w:hAnsi="仿宋_GB2312" w:eastAsia="仿宋_GB2312" w:cs="仿宋_GB2312"/>
          <w:color w:val="333333"/>
          <w:kern w:val="0"/>
          <w:sz w:val="32"/>
          <w:szCs w:val="32"/>
          <w:lang w:eastAsia="zh-CN"/>
        </w:rPr>
        <w:t>，</w:t>
      </w:r>
      <w:r>
        <w:rPr>
          <w:rFonts w:hint="eastAsia" w:ascii="仿宋_GB2312" w:hAnsi="仿宋_GB2312" w:eastAsia="仿宋_GB2312" w:cs="仿宋_GB2312"/>
          <w:color w:val="333333"/>
          <w:kern w:val="0"/>
          <w:sz w:val="32"/>
          <w:szCs w:val="32"/>
        </w:rPr>
        <w:t>主要是下乡扶贫租车支出，截</w:t>
      </w:r>
      <w:r>
        <w:rPr>
          <w:rFonts w:hint="eastAsia" w:ascii="仿宋_GB2312" w:hAnsi="仿宋_GB2312" w:eastAsia="仿宋_GB2312" w:cs="仿宋_GB2312"/>
          <w:color w:val="333333"/>
          <w:kern w:val="0"/>
          <w:sz w:val="32"/>
          <w:szCs w:val="32"/>
          <w:lang w:eastAsia="zh-CN"/>
        </w:rPr>
        <w:t>至</w:t>
      </w:r>
      <w:r>
        <w:rPr>
          <w:rFonts w:hint="eastAsia" w:ascii="仿宋_GB2312" w:hAnsi="仿宋_GB2312" w:eastAsia="仿宋_GB2312" w:cs="仿宋_GB2312"/>
          <w:color w:val="333333"/>
          <w:kern w:val="0"/>
          <w:sz w:val="32"/>
          <w:szCs w:val="32"/>
        </w:rPr>
        <w:t>201</w:t>
      </w:r>
      <w:r>
        <w:rPr>
          <w:rFonts w:hint="eastAsia" w:ascii="仿宋_GB2312" w:hAnsi="仿宋_GB2312" w:eastAsia="仿宋_GB2312" w:cs="仿宋_GB2312"/>
          <w:color w:val="333333"/>
          <w:kern w:val="0"/>
          <w:sz w:val="32"/>
          <w:szCs w:val="32"/>
          <w:lang w:val="en-US" w:eastAsia="zh-CN"/>
        </w:rPr>
        <w:t>8</w:t>
      </w:r>
      <w:r>
        <w:rPr>
          <w:rFonts w:hint="eastAsia" w:ascii="仿宋_GB2312" w:hAnsi="仿宋_GB2312" w:eastAsia="仿宋_GB2312" w:cs="仿宋_GB2312"/>
          <w:color w:val="333333"/>
          <w:kern w:val="0"/>
          <w:sz w:val="32"/>
          <w:szCs w:val="32"/>
        </w:rPr>
        <w:t>年12月31日，我单位开支财政拨款的公务用车保有量为2辆。</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八、政府性基金预算收入支出决算情况</w:t>
      </w:r>
    </w:p>
    <w:p>
      <w:pPr>
        <w:pStyle w:val="9"/>
        <w:spacing w:line="560" w:lineRule="exact"/>
        <w:ind w:firstLine="640" w:firstLineChars="200"/>
        <w:rPr>
          <w:rFonts w:hint="eastAsia" w:ascii="宋体" w:hAnsi="宋体" w:eastAsia="宋体" w:cs="宋体"/>
          <w:color w:val="333333"/>
          <w:shd w:val="clear" w:color="auto" w:fill="FFFFFF"/>
        </w:rPr>
      </w:pPr>
      <w:r>
        <w:rPr>
          <w:rFonts w:hint="eastAsia" w:ascii="仿宋_GB2312" w:hAnsi="仿宋_GB2312" w:eastAsia="仿宋_GB2312" w:cs="仿宋_GB2312"/>
          <w:color w:val="333333"/>
          <w:sz w:val="32"/>
          <w:szCs w:val="32"/>
        </w:rPr>
        <w:t>201</w:t>
      </w: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年度政府性基金预算财政拨款收入</w:t>
      </w:r>
      <w:r>
        <w:rPr>
          <w:rFonts w:hint="eastAsia" w:ascii="仿宋_GB2312" w:hAnsi="仿宋_GB2312" w:eastAsia="仿宋_GB2312" w:cs="仿宋_GB2312"/>
          <w:color w:val="333333"/>
          <w:kern w:val="0"/>
          <w:sz w:val="32"/>
          <w:szCs w:val="32"/>
          <w:lang w:val="en-US" w:eastAsia="zh-CN" w:bidi="ar-SA"/>
        </w:rPr>
        <w:t>903.62</w:t>
      </w:r>
      <w:r>
        <w:rPr>
          <w:rFonts w:hint="eastAsia" w:ascii="仿宋_GB2312" w:hAnsi="仿宋_GB2312" w:eastAsia="仿宋_GB2312" w:cs="仿宋_GB2312"/>
          <w:color w:val="333333"/>
          <w:sz w:val="32"/>
          <w:szCs w:val="32"/>
        </w:rPr>
        <w:t>万元；年初结转和结余0万元；支出</w:t>
      </w:r>
      <w:r>
        <w:rPr>
          <w:rFonts w:hint="eastAsia" w:ascii="仿宋_GB2312" w:hAnsi="仿宋_GB2312" w:eastAsia="仿宋_GB2312" w:cs="仿宋_GB2312"/>
          <w:color w:val="333333"/>
          <w:kern w:val="0"/>
          <w:sz w:val="32"/>
          <w:szCs w:val="32"/>
          <w:lang w:val="en-US" w:eastAsia="zh-CN" w:bidi="ar-SA"/>
        </w:rPr>
        <w:t>903.62</w:t>
      </w:r>
      <w:r>
        <w:rPr>
          <w:rFonts w:hint="eastAsia" w:ascii="仿宋_GB2312" w:hAnsi="仿宋_GB2312" w:eastAsia="仿宋_GB2312" w:cs="仿宋_GB2312"/>
          <w:color w:val="333333"/>
          <w:sz w:val="32"/>
          <w:szCs w:val="32"/>
        </w:rPr>
        <w:t>万元，其中基本支出0万元，项目支出</w:t>
      </w:r>
      <w:r>
        <w:rPr>
          <w:rFonts w:hint="eastAsia" w:ascii="仿宋_GB2312" w:hAnsi="仿宋_GB2312" w:eastAsia="仿宋_GB2312" w:cs="仿宋_GB2312"/>
          <w:color w:val="333333"/>
          <w:kern w:val="0"/>
          <w:sz w:val="32"/>
          <w:szCs w:val="32"/>
          <w:lang w:val="en-US" w:eastAsia="zh-CN" w:bidi="ar-SA"/>
        </w:rPr>
        <w:t>903.62</w:t>
      </w:r>
      <w:r>
        <w:rPr>
          <w:rFonts w:hint="eastAsia" w:ascii="仿宋_GB2312" w:hAnsi="仿宋_GB2312" w:eastAsia="仿宋_GB2312" w:cs="仿宋_GB2312"/>
          <w:color w:val="333333"/>
          <w:sz w:val="32"/>
          <w:szCs w:val="32"/>
        </w:rPr>
        <w:t>万元；年末结转和结余0万元。</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九、预算绩效情况说明</w:t>
      </w:r>
    </w:p>
    <w:p>
      <w:pPr>
        <w:pStyle w:val="9"/>
        <w:spacing w:line="560" w:lineRule="exact"/>
        <w:ind w:firstLine="640" w:firstLineChars="20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我局按照财政局绩效管理股的要求对201</w:t>
      </w:r>
      <w:r>
        <w:rPr>
          <w:rFonts w:hint="eastAsia" w:ascii="仿宋_GB2312" w:hAnsi="仿宋_GB2312" w:eastAsia="仿宋_GB2312" w:cs="仿宋_GB2312"/>
          <w:color w:val="333333"/>
          <w:sz w:val="32"/>
          <w:szCs w:val="32"/>
          <w:lang w:val="en-US" w:eastAsia="zh-CN"/>
        </w:rPr>
        <w:t>8</w:t>
      </w:r>
      <w:r>
        <w:rPr>
          <w:rFonts w:hint="eastAsia" w:ascii="仿宋_GB2312" w:hAnsi="仿宋_GB2312" w:eastAsia="仿宋_GB2312" w:cs="仿宋_GB2312"/>
          <w:color w:val="333333"/>
          <w:sz w:val="32"/>
          <w:szCs w:val="32"/>
        </w:rPr>
        <w:t>年所有项目做了绩效评价。</w:t>
      </w:r>
    </w:p>
    <w:p>
      <w:pPr>
        <w:pStyle w:val="9"/>
        <w:spacing w:line="560" w:lineRule="exact"/>
        <w:ind w:firstLine="640" w:firstLineChars="200"/>
        <w:rPr>
          <w:rFonts w:hint="eastAsia" w:hAnsi="黑体"/>
          <w:color w:val="333333"/>
          <w:sz w:val="32"/>
          <w:szCs w:val="32"/>
        </w:rPr>
      </w:pPr>
      <w:r>
        <w:rPr>
          <w:rFonts w:hint="eastAsia" w:hAnsi="黑体"/>
          <w:color w:val="333333"/>
          <w:sz w:val="32"/>
          <w:szCs w:val="32"/>
        </w:rPr>
        <w:t>十、其他重要事项情况说明</w:t>
      </w:r>
    </w:p>
    <w:p>
      <w:pPr>
        <w:spacing w:line="560" w:lineRule="exact"/>
        <w:ind w:firstLine="643" w:firstLineChars="200"/>
        <w:jc w:val="left"/>
        <w:rPr>
          <w:rFonts w:hint="eastAsia" w:ascii="楷体_GB2312" w:hAnsi="楷体_GB2312" w:eastAsia="楷体_GB2312" w:cs="楷体_GB2312"/>
          <w:b/>
          <w:bCs/>
          <w:color w:val="333333"/>
          <w:kern w:val="0"/>
          <w:sz w:val="32"/>
          <w:szCs w:val="32"/>
        </w:rPr>
      </w:pPr>
      <w:r>
        <w:rPr>
          <w:rFonts w:hint="eastAsia" w:ascii="楷体_GB2312" w:hAnsi="楷体_GB2312" w:eastAsia="楷体_GB2312" w:cs="楷体_GB2312"/>
          <w:b/>
          <w:bCs/>
          <w:color w:val="333333"/>
          <w:kern w:val="0"/>
          <w:sz w:val="32"/>
          <w:szCs w:val="32"/>
        </w:rPr>
        <w:t>（一）机关运行经费支出情况</w:t>
      </w:r>
    </w:p>
    <w:p>
      <w:pPr>
        <w:pStyle w:val="6"/>
        <w:widowControl/>
        <w:shd w:val="clear" w:color="auto" w:fill="FFFFFF"/>
        <w:spacing w:beforeAutospacing="0" w:afterAutospacing="0" w:line="360" w:lineRule="auto"/>
        <w:ind w:firstLine="42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本部门2018年度机关运行经费支出348.46元，比2017年减少257.1万元，减少42.45%，主要由于增加了专项办公经费，在项目资金中列支，不在机关运行经费中支出。</w:t>
      </w:r>
    </w:p>
    <w:p>
      <w:pPr>
        <w:spacing w:line="560" w:lineRule="exact"/>
        <w:ind w:firstLine="643" w:firstLineChars="200"/>
        <w:jc w:val="left"/>
        <w:rPr>
          <w:rFonts w:hint="eastAsia" w:ascii="楷体_GB2312" w:hAnsi="楷体_GB2312" w:eastAsia="楷体_GB2312" w:cs="楷体_GB2312"/>
          <w:b/>
          <w:bCs/>
          <w:color w:val="333333"/>
          <w:kern w:val="0"/>
          <w:sz w:val="32"/>
          <w:szCs w:val="32"/>
        </w:rPr>
      </w:pPr>
      <w:r>
        <w:rPr>
          <w:rFonts w:hint="eastAsia" w:ascii="楷体_GB2312" w:hAnsi="楷体_GB2312" w:eastAsia="楷体_GB2312" w:cs="楷体_GB2312"/>
          <w:b/>
          <w:bCs/>
          <w:color w:val="333333"/>
          <w:kern w:val="0"/>
          <w:sz w:val="32"/>
          <w:szCs w:val="32"/>
        </w:rPr>
        <w:t>（二）一般性支出情况</w:t>
      </w:r>
    </w:p>
    <w:p>
      <w:pPr>
        <w:spacing w:line="560" w:lineRule="exact"/>
        <w:ind w:firstLine="640" w:firstLineChars="200"/>
        <w:jc w:val="left"/>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rPr>
        <w:t>201</w:t>
      </w:r>
      <w:r>
        <w:rPr>
          <w:rFonts w:hint="eastAsia" w:ascii="仿宋_GB2312" w:hAnsi="仿宋_GB2312" w:eastAsia="仿宋_GB2312" w:cs="仿宋_GB2312"/>
          <w:color w:val="333333"/>
          <w:kern w:val="0"/>
          <w:sz w:val="32"/>
          <w:szCs w:val="32"/>
          <w:lang w:val="en-US" w:eastAsia="zh-CN"/>
        </w:rPr>
        <w:t>8</w:t>
      </w:r>
      <w:r>
        <w:rPr>
          <w:rFonts w:hint="eastAsia" w:ascii="仿宋_GB2312" w:hAnsi="仿宋_GB2312" w:eastAsia="仿宋_GB2312" w:cs="仿宋_GB2312"/>
          <w:color w:val="333333"/>
          <w:kern w:val="0"/>
          <w:sz w:val="32"/>
          <w:szCs w:val="32"/>
        </w:rPr>
        <w:t>年本部门开支会议费0.</w:t>
      </w:r>
      <w:r>
        <w:rPr>
          <w:rFonts w:hint="eastAsia" w:ascii="仿宋_GB2312" w:hAnsi="仿宋_GB2312" w:eastAsia="仿宋_GB2312" w:cs="仿宋_GB2312"/>
          <w:color w:val="333333"/>
          <w:kern w:val="0"/>
          <w:sz w:val="32"/>
          <w:szCs w:val="32"/>
          <w:lang w:val="en-US" w:eastAsia="zh-CN"/>
        </w:rPr>
        <w:t>22</w:t>
      </w:r>
      <w:r>
        <w:rPr>
          <w:rFonts w:hint="eastAsia" w:ascii="仿宋_GB2312" w:hAnsi="仿宋_GB2312" w:eastAsia="仿宋_GB2312" w:cs="仿宋_GB2312"/>
          <w:color w:val="333333"/>
          <w:kern w:val="0"/>
          <w:sz w:val="32"/>
          <w:szCs w:val="32"/>
        </w:rPr>
        <w:t>万元，用于召开调研会议，人数</w:t>
      </w:r>
      <w:r>
        <w:rPr>
          <w:rFonts w:hint="eastAsia" w:ascii="仿宋_GB2312" w:hAnsi="仿宋_GB2312" w:eastAsia="仿宋_GB2312" w:cs="仿宋_GB2312"/>
          <w:color w:val="333333"/>
          <w:kern w:val="0"/>
          <w:sz w:val="32"/>
          <w:szCs w:val="32"/>
          <w:lang w:val="en-US" w:eastAsia="zh-CN"/>
        </w:rPr>
        <w:t>55</w:t>
      </w:r>
      <w:r>
        <w:rPr>
          <w:rFonts w:hint="eastAsia" w:ascii="仿宋_GB2312" w:hAnsi="仿宋_GB2312" w:eastAsia="仿宋_GB2312" w:cs="仿宋_GB2312"/>
          <w:color w:val="333333"/>
          <w:kern w:val="0"/>
          <w:sz w:val="32"/>
          <w:szCs w:val="32"/>
        </w:rPr>
        <w:t>人，内容为业务培训；开支培训费0.</w:t>
      </w:r>
      <w:r>
        <w:rPr>
          <w:rFonts w:hint="eastAsia" w:ascii="仿宋_GB2312" w:hAnsi="仿宋_GB2312" w:eastAsia="仿宋_GB2312" w:cs="仿宋_GB2312"/>
          <w:color w:val="333333"/>
          <w:kern w:val="0"/>
          <w:sz w:val="32"/>
          <w:szCs w:val="32"/>
          <w:lang w:val="en-US" w:eastAsia="zh-CN"/>
        </w:rPr>
        <w:t>54</w:t>
      </w:r>
      <w:r>
        <w:rPr>
          <w:rFonts w:hint="eastAsia" w:ascii="仿宋_GB2312" w:hAnsi="仿宋_GB2312" w:eastAsia="仿宋_GB2312" w:cs="仿宋_GB2312"/>
          <w:color w:val="333333"/>
          <w:kern w:val="0"/>
          <w:sz w:val="32"/>
          <w:szCs w:val="32"/>
        </w:rPr>
        <w:t>万元，用于青干班培训，人数</w:t>
      </w:r>
      <w:r>
        <w:rPr>
          <w:rFonts w:hint="eastAsia" w:ascii="仿宋_GB2312" w:hAnsi="仿宋_GB2312" w:eastAsia="仿宋_GB2312" w:cs="仿宋_GB2312"/>
          <w:color w:val="333333"/>
          <w:kern w:val="0"/>
          <w:sz w:val="32"/>
          <w:szCs w:val="32"/>
          <w:lang w:val="en-US" w:eastAsia="zh-CN"/>
        </w:rPr>
        <w:t>2</w:t>
      </w:r>
      <w:r>
        <w:rPr>
          <w:rFonts w:hint="eastAsia" w:ascii="仿宋_GB2312" w:hAnsi="仿宋_GB2312" w:eastAsia="仿宋_GB2312" w:cs="仿宋_GB2312"/>
          <w:color w:val="333333"/>
          <w:kern w:val="0"/>
          <w:sz w:val="32"/>
          <w:szCs w:val="32"/>
        </w:rPr>
        <w:t>人，内容为青干班学习培训。</w:t>
      </w:r>
    </w:p>
    <w:p>
      <w:pPr>
        <w:pStyle w:val="6"/>
        <w:widowControl/>
        <w:numPr>
          <w:ilvl w:val="0"/>
          <w:numId w:val="2"/>
        </w:numPr>
        <w:shd w:val="clear" w:color="auto" w:fill="FFFFFF"/>
        <w:spacing w:beforeAutospacing="0" w:afterAutospacing="0" w:line="360" w:lineRule="auto"/>
        <w:ind w:left="0" w:leftChars="0" w:firstLine="643" w:firstLineChars="200"/>
        <w:jc w:val="both"/>
        <w:rPr>
          <w:rFonts w:hint="eastAsia" w:ascii="楷体_GB2312" w:hAnsi="楷体_GB2312" w:eastAsia="楷体_GB2312" w:cs="楷体_GB2312"/>
          <w:b/>
          <w:bCs/>
          <w:color w:val="333333"/>
          <w:kern w:val="0"/>
          <w:sz w:val="32"/>
          <w:szCs w:val="32"/>
        </w:rPr>
      </w:pPr>
      <w:r>
        <w:rPr>
          <w:rFonts w:hint="eastAsia" w:ascii="楷体_GB2312" w:hAnsi="楷体_GB2312" w:eastAsia="楷体_GB2312" w:cs="楷体_GB2312"/>
          <w:b/>
          <w:bCs/>
          <w:color w:val="333333"/>
          <w:kern w:val="0"/>
          <w:sz w:val="32"/>
          <w:szCs w:val="32"/>
        </w:rPr>
        <w:t>政府采购支出情况</w:t>
      </w:r>
    </w:p>
    <w:p>
      <w:pPr>
        <w:spacing w:line="560" w:lineRule="exact"/>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本部门201</w:t>
      </w:r>
      <w:r>
        <w:rPr>
          <w:rFonts w:hint="eastAsia" w:ascii="仿宋_GB2312" w:hAnsi="仿宋_GB2312" w:eastAsia="仿宋_GB2312" w:cs="仿宋_GB2312"/>
          <w:color w:val="333333"/>
          <w:kern w:val="0"/>
          <w:sz w:val="32"/>
          <w:szCs w:val="32"/>
          <w:lang w:val="en-US" w:eastAsia="zh-CN"/>
        </w:rPr>
        <w:t>8</w:t>
      </w:r>
      <w:r>
        <w:rPr>
          <w:rFonts w:hint="eastAsia" w:ascii="仿宋_GB2312" w:hAnsi="仿宋_GB2312" w:eastAsia="仿宋_GB2312" w:cs="仿宋_GB2312"/>
          <w:color w:val="333333"/>
          <w:kern w:val="0"/>
          <w:sz w:val="32"/>
          <w:szCs w:val="32"/>
        </w:rPr>
        <w:t>年度政府采购支出总额</w:t>
      </w:r>
      <w:r>
        <w:rPr>
          <w:rFonts w:hint="eastAsia" w:ascii="仿宋_GB2312" w:hAnsi="仿宋_GB2312" w:eastAsia="仿宋_GB2312" w:cs="仿宋_GB2312"/>
          <w:color w:val="333333"/>
          <w:kern w:val="0"/>
          <w:sz w:val="32"/>
          <w:szCs w:val="32"/>
          <w:lang w:val="en-US" w:eastAsia="zh-CN" w:bidi="ar-SA"/>
        </w:rPr>
        <w:t>65.88</w:t>
      </w:r>
      <w:r>
        <w:rPr>
          <w:rFonts w:hint="eastAsia" w:ascii="仿宋_GB2312" w:hAnsi="仿宋_GB2312" w:eastAsia="仿宋_GB2312" w:cs="仿宋_GB2312"/>
          <w:color w:val="333333"/>
          <w:kern w:val="0"/>
          <w:sz w:val="32"/>
          <w:szCs w:val="32"/>
        </w:rPr>
        <w:t>万元，其中：政府采购货物支出</w:t>
      </w:r>
      <w:r>
        <w:rPr>
          <w:rFonts w:hint="eastAsia" w:ascii="仿宋_GB2312" w:hAnsi="仿宋_GB2312" w:eastAsia="仿宋_GB2312" w:cs="仿宋_GB2312"/>
          <w:color w:val="333333"/>
          <w:kern w:val="0"/>
          <w:sz w:val="32"/>
          <w:szCs w:val="32"/>
          <w:lang w:val="en-US" w:eastAsia="zh-CN" w:bidi="ar-SA"/>
        </w:rPr>
        <w:t>65.88</w:t>
      </w:r>
      <w:r>
        <w:rPr>
          <w:rFonts w:hint="eastAsia" w:ascii="仿宋_GB2312" w:hAnsi="仿宋_GB2312" w:eastAsia="仿宋_GB2312" w:cs="仿宋_GB2312"/>
          <w:color w:val="333333"/>
          <w:kern w:val="0"/>
          <w:sz w:val="32"/>
          <w:szCs w:val="32"/>
        </w:rPr>
        <w:t>万元；政府采购服务支出</w:t>
      </w:r>
      <w:r>
        <w:rPr>
          <w:rFonts w:hint="eastAsia" w:ascii="仿宋_GB2312" w:hAnsi="仿宋_GB2312" w:eastAsia="仿宋_GB2312" w:cs="仿宋_GB2312"/>
          <w:color w:val="333333"/>
          <w:kern w:val="0"/>
          <w:sz w:val="32"/>
          <w:szCs w:val="32"/>
          <w:lang w:val="en-US" w:eastAsia="zh-CN"/>
        </w:rPr>
        <w:t>0</w:t>
      </w:r>
      <w:r>
        <w:rPr>
          <w:rFonts w:hint="eastAsia" w:ascii="仿宋_GB2312" w:hAnsi="仿宋_GB2312" w:eastAsia="仿宋_GB2312" w:cs="仿宋_GB2312"/>
          <w:color w:val="333333"/>
          <w:kern w:val="0"/>
          <w:sz w:val="32"/>
          <w:szCs w:val="32"/>
        </w:rPr>
        <w:t>万元。授予中小企业合同金额</w:t>
      </w:r>
      <w:r>
        <w:rPr>
          <w:rFonts w:hint="eastAsia" w:ascii="仿宋_GB2312" w:hAnsi="仿宋_GB2312" w:eastAsia="仿宋_GB2312" w:cs="仿宋_GB2312"/>
          <w:color w:val="333333"/>
          <w:kern w:val="0"/>
          <w:sz w:val="32"/>
          <w:szCs w:val="32"/>
          <w:lang w:val="en-US" w:eastAsia="zh-CN" w:bidi="ar-SA"/>
        </w:rPr>
        <w:t>65.88</w:t>
      </w:r>
      <w:r>
        <w:rPr>
          <w:rFonts w:hint="eastAsia" w:ascii="仿宋_GB2312" w:hAnsi="仿宋_GB2312" w:eastAsia="仿宋_GB2312" w:cs="仿宋_GB2312"/>
          <w:color w:val="333333"/>
          <w:kern w:val="0"/>
          <w:sz w:val="32"/>
          <w:szCs w:val="32"/>
        </w:rPr>
        <w:t>万元，占政府采购支出总额的100%，其中：授予小微企业合同金额</w:t>
      </w:r>
      <w:r>
        <w:rPr>
          <w:rFonts w:hint="eastAsia" w:ascii="仿宋_GB2312" w:hAnsi="仿宋_GB2312" w:eastAsia="仿宋_GB2312" w:cs="仿宋_GB2312"/>
          <w:color w:val="333333"/>
          <w:kern w:val="0"/>
          <w:sz w:val="32"/>
          <w:szCs w:val="32"/>
          <w:lang w:val="en-US" w:eastAsia="zh-CN" w:bidi="ar-SA"/>
        </w:rPr>
        <w:t>65.88</w:t>
      </w:r>
      <w:r>
        <w:rPr>
          <w:rFonts w:hint="eastAsia" w:ascii="仿宋_GB2312" w:hAnsi="仿宋_GB2312" w:eastAsia="仿宋_GB2312" w:cs="仿宋_GB2312"/>
          <w:color w:val="333333"/>
          <w:kern w:val="0"/>
          <w:sz w:val="32"/>
          <w:szCs w:val="32"/>
        </w:rPr>
        <w:t>万元，占政府采购支出总额100%。</w:t>
      </w:r>
    </w:p>
    <w:p>
      <w:pPr>
        <w:spacing w:line="560" w:lineRule="exact"/>
        <w:ind w:firstLine="643" w:firstLineChars="200"/>
        <w:jc w:val="left"/>
        <w:rPr>
          <w:rFonts w:hint="eastAsia" w:ascii="楷体_GB2312" w:hAnsi="楷体_GB2312" w:eastAsia="楷体_GB2312" w:cs="楷体_GB2312"/>
          <w:b/>
          <w:bCs/>
          <w:color w:val="333333"/>
          <w:kern w:val="0"/>
          <w:sz w:val="32"/>
          <w:szCs w:val="32"/>
        </w:rPr>
      </w:pPr>
      <w:r>
        <w:rPr>
          <w:rFonts w:hint="eastAsia" w:ascii="楷体_GB2312" w:hAnsi="楷体_GB2312" w:eastAsia="楷体_GB2312" w:cs="楷体_GB2312"/>
          <w:b/>
          <w:bCs/>
          <w:color w:val="333333"/>
          <w:kern w:val="0"/>
          <w:sz w:val="32"/>
          <w:szCs w:val="32"/>
        </w:rPr>
        <w:t>（四）国有资产占用情况</w:t>
      </w:r>
    </w:p>
    <w:p>
      <w:pPr>
        <w:pStyle w:val="6"/>
        <w:widowControl/>
        <w:shd w:val="clear" w:color="auto" w:fill="FFFFFF"/>
        <w:spacing w:beforeAutospacing="0" w:afterAutospacing="0" w:line="360" w:lineRule="auto"/>
        <w:ind w:firstLine="420"/>
        <w:jc w:val="both"/>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截至2018年12 月31 日，本部门共有车辆2 辆，其中，一般公务用车2辆；单位价值50 万元以上通用设备1台（套）。</w:t>
      </w:r>
    </w:p>
    <w:p>
      <w:pPr>
        <w:pStyle w:val="6"/>
        <w:widowControl/>
        <w:shd w:val="clear" w:color="auto" w:fill="FFFFFF"/>
        <w:spacing w:beforeAutospacing="0" w:afterAutospacing="0" w:line="360" w:lineRule="auto"/>
        <w:ind w:firstLine="420"/>
        <w:jc w:val="both"/>
        <w:rPr>
          <w:rFonts w:ascii="宋体" w:hAnsi="宋体" w:eastAsia="宋体" w:cs="宋体"/>
          <w:color w:val="333333"/>
          <w:shd w:val="clear" w:color="auto" w:fill="FFFFFF"/>
        </w:rPr>
      </w:pPr>
    </w:p>
    <w:p>
      <w:pPr>
        <w:widowControl/>
        <w:numPr>
          <w:ilvl w:val="0"/>
          <w:numId w:val="1"/>
        </w:numPr>
        <w:shd w:val="clear" w:color="auto" w:fill="FFFFFF"/>
        <w:spacing w:line="560" w:lineRule="exact"/>
        <w:ind w:firstLine="723" w:firstLineChars="200"/>
        <w:jc w:val="center"/>
        <w:rPr>
          <w:rFonts w:hint="eastAsia" w:ascii="宋体" w:hAnsi="宋体" w:cs="宋体"/>
          <w:b/>
          <w:bCs/>
          <w:color w:val="333333"/>
          <w:kern w:val="0"/>
          <w:sz w:val="36"/>
          <w:szCs w:val="36"/>
        </w:rPr>
      </w:pPr>
      <w:r>
        <w:rPr>
          <w:rFonts w:hint="eastAsia" w:ascii="宋体" w:hAnsi="宋体" w:cs="宋体"/>
          <w:b/>
          <w:bCs/>
          <w:color w:val="333333"/>
          <w:kern w:val="0"/>
          <w:sz w:val="36"/>
          <w:szCs w:val="36"/>
        </w:rPr>
        <w:t xml:space="preserve"> 名词解释</w:t>
      </w:r>
    </w:p>
    <w:p>
      <w:pPr>
        <w:spacing w:line="560" w:lineRule="exact"/>
        <w:ind w:firstLine="640" w:firstLineChars="200"/>
        <w:jc w:val="left"/>
        <w:rPr>
          <w:rFonts w:hint="eastAsia" w:ascii="仿宋_GB2312" w:hAnsi="仿宋_GB2312" w:eastAsia="仿宋_GB2312" w:cs="仿宋_GB2312"/>
          <w:color w:val="333333"/>
          <w:kern w:val="0"/>
          <w:sz w:val="32"/>
          <w:szCs w:val="32"/>
          <w:lang w:val="en-US" w:eastAsia="zh-CN" w:bidi="ar-SA"/>
        </w:rPr>
      </w:pPr>
      <w:r>
        <w:rPr>
          <w:rFonts w:hint="eastAsia" w:ascii="仿宋_GB2312" w:hAnsi="仿宋_GB2312" w:eastAsia="仿宋_GB2312" w:cs="仿宋_GB2312"/>
          <w:color w:val="333333"/>
          <w:kern w:val="0"/>
          <w:sz w:val="32"/>
          <w:szCs w:val="32"/>
          <w:lang w:val="en-US" w:eastAsia="zh-CN" w:bidi="ar-SA"/>
        </w:rPr>
        <w:t>政府性基金预算：是指对依照法律、行政法规的规定在一定期限内向特定对象征收、收取或者以其他方式筹集的资金，专项用于特定公共事业发展的收支预算。</w:t>
      </w:r>
    </w:p>
    <w:p>
      <w:pPr>
        <w:pStyle w:val="6"/>
        <w:widowControl/>
        <w:shd w:val="clear" w:color="auto" w:fill="FFFFFF"/>
        <w:spacing w:beforeAutospacing="0" w:afterAutospacing="0" w:line="360" w:lineRule="auto"/>
        <w:jc w:val="both"/>
        <w:rPr>
          <w:rFonts w:ascii="宋体" w:hAnsi="宋体" w:eastAsia="宋体" w:cs="宋体"/>
          <w:color w:val="333333"/>
          <w:shd w:val="clear" w:color="auto" w:fill="FFFFFF"/>
        </w:rPr>
      </w:pPr>
    </w:p>
    <w:p>
      <w:pPr>
        <w:widowControl/>
        <w:numPr>
          <w:ilvl w:val="0"/>
          <w:numId w:val="1"/>
        </w:numPr>
        <w:shd w:val="clear" w:color="auto" w:fill="FFFFFF"/>
        <w:spacing w:line="560" w:lineRule="exact"/>
        <w:ind w:left="0" w:leftChars="0" w:firstLine="723" w:firstLineChars="200"/>
        <w:jc w:val="center"/>
        <w:rPr>
          <w:rFonts w:hint="eastAsia" w:ascii="宋体" w:hAnsi="宋体" w:cs="宋体"/>
          <w:b/>
          <w:bCs/>
          <w:color w:val="333333"/>
          <w:kern w:val="0"/>
          <w:sz w:val="36"/>
          <w:szCs w:val="36"/>
        </w:rPr>
      </w:pPr>
      <w:r>
        <w:rPr>
          <w:rFonts w:hint="eastAsia" w:ascii="宋体" w:hAnsi="宋体" w:cs="宋体"/>
          <w:b/>
          <w:bCs/>
          <w:color w:val="333333"/>
          <w:kern w:val="0"/>
          <w:sz w:val="36"/>
          <w:szCs w:val="36"/>
        </w:rPr>
        <w:t xml:space="preserve"> 附件</w:t>
      </w:r>
    </w:p>
    <w:p>
      <w:pPr>
        <w:widowControl/>
        <w:numPr>
          <w:ilvl w:val="0"/>
          <w:numId w:val="0"/>
        </w:numPr>
        <w:shd w:val="clear" w:color="auto" w:fill="FFFFFF"/>
        <w:spacing w:line="560" w:lineRule="exact"/>
        <w:ind w:leftChars="200"/>
        <w:jc w:val="both"/>
        <w:rPr>
          <w:rFonts w:hint="eastAsia" w:ascii="宋体" w:hAnsi="宋体" w:cs="宋体"/>
          <w:b/>
          <w:bCs/>
          <w:color w:val="333333"/>
          <w:kern w:val="0"/>
          <w:sz w:val="36"/>
          <w:szCs w:val="36"/>
        </w:rPr>
      </w:pPr>
    </w:p>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湘潭县民政局</w:t>
      </w:r>
      <w:r>
        <w:rPr>
          <w:rFonts w:hint="eastAsia" w:ascii="宋体" w:hAnsi="宋体" w:cs="方正小标宋_GBK"/>
          <w:b/>
          <w:bCs/>
          <w:sz w:val="36"/>
          <w:szCs w:val="36"/>
        </w:rPr>
        <w:t>部门整体支出绩效评价报告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宋体" w:hAnsi="宋体" w:cs="方正小标宋_GBK"/>
                <w:b w:val="0"/>
                <w:bCs/>
                <w:sz w:val="28"/>
                <w:szCs w:val="28"/>
              </w:rPr>
              <w:t>湘潭县民政局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 w:hAnsi="仿宋" w:eastAsia="仿宋" w:cs="仿宋"/>
                <w:color w:val="000000" w:themeColor="text1"/>
                <w:kern w:val="0"/>
                <w:sz w:val="24"/>
                <w14:textFill>
                  <w14:solidFill>
                    <w14:schemeClr w14:val="tx1"/>
                  </w14:solidFill>
                </w14:textFill>
              </w:rPr>
              <w:t>2018年部门预算为1254.69万元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pacing w:line="576" w:lineRule="exact"/>
              <w:ind w:right="880" w:rightChars="419"/>
              <w:jc w:val="center"/>
              <w:rPr>
                <w:rFonts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7"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1.贯彻执行党和国家关于民政工作的法律、法规和方针、政策；拟订全县民政事业发展规划和政策，并组织实施和监督检查。</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2.承担依法对全县社会团体、民办非企业单位的登记管理和监察责任。</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3.拟订全县社会救助规划、政策；健全城乡社会救助体系；负责城乡居民最低生活保障、临时救助工作；负责农村五保供养和敬老院建设工作；拟订城乡居民最低生活保障对象家庭收入核查办法和程序；管理和发放上级下拨的和县级安排的保障金。</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4.拟订全县城乡基层群众自治组织建设和社区建设相关制度并组织实施；提出加强和改进城乡基层政权建设的建议；指导、组织城乡社区建设和服务管理工作；推动村（居）务公开和基层民主政治建设；指导基层群众自治组织和社区组织干部的表彰。</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5.负责全县行政区划总体规划、地名管理办法的拟定并组织实施；负责行政区域界线的勘定和管理工作；负责全县法定行政区域界线争议的调查和调处工作；负责地名管理工作；组织建立和管理地名信息资料和档案。</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6.负责全县社会福利事业发展规划的拟定并组织实施；指导全县社会福利机构的建设和管理；指导老年人、孤儿和残疾人等特殊群体的权益保障工作；拟订促进慈善事业发展的规划、政策；组织、指导、社会捐助工作；审批全县性社会福利募捐义演义卖等活动。</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7.拟订全县福利彩票发行规划，组织指导全县福利彩票发行工作，确保福利彩票安全运行、健康发展；负责本级福彩公益金的管理和使用；指导、监督全县福彩公益金的管理和使用。</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8.贯彻执行国家的婚姻登记、殡葬管理和儿童收养政策并组织实施；推进婚俗和殡葬改革；负责国内收养登记工作，配合有关部门保护妇女儿童的合法权益；负责城市生活无着流浪乞讨人员救助管理工作。</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9.负责全县民政事业经费的监督和管理；负责局机关和下属单位的国有资产的管理工作；负责民政统计工作。</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10.承办市民政局和县政府交办的革命老区的调查研究、资料收集、宣传教育及老区开发项目的考察论证、评估审核、资金的监督管理工作。</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11.指导全县基层民政干部职工队伍建设；推进全县社会工作人才队伍建设和相关志愿者队伍建设；推进民政科技信息和民政行业标准化工作。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 xml:space="preserve"> 1、2018年我局年初部门预算1254.69万元（其中基本支出719.64万元；项目支出448.42万元；上级补助收入86.63万元）。基本支出年初安排719.64万元，包含工资福利支出622.76万，商品服务支出91.80万，其他对个人和家庭的补助支出5.08万。</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 xml:space="preserve"> 2、部门支出共2000.52万元。基本支出1419.03万元，项目支出581.49万元。</w:t>
            </w:r>
          </w:p>
          <w:p>
            <w:pPr>
              <w:pStyle w:val="6"/>
              <w:shd w:val="clear" w:color="auto" w:fill="FFFFFF"/>
              <w:spacing w:beforeAutospacing="0" w:afterAutospacing="0" w:line="450" w:lineRule="atLeast"/>
              <w:ind w:firstLine="629"/>
              <w:jc w:val="both"/>
              <w:rPr>
                <w:rFonts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 xml:space="preserve"> 3、“三公”经费预算变动率：2018年“三公”经费预算数21.10 万元，其中：公务接待费 9.1万元，公务用车运行费12 万元，因公出国（境）费0元。与上年相比减少 10.9万元，公务接待费减少 10.9万元，公务用车运行费与上年持平，“三公经费”变动率为-34.06%。</w:t>
            </w:r>
          </w:p>
          <w:p>
            <w:pPr>
              <w:pStyle w:val="6"/>
              <w:shd w:val="clear" w:color="auto" w:fill="FFFFFF"/>
              <w:spacing w:beforeAutospacing="0" w:afterAutospacing="0" w:line="450" w:lineRule="atLeast"/>
              <w:ind w:firstLine="629"/>
              <w:jc w:val="both"/>
              <w:rPr>
                <w:rFonts w:ascii="仿宋_GB2312" w:eastAsia="仿宋_GB2312"/>
                <w:szCs w:val="21"/>
              </w:rPr>
            </w:pPr>
            <w:r>
              <w:rPr>
                <w:rFonts w:hint="eastAsia" w:ascii="仿宋" w:hAnsi="仿宋" w:eastAsia="仿宋" w:cs="仿宋"/>
                <w:color w:val="000000" w:themeColor="text1"/>
                <w14:textFill>
                  <w14:solidFill>
                    <w14:schemeClr w14:val="tx1"/>
                  </w14:solidFill>
                </w14:textFill>
              </w:rPr>
              <w:t xml:space="preserve">  4、项目经费支出情况：本年度财政部门预算安排项目资金448.42万元，上级补助收入86.63万元。其中地名普查和地名区划支出86.93万元；民政工作经费100万元；优抚对象集中供养90万元；殡葬71.19万元，临时救助85万元；流浪乞讨人员救助34.31万元；城乡社会救济54.06万元；维稳60万元。项目都已按预期实施，但殡葬县级预算经费不够且上级无拨款，导致无法深入开展工作，其他项目都已经按照计划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1、预算方面：个别新增项目预算不足，导致工作无法开展</w:t>
            </w:r>
          </w:p>
          <w:p>
            <w:pP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2、项目推进较慢，预算执行进度受到一定影响。</w:t>
            </w:r>
          </w:p>
          <w:p>
            <w:pPr>
              <w:spacing w:line="576" w:lineRule="exact"/>
              <w:ind w:right="880" w:rightChars="419"/>
              <w:jc w:val="center"/>
              <w:rPr>
                <w:rFonts w:ascii="仿宋_GB2312" w:hAnsi="宋体" w:eastAsia="仿宋_GB2312" w:cs="宋体"/>
                <w:szCs w:val="21"/>
              </w:rPr>
            </w:pPr>
            <w:r>
              <w:rPr>
                <w:rFonts w:hint="eastAsia" w:ascii="仿宋" w:hAnsi="仿宋" w:eastAsia="仿宋" w:cs="仿宋"/>
                <w:color w:val="000000" w:themeColor="text1"/>
                <w:kern w:val="0"/>
                <w:sz w:val="24"/>
                <w14:textFill>
                  <w14:solidFill>
                    <w14:schemeClr w14:val="tx1"/>
                  </w14:solidFill>
                </w14:textFill>
              </w:rPr>
              <w:t>3、因单位全额编制少，工作任务量大，导致一般公用经费压力大。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1、做好、做细预算基础工作，提高预算的准确性。</w:t>
            </w:r>
          </w:p>
          <w:p>
            <w:pP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2、加大工作力度，将工作做细做实，提高工作效率，加快项目实施进度，加强预算执行进度。</w:t>
            </w:r>
          </w:p>
          <w:p>
            <w:pPr>
              <w:rPr>
                <w:rFonts w:ascii="仿宋_GB2312" w:hAnsi="宋体" w:eastAsia="仿宋_GB2312" w:cs="宋体"/>
                <w:szCs w:val="21"/>
              </w:rPr>
            </w:pPr>
            <w:r>
              <w:rPr>
                <w:rFonts w:hint="eastAsia" w:ascii="仿宋" w:hAnsi="仿宋" w:eastAsia="仿宋" w:cs="仿宋"/>
                <w:color w:val="000000" w:themeColor="text1"/>
                <w:kern w:val="0"/>
                <w:sz w:val="24"/>
                <w14:textFill>
                  <w14:solidFill>
                    <w14:schemeClr w14:val="tx1"/>
                  </w14:solidFill>
                </w14:textFill>
              </w:rPr>
              <w:t>3、落实压减一般性支出，牢固树立过“紧日子”思想。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80" w:rightChars="419"/>
              <w:jc w:val="center"/>
              <w:rPr>
                <w:rFonts w:ascii="仿宋_GB2312" w:hAnsi="宋体" w:eastAsia="仿宋_GB2312" w:cs="宋体"/>
                <w:szCs w:val="21"/>
              </w:rPr>
            </w:pPr>
          </w:p>
        </w:tc>
      </w:tr>
    </w:tbl>
    <w:p>
      <w:pPr>
        <w:spacing w:line="360" w:lineRule="auto"/>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A145D1"/>
    <w:multiLevelType w:val="singleLevel"/>
    <w:tmpl w:val="92A145D1"/>
    <w:lvl w:ilvl="0" w:tentative="0">
      <w:start w:val="2"/>
      <w:numFmt w:val="chineseCounting"/>
      <w:suff w:val="nothing"/>
      <w:lvlText w:val="（%1）"/>
      <w:lvlJc w:val="left"/>
      <w:rPr>
        <w:rFonts w:hint="eastAsia"/>
      </w:rPr>
    </w:lvl>
  </w:abstractNum>
  <w:abstractNum w:abstractNumId="1">
    <w:nsid w:val="C50102FB"/>
    <w:multiLevelType w:val="singleLevel"/>
    <w:tmpl w:val="C50102FB"/>
    <w:lvl w:ilvl="0" w:tentative="0">
      <w:start w:val="3"/>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kNWQxYzA5OWIwMjY4OGEyYjA1OTlhNDRlMTdlMTIifQ=="/>
  </w:docVars>
  <w:rsids>
    <w:rsidRoot w:val="001120CE"/>
    <w:rsid w:val="001120CE"/>
    <w:rsid w:val="00855D2C"/>
    <w:rsid w:val="0460764F"/>
    <w:rsid w:val="0AB24666"/>
    <w:rsid w:val="0CAA3B2C"/>
    <w:rsid w:val="102A1C97"/>
    <w:rsid w:val="1E47140A"/>
    <w:rsid w:val="22F10A8A"/>
    <w:rsid w:val="250160C2"/>
    <w:rsid w:val="27F03E2A"/>
    <w:rsid w:val="2B4247D6"/>
    <w:rsid w:val="2BDE3317"/>
    <w:rsid w:val="2DE97F53"/>
    <w:rsid w:val="33B74A10"/>
    <w:rsid w:val="360947E2"/>
    <w:rsid w:val="37D82A75"/>
    <w:rsid w:val="3D1265FA"/>
    <w:rsid w:val="416A2A01"/>
    <w:rsid w:val="42826AF9"/>
    <w:rsid w:val="430D4035"/>
    <w:rsid w:val="4B62486C"/>
    <w:rsid w:val="4CE71A4B"/>
    <w:rsid w:val="553D46BD"/>
    <w:rsid w:val="5825299F"/>
    <w:rsid w:val="5DF66037"/>
    <w:rsid w:val="639141CD"/>
    <w:rsid w:val="65033B2B"/>
    <w:rsid w:val="65F4007A"/>
    <w:rsid w:val="6A6E775D"/>
    <w:rsid w:val="6C764A00"/>
    <w:rsid w:val="6F541E35"/>
    <w:rsid w:val="72382373"/>
    <w:rsid w:val="726C17EC"/>
    <w:rsid w:val="73D23A91"/>
    <w:rsid w:val="777F2575"/>
    <w:rsid w:val="7EBD7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customStyle="1" w:styleId="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0">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A1569-F60B-4389-AE85-4603BE51D723}">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12113</Words>
  <Characters>18030</Characters>
  <Lines>135</Lines>
  <Paragraphs>38</Paragraphs>
  <TotalTime>64</TotalTime>
  <ScaleCrop>false</ScaleCrop>
  <LinksUpToDate>false</LinksUpToDate>
  <CharactersWithSpaces>18986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2021-06-21T01:18:00Z</dcterms:created>
  <dc:creator>Administrator</dc:creator>
  <cp:lastModifiedBy>Administrator</cp:lastModifiedBy>
  <dcterms:modified xsi:type="dcterms:W3CDTF">2023-04-21T01:12:44Z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7EB0262F90D04D64AB5F815BC1D370D1</vt:lpwstr>
  </property>
</Properties>
</file>