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after="300"/>
        <w:jc w:val="center"/>
        <w:rPr>
          <w:rFonts w:hint="eastAsia"/>
          <w:b/>
          <w:bCs/>
          <w:sz w:val="39"/>
          <w:szCs w:val="39"/>
        </w:rPr>
      </w:pPr>
      <w:r>
        <w:rPr>
          <w:rFonts w:ascii="Helvetica" w:hAnsi="Helvetica" w:eastAsia="微软雅黑" w:cs="Helvetica"/>
          <w:sz w:val="27"/>
          <w:szCs w:val="27"/>
        </w:rPr>
        <w:t> </w:t>
      </w:r>
      <w:r>
        <w:rPr>
          <w:b/>
          <w:bCs/>
          <w:sz w:val="39"/>
          <w:szCs w:val="39"/>
          <w:shd w:val="clear" w:color="auto" w:fill="FFFFFF"/>
        </w:rPr>
        <w:t>湘潭县司法局2018年度部门决算公开</w:t>
      </w:r>
    </w:p>
    <w:p>
      <w:pPr>
        <w:pStyle w:val="7"/>
        <w:keepNext w:val="0"/>
        <w:keepLines w:val="0"/>
        <w:widowControl/>
        <w:suppressLineNumbers w:val="0"/>
        <w:shd w:val="clear" w:fill="FFFFFF"/>
        <w:spacing w:before="15" w:beforeAutospacing="0" w:after="15" w:afterAutospacing="0" w:line="420" w:lineRule="atLeast"/>
        <w:ind w:left="0" w:firstLine="420"/>
        <w:jc w:val="center"/>
        <w:rPr>
          <w:rFonts w:hint="eastAsia" w:ascii="宋体" w:hAnsi="宋体" w:eastAsia="宋体" w:cs="宋体"/>
          <w:b/>
          <w:bCs/>
          <w:sz w:val="32"/>
          <w:szCs w:val="32"/>
        </w:rPr>
      </w:pPr>
      <w:r>
        <w:rPr>
          <w:rStyle w:val="11"/>
          <w:rFonts w:hint="eastAsia" w:ascii="宋体" w:hAnsi="宋体" w:eastAsia="宋体" w:cs="宋体"/>
          <w:b/>
          <w:bCs/>
          <w:color w:val="333333"/>
          <w:sz w:val="32"/>
          <w:szCs w:val="32"/>
          <w:shd w:val="clear" w:fill="FFFFFF"/>
        </w:rPr>
        <w:t>目</w:t>
      </w:r>
      <w:r>
        <w:rPr>
          <w:rStyle w:val="11"/>
          <w:rFonts w:hint="eastAsia" w:cs="宋体"/>
          <w:b/>
          <w:bCs/>
          <w:color w:val="333333"/>
          <w:sz w:val="32"/>
          <w:szCs w:val="32"/>
          <w:shd w:val="clear" w:fill="FFFFFF"/>
          <w:lang w:val="en-US" w:eastAsia="zh-CN"/>
        </w:rPr>
        <w:t xml:space="preserve">  </w:t>
      </w:r>
      <w:r>
        <w:rPr>
          <w:rStyle w:val="11"/>
          <w:rFonts w:hint="eastAsia" w:ascii="宋体" w:hAnsi="宋体" w:eastAsia="宋体" w:cs="宋体"/>
          <w:b/>
          <w:bCs/>
          <w:color w:val="333333"/>
          <w:sz w:val="32"/>
          <w:szCs w:val="32"/>
          <w:shd w:val="clear" w:fill="FFFFFF"/>
        </w:rPr>
        <w:t>录</w:t>
      </w:r>
    </w:p>
    <w:p>
      <w:pPr>
        <w:pStyle w:val="7"/>
        <w:keepNext w:val="0"/>
        <w:keepLines w:val="0"/>
        <w:widowControl/>
        <w:suppressLineNumbers w:val="0"/>
        <w:shd w:val="clear" w:fill="FFFFFF"/>
        <w:spacing w:before="15" w:beforeAutospacing="0" w:after="15" w:afterAutospacing="0" w:line="420" w:lineRule="atLeast"/>
        <w:jc w:val="center"/>
        <w:rPr>
          <w:rFonts w:hint="eastAsia" w:ascii="宋体" w:hAnsi="宋体" w:eastAsia="宋体" w:cs="宋体"/>
          <w:sz w:val="24"/>
          <w:szCs w:val="24"/>
        </w:rPr>
      </w:pP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Style w:val="11"/>
          <w:rFonts w:hint="eastAsia" w:ascii="宋体" w:hAnsi="宋体" w:eastAsia="宋体" w:cs="宋体"/>
          <w:sz w:val="24"/>
          <w:szCs w:val="24"/>
          <w:shd w:val="clear" w:fill="FFFFFF"/>
        </w:rPr>
        <w:t>第一部分 </w:t>
      </w:r>
      <w:r>
        <w:rPr>
          <w:rStyle w:val="11"/>
          <w:rFonts w:hint="eastAsia" w:cs="宋体"/>
          <w:color w:val="333333"/>
          <w:sz w:val="24"/>
          <w:szCs w:val="24"/>
          <w:shd w:val="clear" w:fill="FFFFFF"/>
          <w:lang w:eastAsia="zh-CN"/>
        </w:rPr>
        <w:t>湘潭县</w:t>
      </w:r>
      <w:r>
        <w:rPr>
          <w:rStyle w:val="11"/>
          <w:rFonts w:hint="eastAsia" w:ascii="宋体" w:hAnsi="宋体" w:eastAsia="宋体" w:cs="宋体"/>
          <w:color w:val="333333"/>
          <w:sz w:val="24"/>
          <w:szCs w:val="24"/>
          <w:shd w:val="clear" w:fill="FFFFFF"/>
        </w:rPr>
        <w:t>司法局</w:t>
      </w:r>
      <w:r>
        <w:rPr>
          <w:rStyle w:val="11"/>
          <w:rFonts w:hint="eastAsia" w:ascii="宋体" w:hAnsi="宋体" w:eastAsia="宋体" w:cs="宋体"/>
          <w:sz w:val="24"/>
          <w:szCs w:val="24"/>
          <w:shd w:val="clear" w:fill="FFFFFF"/>
        </w:rPr>
        <w:t>概况</w:t>
      </w:r>
    </w:p>
    <w:p>
      <w:pPr>
        <w:pStyle w:val="7"/>
        <w:keepNext w:val="0"/>
        <w:keepLines w:val="0"/>
        <w:widowControl/>
        <w:numPr>
          <w:ilvl w:val="0"/>
          <w:numId w:val="1"/>
        </w:numPr>
        <w:suppressLineNumbers w:val="0"/>
        <w:shd w:val="clear" w:fill="FFFFFF"/>
        <w:spacing w:before="15" w:beforeAutospacing="0" w:after="15" w:afterAutospacing="0" w:line="420" w:lineRule="atLeast"/>
        <w:ind w:left="0" w:firstLine="420"/>
        <w:jc w:val="left"/>
        <w:rPr>
          <w:rFonts w:hint="eastAsia" w:cs="宋体"/>
          <w:sz w:val="24"/>
          <w:szCs w:val="24"/>
          <w:shd w:val="clear" w:fill="FFFFFF"/>
          <w:lang w:eastAsia="zh-CN"/>
        </w:rPr>
      </w:pPr>
      <w:r>
        <w:rPr>
          <w:rFonts w:hint="eastAsia" w:ascii="宋体" w:hAnsi="宋体" w:eastAsia="宋体" w:cs="宋体"/>
          <w:sz w:val="24"/>
          <w:szCs w:val="24"/>
          <w:shd w:val="clear" w:fill="FFFFFF"/>
        </w:rPr>
        <w:t>主要职能</w:t>
      </w:r>
      <w:r>
        <w:rPr>
          <w:rFonts w:hint="eastAsia" w:cs="宋体"/>
          <w:sz w:val="24"/>
          <w:szCs w:val="24"/>
          <w:shd w:val="clear" w:fill="FFFFFF"/>
          <w:lang w:eastAsia="zh-CN"/>
        </w:rPr>
        <w:t>职责</w:t>
      </w:r>
    </w:p>
    <w:p>
      <w:pPr>
        <w:pStyle w:val="7"/>
        <w:keepNext w:val="0"/>
        <w:keepLines w:val="0"/>
        <w:widowControl/>
        <w:numPr>
          <w:ilvl w:val="0"/>
          <w:numId w:val="1"/>
        </w:numPr>
        <w:suppressLineNumbers w:val="0"/>
        <w:shd w:val="clear" w:fill="FFFFFF"/>
        <w:spacing w:before="15" w:beforeAutospacing="0" w:after="15" w:afterAutospacing="0" w:line="420" w:lineRule="atLeast"/>
        <w:ind w:left="0" w:firstLine="420"/>
        <w:jc w:val="left"/>
        <w:rPr>
          <w:rFonts w:hint="eastAsia" w:cs="宋体"/>
          <w:sz w:val="24"/>
          <w:szCs w:val="24"/>
          <w:shd w:val="clear" w:fill="FFFFFF"/>
          <w:lang w:eastAsia="zh-CN"/>
        </w:rPr>
      </w:pPr>
      <w:r>
        <w:rPr>
          <w:rFonts w:hint="eastAsia" w:cs="宋体"/>
          <w:sz w:val="24"/>
          <w:szCs w:val="24"/>
          <w:shd w:val="clear" w:fill="FFFFFF"/>
          <w:lang w:eastAsia="zh-CN"/>
        </w:rPr>
        <w:t>机构设置与人员编制</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cs="宋体"/>
          <w:sz w:val="24"/>
          <w:szCs w:val="24"/>
          <w:shd w:val="clear" w:fill="FFFFFF"/>
          <w:lang w:eastAsia="zh-CN"/>
        </w:rPr>
        <w:t>三</w:t>
      </w:r>
      <w:r>
        <w:rPr>
          <w:rFonts w:hint="eastAsia" w:ascii="宋体" w:hAnsi="宋体" w:eastAsia="宋体" w:cs="宋体"/>
          <w:sz w:val="24"/>
          <w:szCs w:val="24"/>
          <w:shd w:val="clear" w:fill="FFFFFF"/>
        </w:rPr>
        <w:t>、部门决算单位构成</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Style w:val="11"/>
          <w:rFonts w:hint="eastAsia" w:ascii="宋体" w:hAnsi="宋体" w:eastAsia="宋体" w:cs="宋体"/>
          <w:sz w:val="24"/>
          <w:szCs w:val="24"/>
          <w:shd w:val="clear" w:fill="FFFFFF"/>
        </w:rPr>
        <w:t>第二部分 </w:t>
      </w:r>
      <w:r>
        <w:rPr>
          <w:rStyle w:val="11"/>
          <w:rFonts w:hint="eastAsia" w:cs="宋体"/>
          <w:color w:val="333333"/>
          <w:sz w:val="24"/>
          <w:szCs w:val="24"/>
          <w:shd w:val="clear" w:fill="FFFFFF"/>
          <w:lang w:eastAsia="zh-CN"/>
        </w:rPr>
        <w:t>湘潭县</w:t>
      </w:r>
      <w:r>
        <w:rPr>
          <w:rStyle w:val="11"/>
          <w:rFonts w:hint="eastAsia" w:ascii="宋体" w:hAnsi="宋体" w:eastAsia="宋体" w:cs="宋体"/>
          <w:color w:val="333333"/>
          <w:sz w:val="24"/>
          <w:szCs w:val="24"/>
          <w:shd w:val="clear" w:fill="FFFFFF"/>
        </w:rPr>
        <w:t>司法局</w:t>
      </w:r>
      <w:r>
        <w:rPr>
          <w:rStyle w:val="11"/>
          <w:rFonts w:hint="eastAsia" w:ascii="宋体" w:hAnsi="宋体" w:eastAsia="宋体" w:cs="宋体"/>
          <w:sz w:val="24"/>
          <w:szCs w:val="24"/>
          <w:shd w:val="clear" w:fill="FFFFFF"/>
        </w:rPr>
        <w:t>201</w:t>
      </w:r>
      <w:r>
        <w:rPr>
          <w:rStyle w:val="11"/>
          <w:rFonts w:hint="eastAsia" w:cs="宋体"/>
          <w:sz w:val="24"/>
          <w:szCs w:val="24"/>
          <w:shd w:val="clear" w:fill="FFFFFF"/>
          <w:lang w:val="en-US" w:eastAsia="zh-CN"/>
        </w:rPr>
        <w:t>8</w:t>
      </w:r>
      <w:r>
        <w:rPr>
          <w:rStyle w:val="11"/>
          <w:rFonts w:hint="eastAsia" w:ascii="宋体" w:hAnsi="宋体" w:eastAsia="宋体" w:cs="宋体"/>
          <w:sz w:val="24"/>
          <w:szCs w:val="24"/>
          <w:shd w:val="clear" w:fill="FFFFFF"/>
        </w:rPr>
        <w:t>年度部门决算表</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1.收入支出决算总表</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2.收入决算表</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3.支出决算表</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4.财政拨款收入支出决算总表</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5.一般公共预算财政拨款收入支出决算表</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6.一般公共预算财政拨款基本支出决算表</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7.政府性基金预算财政拨款收入支出决算表</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8.一般公共预算财政拨款“三公”经费支出决算表</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（公开表格附后）</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Style w:val="11"/>
          <w:rFonts w:hint="eastAsia" w:ascii="宋体" w:hAnsi="宋体" w:eastAsia="宋体" w:cs="宋体"/>
          <w:sz w:val="24"/>
          <w:szCs w:val="24"/>
          <w:shd w:val="clear" w:fill="FFFFFF"/>
        </w:rPr>
        <w:t>第三部分 </w:t>
      </w:r>
      <w:r>
        <w:rPr>
          <w:rStyle w:val="11"/>
          <w:rFonts w:hint="eastAsia" w:cs="宋体"/>
          <w:color w:val="333333"/>
          <w:sz w:val="24"/>
          <w:szCs w:val="24"/>
          <w:shd w:val="clear" w:fill="FFFFFF"/>
          <w:lang w:eastAsia="zh-CN"/>
        </w:rPr>
        <w:t>湘潭县司法局</w:t>
      </w:r>
      <w:r>
        <w:rPr>
          <w:rStyle w:val="11"/>
          <w:rFonts w:hint="eastAsia" w:ascii="宋体" w:hAnsi="宋体" w:eastAsia="宋体" w:cs="宋体"/>
          <w:sz w:val="24"/>
          <w:szCs w:val="24"/>
          <w:shd w:val="clear" w:fill="FFFFFF"/>
        </w:rPr>
        <w:t>201</w:t>
      </w:r>
      <w:r>
        <w:rPr>
          <w:rStyle w:val="11"/>
          <w:rFonts w:hint="eastAsia" w:cs="宋体"/>
          <w:sz w:val="24"/>
          <w:szCs w:val="24"/>
          <w:shd w:val="clear" w:fill="FFFFFF"/>
          <w:lang w:val="en-US" w:eastAsia="zh-CN"/>
        </w:rPr>
        <w:t>8</w:t>
      </w:r>
      <w:r>
        <w:rPr>
          <w:rStyle w:val="11"/>
          <w:rFonts w:hint="eastAsia" w:ascii="宋体" w:hAnsi="宋体" w:eastAsia="宋体" w:cs="宋体"/>
          <w:sz w:val="24"/>
          <w:szCs w:val="24"/>
          <w:shd w:val="clear" w:fill="FFFFFF"/>
        </w:rPr>
        <w:t>年度部门决算情况说明</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一、201</w:t>
      </w:r>
      <w:r>
        <w:rPr>
          <w:rFonts w:hint="eastAsia" w:cs="宋体"/>
          <w:sz w:val="24"/>
          <w:szCs w:val="24"/>
          <w:shd w:val="clear" w:fill="FFFFFF"/>
          <w:lang w:val="en-US" w:eastAsia="zh-CN"/>
        </w:rPr>
        <w:t>8</w:t>
      </w:r>
      <w:r>
        <w:rPr>
          <w:rFonts w:hint="eastAsia" w:ascii="宋体" w:hAnsi="宋体" w:eastAsia="宋体" w:cs="宋体"/>
          <w:sz w:val="24"/>
          <w:szCs w:val="24"/>
          <w:shd w:val="clear" w:fill="FFFFFF"/>
        </w:rPr>
        <w:t>年度收入支出决算总体情况说明</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二、201</w:t>
      </w:r>
      <w:r>
        <w:rPr>
          <w:rFonts w:hint="eastAsia" w:cs="宋体"/>
          <w:sz w:val="24"/>
          <w:szCs w:val="24"/>
          <w:shd w:val="clear" w:fill="FFFFFF"/>
          <w:lang w:val="en-US" w:eastAsia="zh-CN"/>
        </w:rPr>
        <w:t>8</w:t>
      </w:r>
      <w:r>
        <w:rPr>
          <w:rFonts w:hint="eastAsia" w:ascii="宋体" w:hAnsi="宋体" w:eastAsia="宋体" w:cs="宋体"/>
          <w:sz w:val="24"/>
          <w:szCs w:val="24"/>
          <w:shd w:val="clear" w:fill="FFFFFF"/>
        </w:rPr>
        <w:t>年度收入决算情况说明</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三、201</w:t>
      </w:r>
      <w:r>
        <w:rPr>
          <w:rFonts w:hint="eastAsia" w:cs="宋体"/>
          <w:sz w:val="24"/>
          <w:szCs w:val="24"/>
          <w:shd w:val="clear" w:fill="FFFFFF"/>
          <w:lang w:val="en-US" w:eastAsia="zh-CN"/>
        </w:rPr>
        <w:t>8</w:t>
      </w:r>
      <w:r>
        <w:rPr>
          <w:rFonts w:hint="eastAsia" w:ascii="宋体" w:hAnsi="宋体" w:eastAsia="宋体" w:cs="宋体"/>
          <w:sz w:val="24"/>
          <w:szCs w:val="24"/>
          <w:shd w:val="clear" w:fill="FFFFFF"/>
        </w:rPr>
        <w:t>年度支出决算情况说明</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四、关于财政拨款收入支出决算总体情况说明</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五、关于201</w:t>
      </w:r>
      <w:r>
        <w:rPr>
          <w:rFonts w:hint="eastAsia" w:cs="宋体"/>
          <w:sz w:val="24"/>
          <w:szCs w:val="24"/>
          <w:shd w:val="clear" w:fill="FFFFFF"/>
          <w:lang w:val="en-US" w:eastAsia="zh-CN"/>
        </w:rPr>
        <w:t>8</w:t>
      </w:r>
      <w:r>
        <w:rPr>
          <w:rFonts w:hint="eastAsia" w:ascii="宋体" w:hAnsi="宋体" w:eastAsia="宋体" w:cs="宋体"/>
          <w:sz w:val="24"/>
          <w:szCs w:val="24"/>
          <w:shd w:val="clear" w:fill="FFFFFF"/>
        </w:rPr>
        <w:t>年度一般公共预算财政拨款支出决算情况说明</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（一）财政拨款支出决算总体情况</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（二）财政拨款支出决算结构情况</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（三）财政拨款支出决算具体情况</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六、关于</w:t>
      </w:r>
      <w:r>
        <w:rPr>
          <w:rStyle w:val="11"/>
          <w:rFonts w:hint="eastAsia" w:ascii="宋体" w:hAnsi="宋体" w:eastAsia="宋体" w:cs="宋体"/>
          <w:sz w:val="24"/>
          <w:szCs w:val="24"/>
          <w:shd w:val="clear" w:fill="FFFFFF"/>
        </w:rPr>
        <w:t>201</w:t>
      </w:r>
      <w:r>
        <w:rPr>
          <w:rStyle w:val="11"/>
          <w:rFonts w:hint="eastAsia" w:cs="宋体"/>
          <w:sz w:val="24"/>
          <w:szCs w:val="24"/>
          <w:shd w:val="clear" w:fill="FFFFFF"/>
          <w:lang w:val="en-US" w:eastAsia="zh-CN"/>
        </w:rPr>
        <w:t>8</w:t>
      </w:r>
      <w:r>
        <w:rPr>
          <w:rFonts w:hint="eastAsia" w:ascii="宋体" w:hAnsi="宋体" w:eastAsia="宋体" w:cs="宋体"/>
          <w:sz w:val="24"/>
          <w:szCs w:val="24"/>
          <w:shd w:val="clear" w:fill="FFFFFF"/>
        </w:rPr>
        <w:t>年度一般公共预算财政拨款基本支出决算情况说明</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七、关于</w:t>
      </w:r>
      <w:r>
        <w:rPr>
          <w:rStyle w:val="11"/>
          <w:rFonts w:hint="eastAsia" w:ascii="宋体" w:hAnsi="宋体" w:eastAsia="宋体" w:cs="宋体"/>
          <w:sz w:val="24"/>
          <w:szCs w:val="24"/>
          <w:shd w:val="clear" w:fill="FFFFFF"/>
        </w:rPr>
        <w:t>201</w:t>
      </w:r>
      <w:r>
        <w:rPr>
          <w:rStyle w:val="11"/>
          <w:rFonts w:hint="eastAsia" w:cs="宋体"/>
          <w:sz w:val="24"/>
          <w:szCs w:val="24"/>
          <w:shd w:val="clear" w:fill="FFFFFF"/>
          <w:lang w:val="en-US" w:eastAsia="zh-CN"/>
        </w:rPr>
        <w:t>8</w:t>
      </w:r>
      <w:r>
        <w:rPr>
          <w:rFonts w:hint="eastAsia" w:ascii="宋体" w:hAnsi="宋体" w:eastAsia="宋体" w:cs="宋体"/>
          <w:sz w:val="24"/>
          <w:szCs w:val="24"/>
          <w:shd w:val="clear" w:fill="FFFFFF"/>
        </w:rPr>
        <w:t>年度一般公共预算财政拨款“三公”经费支出决算情况说明</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八、关于201</w:t>
      </w:r>
      <w:r>
        <w:rPr>
          <w:rFonts w:hint="eastAsia" w:cs="宋体"/>
          <w:sz w:val="24"/>
          <w:szCs w:val="24"/>
          <w:shd w:val="clear" w:fill="FFFFFF"/>
          <w:lang w:val="en-US" w:eastAsia="zh-CN"/>
        </w:rPr>
        <w:t>8</w:t>
      </w:r>
      <w:r>
        <w:rPr>
          <w:rFonts w:hint="eastAsia" w:ascii="宋体" w:hAnsi="宋体" w:eastAsia="宋体" w:cs="宋体"/>
          <w:sz w:val="24"/>
          <w:szCs w:val="24"/>
          <w:shd w:val="clear" w:fill="FFFFFF"/>
        </w:rPr>
        <w:t>年度政府性基金预算收入支出决算情况</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九、其他重要事项</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（一）机关运行经费支出情况</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（二）年度政府采购支出决算情况</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（三）国有资产占用情况</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cs="宋体"/>
          <w:sz w:val="24"/>
          <w:szCs w:val="24"/>
          <w:shd w:val="clear" w:fill="FFFFFF"/>
          <w:lang w:val="en-US" w:eastAsia="zh-CN"/>
        </w:rPr>
      </w:pPr>
      <w:r>
        <w:rPr>
          <w:rFonts w:hint="eastAsia" w:cs="宋体"/>
          <w:sz w:val="24"/>
          <w:szCs w:val="24"/>
          <w:shd w:val="clear" w:fill="FFFFFF"/>
          <w:lang w:eastAsia="zh-CN"/>
        </w:rPr>
        <w:t>（四）</w:t>
      </w:r>
      <w:r>
        <w:rPr>
          <w:rFonts w:hint="eastAsia" w:cs="宋体"/>
          <w:sz w:val="24"/>
          <w:szCs w:val="24"/>
          <w:shd w:val="clear" w:fill="FFFFFF"/>
          <w:lang w:val="en-US" w:eastAsia="zh-CN"/>
        </w:rPr>
        <w:t>2018年预算绩效情况说明</w:t>
      </w:r>
    </w:p>
    <w:p>
      <w:pPr>
        <w:pStyle w:val="7"/>
        <w:keepNext w:val="0"/>
        <w:keepLines w:val="0"/>
        <w:widowControl/>
        <w:suppressLineNumbers w:val="0"/>
        <w:shd w:val="clear" w:fill="FFFFFF"/>
        <w:spacing w:before="15" w:beforeAutospacing="0" w:after="15" w:afterAutospacing="0" w:line="420" w:lineRule="atLeast"/>
        <w:ind w:firstLine="720" w:firstLineChars="300"/>
        <w:jc w:val="left"/>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1、湘潭县司法局2018年部门整体支出绩效评价报告</w:t>
      </w:r>
    </w:p>
    <w:p>
      <w:pPr>
        <w:pStyle w:val="7"/>
        <w:keepNext w:val="0"/>
        <w:keepLines w:val="0"/>
        <w:widowControl/>
        <w:suppressLineNumbers w:val="0"/>
        <w:shd w:val="clear" w:fill="FFFFFF"/>
        <w:spacing w:before="15" w:beforeAutospacing="0" w:after="15" w:afterAutospacing="0" w:line="420" w:lineRule="atLeast"/>
        <w:ind w:left="0" w:firstLine="720" w:firstLineChars="300"/>
        <w:jc w:val="left"/>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2、湘潭县司法局2018年部门整体支出绩效评价指标完成情况表</w:t>
      </w:r>
    </w:p>
    <w:p>
      <w:pPr>
        <w:pStyle w:val="7"/>
        <w:keepNext w:val="0"/>
        <w:keepLines w:val="0"/>
        <w:widowControl/>
        <w:suppressLineNumbers w:val="0"/>
        <w:shd w:val="clear" w:fill="FFFFFF"/>
        <w:spacing w:before="15" w:beforeAutospacing="0" w:after="15" w:afterAutospacing="0" w:line="420" w:lineRule="atLeast"/>
        <w:ind w:left="0" w:firstLine="723" w:firstLineChars="300"/>
        <w:jc w:val="left"/>
        <w:rPr>
          <w:rStyle w:val="11"/>
          <w:rFonts w:hint="eastAsia" w:ascii="宋体" w:hAnsi="宋体" w:eastAsia="宋体" w:cs="宋体"/>
          <w:sz w:val="24"/>
          <w:szCs w:val="24"/>
          <w:shd w:val="clear" w:fill="FFFFFF"/>
        </w:rPr>
      </w:pPr>
      <w:r>
        <w:rPr>
          <w:rStyle w:val="11"/>
          <w:rFonts w:hint="eastAsia" w:ascii="宋体" w:hAnsi="宋体" w:eastAsia="宋体" w:cs="宋体"/>
          <w:sz w:val="24"/>
          <w:szCs w:val="24"/>
          <w:shd w:val="clear" w:fill="FFFFFF"/>
        </w:rPr>
        <w:t>第四部分 </w:t>
      </w:r>
      <w:r>
        <w:rPr>
          <w:rStyle w:val="11"/>
          <w:rFonts w:hint="eastAsia" w:cs="宋体"/>
          <w:sz w:val="24"/>
          <w:szCs w:val="24"/>
          <w:shd w:val="clear" w:fill="FFFFFF"/>
          <w:lang w:eastAsia="zh-CN"/>
        </w:rPr>
        <w:t>特殊</w:t>
      </w:r>
      <w:r>
        <w:rPr>
          <w:rStyle w:val="11"/>
          <w:rFonts w:hint="eastAsia" w:ascii="宋体" w:hAnsi="宋体" w:eastAsia="宋体" w:cs="宋体"/>
          <w:sz w:val="24"/>
          <w:szCs w:val="24"/>
          <w:shd w:val="clear" w:fill="FFFFFF"/>
        </w:rPr>
        <w:t>名词解释</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default" w:ascii="宋体" w:hAnsi="宋体" w:eastAsia="宋体" w:cs="宋体"/>
          <w:sz w:val="24"/>
          <w:szCs w:val="24"/>
          <w:shd w:val="clear" w:fill="FFFFFF"/>
          <w:lang w:val="en-US" w:eastAsia="zh-CN"/>
        </w:rPr>
      </w:pPr>
    </w:p>
    <w:p>
      <w:pPr>
        <w:pStyle w:val="7"/>
        <w:spacing w:before="586" w:after="300" w:line="510" w:lineRule="atLeast"/>
        <w:ind w:firstLine="420"/>
        <w:jc w:val="both"/>
        <w:rPr>
          <w:color w:val="333333"/>
        </w:rPr>
      </w:pPr>
      <w:r>
        <w:rPr>
          <w:rFonts w:hint="eastAsia"/>
          <w:color w:val="333333"/>
          <w:shd w:val="clear" w:color="auto" w:fill="FFFFFF"/>
        </w:rPr>
        <w:t> </w:t>
      </w:r>
    </w:p>
    <w:p>
      <w:pPr>
        <w:pStyle w:val="7"/>
        <w:keepNext w:val="0"/>
        <w:keepLines w:val="0"/>
        <w:widowControl/>
        <w:suppressLineNumbers w:val="0"/>
        <w:shd w:val="clear" w:fill="FFFFFF"/>
        <w:spacing w:before="15" w:beforeAutospacing="0" w:after="15" w:afterAutospacing="0" w:line="420" w:lineRule="atLeast"/>
        <w:ind w:left="0" w:firstLine="420"/>
        <w:jc w:val="left"/>
        <w:rPr>
          <w:rStyle w:val="11"/>
          <w:rFonts w:hint="eastAsia" w:ascii="宋体" w:hAnsi="宋体" w:eastAsia="宋体" w:cs="宋体"/>
          <w:sz w:val="24"/>
          <w:szCs w:val="24"/>
          <w:shd w:val="clear" w:fill="FFFFFF"/>
        </w:rPr>
      </w:pPr>
      <w:r>
        <w:rPr>
          <w:rStyle w:val="11"/>
          <w:rFonts w:hint="eastAsia" w:ascii="宋体" w:hAnsi="宋体" w:eastAsia="宋体" w:cs="宋体"/>
          <w:sz w:val="24"/>
          <w:szCs w:val="24"/>
          <w:shd w:val="clear" w:fill="FFFFFF"/>
        </w:rPr>
        <w:t>第一部分  </w:t>
      </w:r>
      <w:r>
        <w:rPr>
          <w:rStyle w:val="11"/>
          <w:rFonts w:hint="eastAsia" w:cs="宋体"/>
          <w:color w:val="333333"/>
          <w:sz w:val="24"/>
          <w:szCs w:val="24"/>
          <w:shd w:val="clear" w:fill="FFFFFF"/>
          <w:lang w:eastAsia="zh-CN"/>
        </w:rPr>
        <w:t>湘潭县</w:t>
      </w:r>
      <w:r>
        <w:rPr>
          <w:rStyle w:val="11"/>
          <w:rFonts w:hint="eastAsia" w:ascii="宋体" w:hAnsi="宋体" w:eastAsia="宋体" w:cs="宋体"/>
          <w:color w:val="333333"/>
          <w:sz w:val="24"/>
          <w:szCs w:val="24"/>
          <w:shd w:val="clear" w:fill="FFFFFF"/>
        </w:rPr>
        <w:t>司法局</w:t>
      </w:r>
      <w:r>
        <w:rPr>
          <w:rStyle w:val="11"/>
          <w:rFonts w:hint="eastAsia" w:ascii="宋体" w:hAnsi="宋体" w:eastAsia="宋体" w:cs="宋体"/>
          <w:sz w:val="24"/>
          <w:szCs w:val="24"/>
          <w:shd w:val="clear" w:fill="FFFFFF"/>
        </w:rPr>
        <w:t>概况</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一、职能职责：</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shd w:val="clear" w:fill="FFFFFF"/>
        </w:rPr>
      </w:pPr>
      <w:r>
        <w:rPr>
          <w:rFonts w:hint="eastAsia" w:ascii="宋体" w:hAnsi="宋体" w:eastAsia="宋体" w:cs="宋体"/>
          <w:sz w:val="24"/>
          <w:szCs w:val="24"/>
          <w:shd w:val="clear" w:fill="FFFFFF"/>
          <w:lang w:val="en-US" w:eastAsia="zh-CN"/>
        </w:rPr>
        <w:t>1.主要职能：</w:t>
      </w:r>
      <w:r>
        <w:rPr>
          <w:rFonts w:hint="eastAsia" w:ascii="宋体" w:hAnsi="宋体" w:eastAsia="宋体" w:cs="宋体"/>
          <w:sz w:val="24"/>
          <w:szCs w:val="24"/>
          <w:shd w:val="clear" w:fill="FFFFFF"/>
        </w:rPr>
        <w:t>湘潭县司法局是根据《中华人民共和国宪法》和《中共湘潭县委办公室 湘潭县人民政府办公室关于印发&lt;湘潭县人民政府职能转变和机构改革方案的实施意见&gt;的通知》（潭县办发[2015]23号）和《中共湘潭县委 湘潭县人民政府关于湘潭县人民政府机构设置的通知》（潭县发[2015]6号），设立湘潭县司法局，为县人民政府工作部门。</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shd w:val="clear" w:fill="FFFFFF"/>
        </w:rPr>
      </w:pPr>
      <w:r>
        <w:rPr>
          <w:rFonts w:hint="eastAsia" w:ascii="宋体" w:hAnsi="宋体" w:eastAsia="宋体" w:cs="宋体"/>
          <w:sz w:val="24"/>
          <w:szCs w:val="24"/>
          <w:shd w:val="clear" w:fill="FFFFFF"/>
          <w:lang w:val="en-US" w:eastAsia="zh-CN"/>
        </w:rPr>
        <w:t>2.</w:t>
      </w:r>
      <w:r>
        <w:rPr>
          <w:rFonts w:hint="eastAsia" w:ascii="宋体" w:hAnsi="宋体" w:eastAsia="宋体" w:cs="宋体"/>
          <w:sz w:val="24"/>
          <w:szCs w:val="24"/>
          <w:shd w:val="clear" w:fill="FFFFFF"/>
        </w:rPr>
        <w:t>主要职责：</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1.贯彻执行国家、省、市有关司法行政的方针、政策和法律法规；拟定全县司法行政工作中、长期发展规划和年度计划，经批准后组织实施。</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2.会同有关部门监督、检查有关司法行政方面的法律、法规和规章执行情况。3.拟订全县法制宣传教育和依法治县规划，经批准后组织实施。</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4.指导全县人民调解工作、司法所建设工作；指导、监督管理基层司法所、司法助理员和基层法律服务工作；参与社会治安综合管理。</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5.指导管理全县社区矫正工作；指导全县刑满释放人员的安置帮教工作。</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6.负责指导监督全县律师工作和公证工作；负责管理公证机构。</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7.监督管理全县法律援助工作；承办法律援助案件；指导全县公共法律服务工作。</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8.指导全县司法行政系统队伍和律师队伍建设、党组织建设和思想政治工作；管理司法行政系统的教育培训、考核奖励工作。</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9.负责面向社会服务的司法鉴定机构初审和面向社会服务的司法鉴定人执业初审工作。</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10、承办县人民政府交办的其他事项。 </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shd w:val="clear" w:fill="FFFFFF"/>
          <w:lang w:eastAsia="zh-CN"/>
        </w:rPr>
      </w:pPr>
      <w:r>
        <w:rPr>
          <w:rFonts w:hint="eastAsia" w:ascii="宋体" w:hAnsi="宋体" w:eastAsia="宋体" w:cs="宋体"/>
          <w:sz w:val="24"/>
          <w:szCs w:val="24"/>
          <w:shd w:val="clear" w:fill="FFFFFF"/>
        </w:rPr>
        <w:t>（二）机构设置</w:t>
      </w:r>
      <w:r>
        <w:rPr>
          <w:rFonts w:hint="eastAsia" w:ascii="宋体" w:hAnsi="宋体" w:eastAsia="宋体" w:cs="宋体"/>
          <w:sz w:val="24"/>
          <w:szCs w:val="24"/>
          <w:shd w:val="clear" w:fill="FFFFFF"/>
          <w:lang w:eastAsia="zh-CN"/>
        </w:rPr>
        <w:t>与人员编制</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湘潭县司法局属行政单位，经湘潭县机构编制委员会办公室审核、湘潭县委批准，湘潭县司法局内设机构9个，即办公室、基层工作股、社区矫正工作股、法治宣传股、法律援助中心、法律服务管理股、政策法规股、政工室、计财股；下设1个自收自支独立核算机构，即公证处；17个派出机构，即各基层司法所。现有编制94人，即68个政法专项编制，12个县编委集中管理编制,行政编制2人，事业编制4人，8个自收自支编制；实有在职人员87人，其中政法专项编制68人，行政编制2个，事业编制4人，县编委集中管理编制12人，自收自支编制1人。退休人员 24人。遗属6人。现有执法执勤车辆3台。局机关现有办公楼一栋，占地350平方米左右，使用四层，面积700平方米左右。</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shd w:val="clear" w:fill="FFFFFF"/>
        </w:rPr>
      </w:pPr>
      <w:r>
        <w:rPr>
          <w:rFonts w:hint="eastAsia" w:ascii="宋体" w:hAnsi="宋体" w:eastAsia="宋体" w:cs="宋体"/>
          <w:sz w:val="24"/>
          <w:szCs w:val="24"/>
          <w:shd w:val="clear" w:fill="FFFFFF"/>
          <w:lang w:eastAsia="zh-CN"/>
        </w:rPr>
        <w:t>（三）</w:t>
      </w:r>
      <w:r>
        <w:rPr>
          <w:rFonts w:hint="eastAsia" w:ascii="宋体" w:hAnsi="宋体" w:eastAsia="宋体" w:cs="宋体"/>
          <w:sz w:val="24"/>
          <w:szCs w:val="24"/>
          <w:shd w:val="clear" w:fill="FFFFFF"/>
        </w:rPr>
        <w:t>部门决算单位构成</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纳入2018年度部门决算</w:t>
      </w:r>
      <w:r>
        <w:rPr>
          <w:rFonts w:hint="eastAsia" w:ascii="宋体" w:hAnsi="宋体" w:eastAsia="宋体" w:cs="宋体"/>
          <w:sz w:val="24"/>
          <w:szCs w:val="24"/>
          <w:shd w:val="clear" w:fill="FFFFFF"/>
          <w:lang w:eastAsia="zh-CN"/>
        </w:rPr>
        <w:t>单位构成</w:t>
      </w:r>
      <w:r>
        <w:rPr>
          <w:rFonts w:hint="eastAsia" w:ascii="宋体" w:hAnsi="宋体" w:eastAsia="宋体" w:cs="宋体"/>
          <w:sz w:val="24"/>
          <w:szCs w:val="24"/>
          <w:shd w:val="clear" w:fill="FFFFFF"/>
        </w:rPr>
        <w:t>为司法局</w:t>
      </w:r>
      <w:r>
        <w:rPr>
          <w:rFonts w:hint="eastAsia" w:cs="宋体"/>
          <w:sz w:val="24"/>
          <w:szCs w:val="24"/>
          <w:shd w:val="clear" w:fill="FFFFFF"/>
          <w:lang w:val="en-US" w:eastAsia="zh-CN"/>
        </w:rPr>
        <w:t>9个</w:t>
      </w:r>
      <w:r>
        <w:rPr>
          <w:rFonts w:hint="eastAsia" w:ascii="宋体" w:hAnsi="宋体" w:eastAsia="宋体" w:cs="宋体"/>
          <w:sz w:val="24"/>
          <w:szCs w:val="24"/>
          <w:shd w:val="clear" w:fill="FFFFFF"/>
        </w:rPr>
        <w:t>内设机构及17个基层司法所，不包括公证处。 </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Style w:val="11"/>
          <w:rFonts w:hint="eastAsia" w:ascii="宋体" w:hAnsi="宋体" w:eastAsia="宋体" w:cs="宋体"/>
          <w:sz w:val="24"/>
          <w:szCs w:val="24"/>
          <w:shd w:val="clear" w:fill="FFFFFF"/>
        </w:rPr>
        <w:t>第二部分 </w:t>
      </w:r>
      <w:r>
        <w:rPr>
          <w:rStyle w:val="11"/>
          <w:rFonts w:hint="eastAsia" w:cs="宋体"/>
          <w:color w:val="333333"/>
          <w:sz w:val="24"/>
          <w:szCs w:val="24"/>
          <w:shd w:val="clear" w:fill="FFFFFF"/>
          <w:lang w:eastAsia="zh-CN"/>
        </w:rPr>
        <w:t>湘潭县</w:t>
      </w:r>
      <w:r>
        <w:rPr>
          <w:rStyle w:val="11"/>
          <w:rFonts w:hint="eastAsia" w:ascii="宋体" w:hAnsi="宋体" w:eastAsia="宋体" w:cs="宋体"/>
          <w:color w:val="333333"/>
          <w:sz w:val="24"/>
          <w:szCs w:val="24"/>
          <w:shd w:val="clear" w:fill="FFFFFF"/>
        </w:rPr>
        <w:t>司法局</w:t>
      </w:r>
      <w:r>
        <w:rPr>
          <w:rStyle w:val="11"/>
          <w:rFonts w:hint="eastAsia" w:ascii="宋体" w:hAnsi="宋体" w:eastAsia="宋体" w:cs="宋体"/>
          <w:sz w:val="24"/>
          <w:szCs w:val="24"/>
          <w:shd w:val="clear" w:fill="FFFFFF"/>
        </w:rPr>
        <w:t>2019年度部门决算表</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1.收入支出决算总表</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2.收入决算表</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3.支出决算表</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4.财政拨款收入支出决算总表</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5.一般公共预算财政拨款收入支出决算表</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6.一般公共预算财政拨款基本支出决算表</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7.政府性基金预算财政拨款收入支出决算表</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8.一般公共预算财政拨款“三公”经费支出决算表</w:t>
      </w:r>
    </w:p>
    <w:p>
      <w:pPr>
        <w:pStyle w:val="7"/>
        <w:keepNext w:val="0"/>
        <w:keepLines w:val="0"/>
        <w:widowControl/>
        <w:suppressLineNumbers w:val="0"/>
        <w:shd w:val="clear" w:fill="FFFFFF"/>
        <w:spacing w:before="15" w:beforeAutospacing="0" w:after="15" w:afterAutospacing="0" w:line="420" w:lineRule="atLeast"/>
        <w:ind w:left="0" w:firstLine="420"/>
        <w:jc w:val="left"/>
        <w:rPr>
          <w:rFonts w:hint="eastAsia" w:ascii="宋体" w:hAnsi="宋体" w:eastAsia="宋体" w:cs="宋体"/>
          <w:sz w:val="24"/>
          <w:szCs w:val="24"/>
        </w:rPr>
      </w:pPr>
      <w:r>
        <w:rPr>
          <w:rFonts w:hint="eastAsia" w:ascii="宋体" w:hAnsi="宋体" w:eastAsia="宋体" w:cs="宋体"/>
          <w:sz w:val="24"/>
          <w:szCs w:val="24"/>
          <w:shd w:val="clear" w:fill="FFFFFF"/>
        </w:rPr>
        <w:t>（公开表格附后）</w:t>
      </w:r>
    </w:p>
    <w:p>
      <w:pPr>
        <w:pStyle w:val="7"/>
        <w:keepNext w:val="0"/>
        <w:keepLines w:val="0"/>
        <w:widowControl/>
        <w:suppressLineNumbers w:val="0"/>
        <w:shd w:val="clear" w:fill="FFFFFF"/>
        <w:spacing w:before="15" w:beforeAutospacing="0" w:after="15" w:afterAutospacing="0" w:line="420" w:lineRule="atLeast"/>
        <w:ind w:firstLine="482" w:firstLineChars="200"/>
        <w:jc w:val="left"/>
        <w:rPr>
          <w:rStyle w:val="11"/>
          <w:rFonts w:hint="eastAsia" w:ascii="宋体" w:hAnsi="宋体" w:eastAsia="宋体" w:cs="宋体"/>
          <w:sz w:val="24"/>
          <w:szCs w:val="24"/>
          <w:shd w:val="clear" w:fill="FFFFFF"/>
        </w:rPr>
      </w:pPr>
      <w:r>
        <w:rPr>
          <w:rStyle w:val="11"/>
          <w:rFonts w:hint="eastAsia" w:ascii="宋体" w:hAnsi="宋体" w:eastAsia="宋体" w:cs="宋体"/>
          <w:sz w:val="24"/>
          <w:szCs w:val="24"/>
          <w:shd w:val="clear" w:fill="FFFFFF"/>
        </w:rPr>
        <w:t>第</w:t>
      </w:r>
      <w:r>
        <w:rPr>
          <w:rStyle w:val="11"/>
          <w:rFonts w:hint="eastAsia" w:cs="宋体"/>
          <w:sz w:val="24"/>
          <w:szCs w:val="24"/>
          <w:shd w:val="clear" w:fill="FFFFFF"/>
          <w:lang w:eastAsia="zh-CN"/>
        </w:rPr>
        <w:t>三</w:t>
      </w:r>
      <w:r>
        <w:rPr>
          <w:rStyle w:val="11"/>
          <w:rFonts w:hint="eastAsia" w:ascii="宋体" w:hAnsi="宋体" w:eastAsia="宋体" w:cs="宋体"/>
          <w:sz w:val="24"/>
          <w:szCs w:val="24"/>
          <w:shd w:val="clear" w:fill="FFFFFF"/>
        </w:rPr>
        <w:t>部分 湘潭县司法局2018年度部门决算情况说明</w:t>
      </w:r>
    </w:p>
    <w:p>
      <w:pPr>
        <w:pStyle w:val="7"/>
        <w:keepNext w:val="0"/>
        <w:keepLines w:val="0"/>
        <w:widowControl/>
        <w:numPr>
          <w:ilvl w:val="0"/>
          <w:numId w:val="2"/>
        </w:numPr>
        <w:suppressLineNumbers w:val="0"/>
        <w:shd w:val="clear" w:fill="FFFFFF"/>
        <w:spacing w:before="15" w:beforeAutospacing="0" w:after="15" w:afterAutospacing="0" w:line="420" w:lineRule="atLeast"/>
        <w:ind w:left="-62" w:leftChars="0" w:firstLine="482" w:firstLineChars="0"/>
        <w:jc w:val="left"/>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2018年度收入支出决算总体情况说明</w:t>
      </w:r>
    </w:p>
    <w:p>
      <w:pPr>
        <w:pStyle w:val="7"/>
        <w:keepNext w:val="0"/>
        <w:keepLines w:val="0"/>
        <w:widowControl/>
        <w:numPr>
          <w:ilvl w:val="0"/>
          <w:numId w:val="0"/>
        </w:numPr>
        <w:suppressLineNumbers w:val="0"/>
        <w:shd w:val="clear" w:fill="FFFFFF"/>
        <w:spacing w:before="15" w:beforeAutospacing="0" w:after="15" w:afterAutospacing="0" w:line="420" w:lineRule="atLeast"/>
        <w:ind w:firstLine="480" w:firstLineChars="200"/>
        <w:jc w:val="left"/>
        <w:rPr>
          <w:rFonts w:hint="eastAsia"/>
          <w:shd w:val="clear" w:color="auto" w:fill="FFFFFF"/>
        </w:rPr>
      </w:pPr>
      <w:r>
        <w:rPr>
          <w:rFonts w:hint="eastAsia"/>
          <w:shd w:val="clear" w:color="auto" w:fill="FFFFFF"/>
        </w:rPr>
        <w:t xml:space="preserve">2018年湘潭县司法局年初结转和结余16.89万元，本年收入1723.13万元，比上年2017年1550.6266万元增加了172.5034万元，增加11.12%。收入增加的原因为财政拨款收入的增加 </w:t>
      </w:r>
      <w:r>
        <w:rPr>
          <w:rFonts w:hint="eastAsia"/>
          <w:sz w:val="30"/>
          <w:szCs w:val="30"/>
        </w:rPr>
        <w:t>。</w:t>
      </w:r>
      <w:r>
        <w:rPr>
          <w:rFonts w:hint="eastAsia"/>
          <w:shd w:val="clear" w:color="auto" w:fill="FFFFFF"/>
        </w:rPr>
        <w:t>本年支出总计1711.82万元，比上年2017年1542.6068万元增加了169.2132万元，增加10.97%,支出增加的原因为人员政策性增资。结转和结余28.20万元。</w:t>
      </w:r>
    </w:p>
    <w:p>
      <w:pPr>
        <w:pStyle w:val="7"/>
        <w:keepNext w:val="0"/>
        <w:keepLines w:val="0"/>
        <w:widowControl/>
        <w:numPr>
          <w:ilvl w:val="0"/>
          <w:numId w:val="2"/>
        </w:numPr>
        <w:suppressLineNumbers w:val="0"/>
        <w:shd w:val="clear" w:fill="FFFFFF"/>
        <w:spacing w:before="15" w:beforeAutospacing="0" w:after="15" w:afterAutospacing="0" w:line="420" w:lineRule="atLeast"/>
        <w:ind w:left="-62" w:leftChars="0" w:firstLine="482" w:firstLineChars="0"/>
        <w:jc w:val="left"/>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2018年度收入决算情况说明</w:t>
      </w:r>
    </w:p>
    <w:p>
      <w:pPr>
        <w:pStyle w:val="7"/>
        <w:keepNext w:val="0"/>
        <w:keepLines w:val="0"/>
        <w:widowControl/>
        <w:numPr>
          <w:ilvl w:val="0"/>
          <w:numId w:val="0"/>
        </w:numPr>
        <w:suppressLineNumbers w:val="0"/>
        <w:shd w:val="clear" w:fill="FFFFFF"/>
        <w:spacing w:before="15" w:beforeAutospacing="0" w:after="15" w:afterAutospacing="0" w:line="420" w:lineRule="atLeast"/>
        <w:ind w:firstLine="480" w:firstLineChars="200"/>
        <w:jc w:val="left"/>
        <w:rPr>
          <w:rFonts w:hint="eastAsia"/>
          <w:shd w:val="clear" w:color="auto" w:fill="FFFFFF"/>
        </w:rPr>
      </w:pPr>
      <w:r>
        <w:rPr>
          <w:rFonts w:hint="eastAsia"/>
          <w:shd w:val="clear" w:color="auto" w:fill="FFFFFF"/>
        </w:rPr>
        <w:t>2018年本年收入1723.13万元，比2017年决算数增加172.5034万元，增加10.01%，具体情况如下：</w:t>
      </w:r>
    </w:p>
    <w:p>
      <w:pPr>
        <w:pStyle w:val="7"/>
        <w:keepNext w:val="0"/>
        <w:keepLines w:val="0"/>
        <w:widowControl/>
        <w:numPr>
          <w:ilvl w:val="0"/>
          <w:numId w:val="0"/>
        </w:numPr>
        <w:suppressLineNumbers w:val="0"/>
        <w:shd w:val="clear" w:fill="FFFFFF"/>
        <w:spacing w:before="15" w:beforeAutospacing="0" w:after="15" w:afterAutospacing="0" w:line="420" w:lineRule="atLeast"/>
        <w:ind w:firstLine="480" w:firstLineChars="200"/>
        <w:jc w:val="left"/>
        <w:rPr>
          <w:rFonts w:hint="eastAsia"/>
          <w:shd w:val="clear" w:color="auto" w:fill="FFFFFF"/>
        </w:rPr>
      </w:pPr>
      <w:r>
        <w:rPr>
          <w:rFonts w:hint="eastAsia"/>
          <w:shd w:val="clear" w:color="auto" w:fill="FFFFFF"/>
        </w:rPr>
        <w:t>财政拨款收入1723.13万元，其中政府性基金0万元。</w:t>
      </w:r>
    </w:p>
    <w:p>
      <w:pPr>
        <w:pStyle w:val="7"/>
        <w:keepNext w:val="0"/>
        <w:keepLines w:val="0"/>
        <w:widowControl/>
        <w:numPr>
          <w:ilvl w:val="0"/>
          <w:numId w:val="0"/>
        </w:numPr>
        <w:suppressLineNumbers w:val="0"/>
        <w:shd w:val="clear" w:fill="FFFFFF"/>
        <w:spacing w:before="15" w:beforeAutospacing="0" w:after="15" w:afterAutospacing="0" w:line="420" w:lineRule="atLeast"/>
        <w:ind w:firstLine="480" w:firstLineChars="200"/>
        <w:jc w:val="left"/>
        <w:rPr>
          <w:rFonts w:hint="eastAsia"/>
          <w:shd w:val="clear" w:color="auto" w:fill="FFFFFF"/>
        </w:rPr>
      </w:pPr>
      <w:r>
        <w:rPr>
          <w:rFonts w:hint="eastAsia"/>
          <w:shd w:val="clear" w:color="auto" w:fill="FFFFFF"/>
        </w:rPr>
        <w:t>上级补助收入 0万元。</w:t>
      </w:r>
    </w:p>
    <w:p>
      <w:pPr>
        <w:pStyle w:val="7"/>
        <w:keepNext w:val="0"/>
        <w:keepLines w:val="0"/>
        <w:widowControl/>
        <w:numPr>
          <w:ilvl w:val="0"/>
          <w:numId w:val="0"/>
        </w:numPr>
        <w:suppressLineNumbers w:val="0"/>
        <w:shd w:val="clear" w:fill="FFFFFF"/>
        <w:spacing w:before="15" w:beforeAutospacing="0" w:after="15" w:afterAutospacing="0" w:line="420" w:lineRule="atLeast"/>
        <w:ind w:firstLine="480" w:firstLineChars="200"/>
        <w:jc w:val="left"/>
        <w:rPr>
          <w:rFonts w:hint="eastAsia"/>
          <w:shd w:val="clear" w:color="auto" w:fill="FFFFFF"/>
        </w:rPr>
      </w:pPr>
      <w:r>
        <w:rPr>
          <w:rFonts w:hint="eastAsia"/>
          <w:shd w:val="clear" w:color="auto" w:fill="FFFFFF"/>
        </w:rPr>
        <w:t>附属单位上缴收入0万元。</w:t>
      </w:r>
    </w:p>
    <w:p>
      <w:pPr>
        <w:pStyle w:val="7"/>
        <w:keepNext w:val="0"/>
        <w:keepLines w:val="0"/>
        <w:widowControl/>
        <w:numPr>
          <w:ilvl w:val="0"/>
          <w:numId w:val="0"/>
        </w:numPr>
        <w:suppressLineNumbers w:val="0"/>
        <w:shd w:val="clear" w:fill="FFFFFF"/>
        <w:spacing w:before="15" w:beforeAutospacing="0" w:after="15" w:afterAutospacing="0" w:line="420" w:lineRule="atLeast"/>
        <w:ind w:firstLine="480" w:firstLineChars="200"/>
        <w:jc w:val="left"/>
        <w:rPr>
          <w:rFonts w:hint="eastAsia"/>
          <w:shd w:val="clear" w:color="auto" w:fill="FFFFFF"/>
        </w:rPr>
      </w:pPr>
      <w:r>
        <w:rPr>
          <w:rFonts w:hint="eastAsia"/>
          <w:shd w:val="clear" w:color="auto" w:fill="FFFFFF"/>
        </w:rPr>
        <w:t>其他收入0万元。</w:t>
      </w:r>
    </w:p>
    <w:p>
      <w:pPr>
        <w:pStyle w:val="7"/>
        <w:keepNext w:val="0"/>
        <w:keepLines w:val="0"/>
        <w:widowControl/>
        <w:numPr>
          <w:ilvl w:val="0"/>
          <w:numId w:val="0"/>
        </w:numPr>
        <w:suppressLineNumbers w:val="0"/>
        <w:shd w:val="clear" w:fill="FFFFFF"/>
        <w:spacing w:before="15" w:beforeAutospacing="0" w:after="15" w:afterAutospacing="0" w:line="420" w:lineRule="atLeast"/>
        <w:ind w:firstLine="480" w:firstLineChars="200"/>
        <w:jc w:val="left"/>
        <w:rPr>
          <w:rFonts w:hint="eastAsia"/>
          <w:shd w:val="clear" w:color="auto" w:fill="FFFFFF"/>
        </w:rPr>
      </w:pPr>
      <w:r>
        <w:rPr>
          <w:rFonts w:hint="eastAsia"/>
          <w:shd w:val="clear" w:color="auto" w:fill="FFFFFF"/>
        </w:rPr>
        <w:t>用事业基金弥补收支差额 0万元。</w:t>
      </w:r>
    </w:p>
    <w:p>
      <w:pPr>
        <w:pStyle w:val="7"/>
        <w:keepNext w:val="0"/>
        <w:keepLines w:val="0"/>
        <w:widowControl/>
        <w:numPr>
          <w:ilvl w:val="0"/>
          <w:numId w:val="0"/>
        </w:numPr>
        <w:suppressLineNumbers w:val="0"/>
        <w:shd w:val="clear" w:fill="FFFFFF"/>
        <w:spacing w:before="15" w:beforeAutospacing="0" w:after="15" w:afterAutospacing="0" w:line="420" w:lineRule="atLeast"/>
        <w:ind w:firstLine="480" w:firstLineChars="200"/>
        <w:jc w:val="left"/>
        <w:rPr>
          <w:rFonts w:hint="eastAsia"/>
          <w:shd w:val="clear" w:color="auto" w:fill="FFFFFF"/>
        </w:rPr>
      </w:pPr>
      <w:r>
        <w:rPr>
          <w:rFonts w:hint="eastAsia"/>
          <w:shd w:val="clear" w:color="auto" w:fill="FFFFFF"/>
        </w:rPr>
        <w:t>年初结转和结余16.89万元。</w:t>
      </w:r>
    </w:p>
    <w:p>
      <w:pPr>
        <w:pStyle w:val="7"/>
        <w:keepNext w:val="0"/>
        <w:keepLines w:val="0"/>
        <w:widowControl/>
        <w:numPr>
          <w:ilvl w:val="0"/>
          <w:numId w:val="2"/>
        </w:numPr>
        <w:suppressLineNumbers w:val="0"/>
        <w:shd w:val="clear" w:fill="FFFFFF"/>
        <w:spacing w:before="15" w:beforeAutospacing="0" w:after="15" w:afterAutospacing="0" w:line="420" w:lineRule="atLeast"/>
        <w:ind w:left="-62" w:leftChars="0" w:firstLine="482" w:firstLineChars="0"/>
        <w:jc w:val="left"/>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2018年度支出决算情况说明</w:t>
      </w:r>
    </w:p>
    <w:p>
      <w:pPr>
        <w:pStyle w:val="7"/>
        <w:keepNext w:val="0"/>
        <w:keepLines w:val="0"/>
        <w:widowControl/>
        <w:numPr>
          <w:ilvl w:val="0"/>
          <w:numId w:val="0"/>
        </w:numPr>
        <w:suppressLineNumbers w:val="0"/>
        <w:shd w:val="clear" w:fill="FFFFFF"/>
        <w:spacing w:before="15" w:beforeAutospacing="0" w:after="15" w:afterAutospacing="0" w:line="420" w:lineRule="atLeast"/>
        <w:ind w:firstLine="480" w:firstLineChars="200"/>
        <w:jc w:val="left"/>
        <w:rPr>
          <w:rFonts w:hint="eastAsia"/>
          <w:shd w:val="clear" w:color="auto" w:fill="FFFFFF"/>
        </w:rPr>
      </w:pPr>
      <w:r>
        <w:rPr>
          <w:rFonts w:hint="eastAsia"/>
          <w:shd w:val="clear" w:color="auto" w:fill="FFFFFF"/>
        </w:rPr>
        <w:t>2018年本年支出1711.82万元，比2017年决算数增加169.2132万元，增加9.88%，具体情况如下：</w:t>
      </w:r>
    </w:p>
    <w:p>
      <w:pPr>
        <w:pStyle w:val="7"/>
        <w:keepNext w:val="0"/>
        <w:keepLines w:val="0"/>
        <w:widowControl/>
        <w:numPr>
          <w:ilvl w:val="0"/>
          <w:numId w:val="0"/>
        </w:numPr>
        <w:suppressLineNumbers w:val="0"/>
        <w:shd w:val="clear" w:fill="FFFFFF"/>
        <w:spacing w:before="15" w:beforeAutospacing="0" w:after="15" w:afterAutospacing="0" w:line="420" w:lineRule="atLeast"/>
        <w:ind w:firstLine="480" w:firstLineChars="200"/>
        <w:jc w:val="left"/>
        <w:rPr>
          <w:rFonts w:hint="eastAsia"/>
          <w:shd w:val="clear" w:color="auto" w:fill="FFFFFF"/>
        </w:rPr>
      </w:pPr>
      <w:r>
        <w:rPr>
          <w:rFonts w:hint="eastAsia"/>
          <w:shd w:val="clear" w:color="auto" w:fill="FFFFFF"/>
        </w:rPr>
        <w:t>基本支出1711.82万元。其中，人员支出1253.06万元，公用支出458.76万元。</w:t>
      </w:r>
    </w:p>
    <w:p>
      <w:pPr>
        <w:pStyle w:val="7"/>
        <w:keepNext w:val="0"/>
        <w:keepLines w:val="0"/>
        <w:widowControl/>
        <w:numPr>
          <w:ilvl w:val="0"/>
          <w:numId w:val="0"/>
        </w:numPr>
        <w:suppressLineNumbers w:val="0"/>
        <w:shd w:val="clear" w:fill="FFFFFF"/>
        <w:spacing w:before="15" w:beforeAutospacing="0" w:after="15" w:afterAutospacing="0" w:line="420" w:lineRule="atLeast"/>
        <w:ind w:firstLine="480" w:firstLineChars="200"/>
        <w:jc w:val="left"/>
        <w:rPr>
          <w:rFonts w:hint="eastAsia"/>
          <w:shd w:val="clear" w:color="auto" w:fill="FFFFFF"/>
        </w:rPr>
      </w:pPr>
      <w:r>
        <w:rPr>
          <w:rFonts w:hint="eastAsia"/>
          <w:shd w:val="clear" w:color="auto" w:fill="FFFFFF"/>
        </w:rPr>
        <w:t>项目支出0万元。</w:t>
      </w:r>
    </w:p>
    <w:p>
      <w:pPr>
        <w:pStyle w:val="7"/>
        <w:keepNext w:val="0"/>
        <w:keepLines w:val="0"/>
        <w:widowControl/>
        <w:numPr>
          <w:ilvl w:val="0"/>
          <w:numId w:val="0"/>
        </w:numPr>
        <w:suppressLineNumbers w:val="0"/>
        <w:shd w:val="clear" w:fill="FFFFFF"/>
        <w:spacing w:before="15" w:beforeAutospacing="0" w:after="15" w:afterAutospacing="0" w:line="420" w:lineRule="atLeast"/>
        <w:ind w:firstLine="480" w:firstLineChars="200"/>
        <w:jc w:val="left"/>
        <w:rPr>
          <w:rFonts w:hint="eastAsia"/>
          <w:shd w:val="clear" w:color="auto" w:fill="FFFFFF"/>
          <w:lang w:eastAsia="zh-CN"/>
        </w:rPr>
      </w:pPr>
      <w:r>
        <w:rPr>
          <w:rFonts w:hint="eastAsia"/>
          <w:shd w:val="clear" w:color="auto" w:fill="FFFFFF"/>
        </w:rPr>
        <w:t>上缴上级支出 0万元。</w:t>
      </w:r>
      <w:r>
        <w:rPr>
          <w:rFonts w:hint="eastAsia"/>
          <w:shd w:val="clear" w:color="auto" w:fill="FFFFFF"/>
          <w:lang w:eastAsia="zh-CN"/>
        </w:rPr>
        <w:t>、</w:t>
      </w:r>
    </w:p>
    <w:p>
      <w:pPr>
        <w:pStyle w:val="7"/>
        <w:keepNext w:val="0"/>
        <w:keepLines w:val="0"/>
        <w:widowControl/>
        <w:numPr>
          <w:ilvl w:val="0"/>
          <w:numId w:val="0"/>
        </w:numPr>
        <w:suppressLineNumbers w:val="0"/>
        <w:shd w:val="clear" w:fill="FFFFFF"/>
        <w:spacing w:before="15" w:beforeAutospacing="0" w:after="15" w:afterAutospacing="0" w:line="420" w:lineRule="atLeast"/>
        <w:ind w:firstLine="480" w:firstLineChars="200"/>
        <w:jc w:val="left"/>
        <w:rPr>
          <w:rFonts w:hint="eastAsia"/>
          <w:shd w:val="clear" w:color="auto" w:fill="FFFFFF"/>
        </w:rPr>
      </w:pPr>
      <w:r>
        <w:rPr>
          <w:rFonts w:hint="eastAsia"/>
          <w:shd w:val="clear" w:color="auto" w:fill="FFFFFF"/>
        </w:rPr>
        <w:t>对附属单位补助支出 0万元。</w:t>
      </w:r>
    </w:p>
    <w:p>
      <w:pPr>
        <w:pStyle w:val="7"/>
        <w:keepNext w:val="0"/>
        <w:keepLines w:val="0"/>
        <w:widowControl/>
        <w:numPr>
          <w:ilvl w:val="0"/>
          <w:numId w:val="2"/>
        </w:numPr>
        <w:suppressLineNumbers w:val="0"/>
        <w:shd w:val="clear" w:fill="FFFFFF"/>
        <w:spacing w:before="15" w:beforeAutospacing="0" w:after="15" w:afterAutospacing="0" w:line="420" w:lineRule="atLeast"/>
        <w:ind w:left="-62" w:leftChars="0" w:firstLine="482" w:firstLineChars="0"/>
        <w:jc w:val="left"/>
        <w:rPr>
          <w:rFonts w:hint="eastAsia" w:ascii="宋体" w:hAnsi="宋体" w:eastAsia="宋体" w:cs="宋体"/>
          <w:sz w:val="24"/>
          <w:szCs w:val="24"/>
          <w:shd w:val="clear" w:fill="FFFFFF"/>
        </w:rPr>
      </w:pPr>
      <w:r>
        <w:rPr>
          <w:rFonts w:hint="eastAsia" w:ascii="宋体" w:hAnsi="宋体" w:eastAsia="宋体" w:cs="宋体"/>
          <w:sz w:val="24"/>
          <w:szCs w:val="24"/>
          <w:shd w:val="clear" w:fill="FFFFFF"/>
          <w:lang w:val="en-US" w:eastAsia="zh-CN"/>
        </w:rPr>
        <w:t>关于</w:t>
      </w:r>
      <w:r>
        <w:rPr>
          <w:rFonts w:hint="eastAsia" w:ascii="宋体" w:hAnsi="宋体" w:eastAsia="宋体" w:cs="宋体"/>
          <w:sz w:val="24"/>
          <w:szCs w:val="24"/>
          <w:shd w:val="clear" w:fill="FFFFFF"/>
        </w:rPr>
        <w:t>财政拨款收入支出决算总体情况说明</w:t>
      </w:r>
    </w:p>
    <w:p>
      <w:pPr>
        <w:pStyle w:val="7"/>
        <w:keepNext w:val="0"/>
        <w:keepLines w:val="0"/>
        <w:widowControl/>
        <w:numPr>
          <w:ilvl w:val="0"/>
          <w:numId w:val="0"/>
        </w:numPr>
        <w:suppressLineNumbers w:val="0"/>
        <w:shd w:val="clear" w:fill="FFFFFF"/>
        <w:spacing w:before="15" w:beforeAutospacing="0" w:after="15" w:afterAutospacing="0" w:line="420" w:lineRule="atLeast"/>
        <w:ind w:leftChars="200"/>
        <w:jc w:val="left"/>
        <w:rPr>
          <w:rFonts w:hint="eastAsia"/>
          <w:color w:val="333333"/>
          <w:shd w:val="clear" w:color="auto" w:fill="FFFFFF"/>
        </w:rPr>
      </w:pPr>
      <w:r>
        <w:rPr>
          <w:rFonts w:hint="eastAsia"/>
          <w:color w:val="333333"/>
          <w:shd w:val="clear" w:color="auto" w:fill="FFFFFF"/>
        </w:rPr>
        <w:t>2</w:t>
      </w:r>
      <w:r>
        <w:rPr>
          <w:rFonts w:hint="eastAsia"/>
          <w:shd w:val="clear" w:color="auto" w:fill="FFFFFF"/>
        </w:rPr>
        <w:t>018年财政拨款收入1723.13万元，比2017年决算数增加172.5034万元； 2018年财政拨款支出1711.82万元，比2017年决算数增加169.2132万元。增加原因一是人员政策性增资;二是年中预算的追加。</w:t>
      </w:r>
    </w:p>
    <w:p>
      <w:pPr>
        <w:pStyle w:val="7"/>
        <w:keepNext w:val="0"/>
        <w:keepLines w:val="0"/>
        <w:widowControl/>
        <w:numPr>
          <w:ilvl w:val="0"/>
          <w:numId w:val="2"/>
        </w:numPr>
        <w:suppressLineNumbers w:val="0"/>
        <w:shd w:val="clear" w:fill="FFFFFF"/>
        <w:spacing w:before="15" w:beforeAutospacing="0" w:after="15" w:afterAutospacing="0" w:line="420" w:lineRule="atLeast"/>
        <w:ind w:left="-62" w:leftChars="0" w:firstLine="482" w:firstLineChars="0"/>
        <w:jc w:val="left"/>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2018年度一般公共预算财政拨款支出决算情况说明</w:t>
      </w:r>
    </w:p>
    <w:p>
      <w:pPr>
        <w:pStyle w:val="7"/>
        <w:keepNext w:val="0"/>
        <w:keepLines w:val="0"/>
        <w:widowControl/>
        <w:numPr>
          <w:ilvl w:val="0"/>
          <w:numId w:val="0"/>
        </w:numPr>
        <w:suppressLineNumbers w:val="0"/>
        <w:shd w:val="clear" w:fill="FFFFFF"/>
        <w:spacing w:before="15" w:beforeAutospacing="0" w:after="15" w:afterAutospacing="0" w:line="420" w:lineRule="atLeast"/>
        <w:ind w:leftChars="200"/>
        <w:jc w:val="left"/>
        <w:rPr>
          <w:rFonts w:hint="eastAsia"/>
          <w:shd w:val="clear" w:color="auto" w:fill="FFFFFF"/>
        </w:rPr>
      </w:pPr>
      <w:r>
        <w:rPr>
          <w:rFonts w:hint="eastAsia"/>
          <w:shd w:val="clear" w:color="auto" w:fill="FFFFFF"/>
          <w:lang w:eastAsia="zh-CN"/>
        </w:rPr>
        <w:t>（一）</w:t>
      </w:r>
      <w:r>
        <w:rPr>
          <w:rFonts w:hint="eastAsia"/>
          <w:shd w:val="clear" w:color="auto" w:fill="FFFFFF"/>
        </w:rPr>
        <w:t>财政拨款支出决算总体情况。</w:t>
      </w:r>
    </w:p>
    <w:p>
      <w:pPr>
        <w:pStyle w:val="7"/>
        <w:keepNext w:val="0"/>
        <w:keepLines w:val="0"/>
        <w:widowControl/>
        <w:numPr>
          <w:ilvl w:val="0"/>
          <w:numId w:val="0"/>
        </w:numPr>
        <w:suppressLineNumbers w:val="0"/>
        <w:shd w:val="clear" w:fill="FFFFFF"/>
        <w:spacing w:before="15" w:beforeAutospacing="0" w:after="15" w:afterAutospacing="0" w:line="420" w:lineRule="atLeast"/>
        <w:ind w:leftChars="200"/>
        <w:jc w:val="left"/>
        <w:rPr>
          <w:rFonts w:hint="eastAsia"/>
          <w:shd w:val="clear" w:color="auto" w:fill="FFFFFF"/>
        </w:rPr>
      </w:pPr>
      <w:r>
        <w:rPr>
          <w:rFonts w:hint="eastAsia"/>
          <w:shd w:val="clear" w:color="auto" w:fill="FFFFFF"/>
        </w:rPr>
        <w:t>2018年公共财政拨款支出1711.82万元，比2017决算数增加了169.2132万元。增加的原因一是人员政策性增资;二是年中预算的追加。</w:t>
      </w:r>
    </w:p>
    <w:p>
      <w:pPr>
        <w:pStyle w:val="7"/>
        <w:keepNext w:val="0"/>
        <w:keepLines w:val="0"/>
        <w:widowControl/>
        <w:numPr>
          <w:ilvl w:val="0"/>
          <w:numId w:val="0"/>
        </w:numPr>
        <w:suppressLineNumbers w:val="0"/>
        <w:shd w:val="clear" w:fill="FFFFFF"/>
        <w:spacing w:before="15" w:beforeAutospacing="0" w:after="15" w:afterAutospacing="0" w:line="420" w:lineRule="atLeast"/>
        <w:ind w:leftChars="200"/>
        <w:jc w:val="left"/>
        <w:rPr>
          <w:rFonts w:hint="eastAsia"/>
          <w:shd w:val="clear" w:color="auto" w:fill="FFFFFF"/>
        </w:rPr>
      </w:pPr>
      <w:r>
        <w:rPr>
          <w:rFonts w:hint="eastAsia"/>
          <w:shd w:val="clear" w:color="auto" w:fill="FFFFFF"/>
          <w:lang w:eastAsia="zh-CN"/>
        </w:rPr>
        <w:t>（二）</w:t>
      </w:r>
      <w:r>
        <w:rPr>
          <w:rFonts w:hint="eastAsia"/>
          <w:shd w:val="clear" w:color="auto" w:fill="FFFFFF"/>
        </w:rPr>
        <w:t>财政拨款支出决算结构情况。</w:t>
      </w:r>
    </w:p>
    <w:p>
      <w:pPr>
        <w:pStyle w:val="7"/>
        <w:keepNext w:val="0"/>
        <w:keepLines w:val="0"/>
        <w:widowControl/>
        <w:numPr>
          <w:ilvl w:val="0"/>
          <w:numId w:val="0"/>
        </w:numPr>
        <w:suppressLineNumbers w:val="0"/>
        <w:shd w:val="clear" w:fill="FFFFFF"/>
        <w:spacing w:before="15" w:beforeAutospacing="0" w:after="15" w:afterAutospacing="0" w:line="420" w:lineRule="atLeast"/>
        <w:ind w:leftChars="200"/>
        <w:jc w:val="left"/>
        <w:rPr>
          <w:rFonts w:hint="eastAsia"/>
          <w:shd w:val="clear" w:color="auto" w:fill="FFFFFF"/>
        </w:rPr>
      </w:pPr>
      <w:r>
        <w:rPr>
          <w:rFonts w:hint="eastAsia"/>
          <w:shd w:val="clear" w:color="auto" w:fill="FFFFFF"/>
        </w:rPr>
        <w:t>2018年财政拨款支出1711.82万元，基本支出1711.82万元，占比100%。</w:t>
      </w:r>
    </w:p>
    <w:p>
      <w:pPr>
        <w:pStyle w:val="7"/>
        <w:keepNext w:val="0"/>
        <w:keepLines w:val="0"/>
        <w:widowControl/>
        <w:numPr>
          <w:ilvl w:val="0"/>
          <w:numId w:val="0"/>
        </w:numPr>
        <w:suppressLineNumbers w:val="0"/>
        <w:shd w:val="clear" w:fill="FFFFFF"/>
        <w:spacing w:before="15" w:beforeAutospacing="0" w:after="15" w:afterAutospacing="0" w:line="420" w:lineRule="atLeast"/>
        <w:ind w:leftChars="200"/>
        <w:jc w:val="left"/>
        <w:rPr>
          <w:rFonts w:hint="eastAsia"/>
          <w:shd w:val="clear" w:color="auto" w:fill="FFFFFF"/>
        </w:rPr>
      </w:pPr>
      <w:r>
        <w:rPr>
          <w:rFonts w:hint="eastAsia"/>
          <w:shd w:val="clear" w:color="auto" w:fill="FFFFFF"/>
          <w:lang w:eastAsia="zh-CN"/>
        </w:rPr>
        <w:t>（三）</w:t>
      </w:r>
      <w:r>
        <w:rPr>
          <w:rFonts w:hint="eastAsia"/>
          <w:shd w:val="clear" w:color="auto" w:fill="FFFFFF"/>
        </w:rPr>
        <w:t>财政拨款支出决算具体情况。</w:t>
      </w:r>
    </w:p>
    <w:p>
      <w:pPr>
        <w:pStyle w:val="7"/>
        <w:keepNext w:val="0"/>
        <w:keepLines w:val="0"/>
        <w:widowControl/>
        <w:numPr>
          <w:ilvl w:val="0"/>
          <w:numId w:val="0"/>
        </w:numPr>
        <w:suppressLineNumbers w:val="0"/>
        <w:shd w:val="clear" w:fill="FFFFFF"/>
        <w:spacing w:before="15" w:beforeAutospacing="0" w:after="15" w:afterAutospacing="0" w:line="420" w:lineRule="atLeast"/>
        <w:ind w:leftChars="200"/>
        <w:jc w:val="left"/>
        <w:rPr>
          <w:rFonts w:hint="eastAsia"/>
          <w:shd w:val="clear" w:color="auto" w:fill="FFFFFF"/>
        </w:rPr>
      </w:pPr>
      <w:r>
        <w:rPr>
          <w:rFonts w:hint="eastAsia"/>
          <w:shd w:val="clear" w:color="auto" w:fill="FFFFFF"/>
        </w:rPr>
        <w:t>2018年财政拨款支出1711.82万元，比年初预算数增加188.8593万元。主要增加人员支出、对个人和家庭补助支出、公用支出、社会保障和就业支出等。</w:t>
      </w:r>
    </w:p>
    <w:p>
      <w:pPr>
        <w:widowControl/>
        <w:spacing w:line="502" w:lineRule="atLeast"/>
        <w:ind w:firstLine="240" w:firstLineChars="100"/>
        <w:jc w:val="left"/>
        <w:rPr>
          <w:rFonts w:hint="eastAsia" w:ascii="宋体" w:hAnsi="宋体" w:eastAsia="宋体" w:cs="宋体"/>
          <w:color w:val="auto"/>
          <w:kern w:val="0"/>
          <w:sz w:val="24"/>
          <w:szCs w:val="24"/>
          <w:shd w:val="clear" w:color="auto" w:fill="FFFFFF"/>
          <w:lang w:eastAsia="zh-CN"/>
        </w:rPr>
      </w:pPr>
      <w:r>
        <w:rPr>
          <w:rFonts w:hint="eastAsia" w:ascii="宋体" w:hAnsi="宋体" w:eastAsia="宋体" w:cs="宋体"/>
          <w:color w:val="auto"/>
          <w:kern w:val="0"/>
          <w:sz w:val="24"/>
          <w:szCs w:val="24"/>
          <w:shd w:val="clear" w:color="auto" w:fill="FFFFFF"/>
        </w:rPr>
        <w:t>1、公共安全支出</w:t>
      </w:r>
      <w:r>
        <w:rPr>
          <w:rFonts w:hint="eastAsia" w:ascii="宋体" w:hAnsi="宋体" w:eastAsia="宋体" w:cs="宋体"/>
          <w:color w:val="auto"/>
          <w:kern w:val="0"/>
          <w:sz w:val="24"/>
          <w:szCs w:val="24"/>
          <w:shd w:val="clear" w:color="auto" w:fill="FFFFFF"/>
          <w:lang w:eastAsia="zh-CN"/>
        </w:rPr>
        <w:t>（类）</w:t>
      </w:r>
      <w:r>
        <w:rPr>
          <w:rFonts w:hint="eastAsia" w:ascii="宋体" w:hAnsi="宋体" w:eastAsia="宋体" w:cs="宋体"/>
          <w:color w:val="auto"/>
          <w:kern w:val="0"/>
          <w:sz w:val="24"/>
          <w:szCs w:val="24"/>
          <w:shd w:val="clear" w:color="auto" w:fill="FFFFFF"/>
          <w:lang w:val="en-US" w:eastAsia="zh-CN"/>
        </w:rPr>
        <w:t xml:space="preserve"> </w:t>
      </w:r>
      <w:r>
        <w:rPr>
          <w:rFonts w:hint="eastAsia" w:ascii="宋体" w:hAnsi="宋体" w:eastAsia="宋体" w:cs="宋体"/>
          <w:color w:val="auto"/>
          <w:kern w:val="0"/>
          <w:sz w:val="24"/>
          <w:szCs w:val="24"/>
          <w:shd w:val="clear" w:color="auto" w:fill="FFFFFF"/>
          <w:lang w:eastAsia="zh-CN"/>
        </w:rPr>
        <w:t>司法（款）</w:t>
      </w:r>
      <w:r>
        <w:rPr>
          <w:rFonts w:hint="eastAsia" w:ascii="宋体" w:hAnsi="宋体" w:eastAsia="宋体" w:cs="宋体"/>
          <w:color w:val="auto"/>
          <w:kern w:val="0"/>
          <w:sz w:val="24"/>
          <w:szCs w:val="24"/>
          <w:shd w:val="clear" w:color="auto" w:fill="FFFFFF"/>
          <w:lang w:val="en-US" w:eastAsia="zh-CN"/>
        </w:rPr>
        <w:t xml:space="preserve"> </w:t>
      </w:r>
      <w:r>
        <w:rPr>
          <w:rFonts w:hint="eastAsia" w:ascii="宋体" w:hAnsi="宋体" w:eastAsia="宋体" w:cs="宋体"/>
          <w:color w:val="auto"/>
          <w:kern w:val="0"/>
          <w:sz w:val="24"/>
          <w:szCs w:val="24"/>
          <w:shd w:val="clear" w:color="auto" w:fill="FFFFFF"/>
        </w:rPr>
        <w:t>行政运行</w:t>
      </w:r>
      <w:r>
        <w:rPr>
          <w:rFonts w:hint="eastAsia" w:ascii="宋体" w:hAnsi="宋体" w:eastAsia="宋体" w:cs="宋体"/>
          <w:color w:val="auto"/>
          <w:kern w:val="0"/>
          <w:sz w:val="24"/>
          <w:szCs w:val="24"/>
          <w:shd w:val="clear" w:color="auto" w:fill="FFFFFF"/>
          <w:lang w:eastAsia="zh-CN"/>
        </w:rPr>
        <w:t>（项）</w:t>
      </w:r>
    </w:p>
    <w:p>
      <w:pPr>
        <w:widowControl/>
        <w:spacing w:line="502" w:lineRule="atLeast"/>
        <w:ind w:firstLine="640"/>
        <w:jc w:val="left"/>
        <w:rPr>
          <w:rFonts w:ascii="宋体" w:hAnsi="宋体" w:eastAsia="宋体" w:cs="宋体"/>
          <w:color w:val="auto"/>
          <w:kern w:val="0"/>
          <w:sz w:val="24"/>
          <w:szCs w:val="24"/>
          <w:shd w:val="clear" w:color="auto" w:fill="FFFFFF"/>
        </w:rPr>
      </w:pPr>
      <w:r>
        <w:rPr>
          <w:rFonts w:hint="eastAsia" w:ascii="宋体" w:hAnsi="宋体" w:eastAsia="宋体" w:cs="宋体"/>
          <w:color w:val="auto"/>
          <w:kern w:val="0"/>
          <w:sz w:val="24"/>
          <w:szCs w:val="24"/>
          <w:shd w:val="clear" w:color="auto" w:fill="FFFFFF"/>
        </w:rPr>
        <w:t>年初预算为1095.5430万元，支出决算为1262.22万元，完成预算115.21%，决算数大于年初预算数的主要原因是：本年度发生在职人员提标工资、奖金及退休人员春节一次性生活补助等，而年初预算未纳入。</w:t>
      </w:r>
    </w:p>
    <w:p>
      <w:pPr>
        <w:widowControl/>
        <w:spacing w:line="502" w:lineRule="atLeast"/>
        <w:ind w:firstLine="240" w:firstLineChars="100"/>
        <w:jc w:val="left"/>
        <w:rPr>
          <w:rFonts w:hint="eastAsia" w:ascii="宋体" w:hAnsi="宋体" w:eastAsia="宋体" w:cs="宋体"/>
          <w:color w:val="auto"/>
          <w:kern w:val="0"/>
          <w:sz w:val="24"/>
          <w:szCs w:val="24"/>
          <w:shd w:val="clear" w:color="auto" w:fill="FFFFFF"/>
          <w:lang w:eastAsia="zh-CN"/>
        </w:rPr>
      </w:pPr>
      <w:r>
        <w:rPr>
          <w:rFonts w:hint="eastAsia" w:ascii="宋体" w:hAnsi="宋体" w:eastAsia="宋体" w:cs="宋体"/>
          <w:color w:val="auto"/>
          <w:kern w:val="0"/>
          <w:sz w:val="24"/>
          <w:szCs w:val="24"/>
          <w:shd w:val="clear" w:color="auto" w:fill="FFFFFF"/>
        </w:rPr>
        <w:t>2、公共安全支出</w:t>
      </w:r>
      <w:r>
        <w:rPr>
          <w:rFonts w:hint="eastAsia" w:ascii="宋体" w:hAnsi="宋体" w:eastAsia="宋体" w:cs="宋体"/>
          <w:color w:val="auto"/>
          <w:kern w:val="0"/>
          <w:sz w:val="24"/>
          <w:szCs w:val="24"/>
          <w:shd w:val="clear" w:color="auto" w:fill="FFFFFF"/>
          <w:lang w:eastAsia="zh-CN"/>
        </w:rPr>
        <w:t>（类）</w:t>
      </w:r>
      <w:r>
        <w:rPr>
          <w:rFonts w:hint="eastAsia" w:ascii="宋体" w:hAnsi="宋体" w:eastAsia="宋体" w:cs="宋体"/>
          <w:color w:val="auto"/>
          <w:kern w:val="0"/>
          <w:sz w:val="24"/>
          <w:szCs w:val="24"/>
          <w:shd w:val="clear" w:color="auto" w:fill="FFFFFF"/>
          <w:lang w:val="en-US" w:eastAsia="zh-CN"/>
        </w:rPr>
        <w:t xml:space="preserve"> 司法（款） </w:t>
      </w:r>
      <w:r>
        <w:rPr>
          <w:rFonts w:hint="eastAsia" w:ascii="宋体" w:hAnsi="宋体" w:eastAsia="宋体" w:cs="宋体"/>
          <w:color w:val="auto"/>
          <w:kern w:val="0"/>
          <w:sz w:val="24"/>
          <w:szCs w:val="24"/>
          <w:shd w:val="clear" w:color="auto" w:fill="FFFFFF"/>
        </w:rPr>
        <w:t>机关服务</w:t>
      </w:r>
      <w:r>
        <w:rPr>
          <w:rFonts w:hint="eastAsia" w:ascii="宋体" w:hAnsi="宋体" w:eastAsia="宋体" w:cs="宋体"/>
          <w:color w:val="auto"/>
          <w:kern w:val="0"/>
          <w:sz w:val="24"/>
          <w:szCs w:val="24"/>
          <w:shd w:val="clear" w:color="auto" w:fill="FFFFFF"/>
          <w:lang w:eastAsia="zh-CN"/>
        </w:rPr>
        <w:t>（项）</w:t>
      </w:r>
    </w:p>
    <w:p>
      <w:pPr>
        <w:widowControl/>
        <w:spacing w:line="502" w:lineRule="atLeast"/>
        <w:jc w:val="left"/>
        <w:rPr>
          <w:rFonts w:ascii="宋体" w:hAnsi="宋体" w:eastAsia="宋体" w:cs="宋体"/>
          <w:color w:val="auto"/>
          <w:kern w:val="0"/>
          <w:sz w:val="24"/>
          <w:szCs w:val="24"/>
          <w:shd w:val="clear" w:color="auto" w:fill="FFFFFF"/>
        </w:rPr>
      </w:pPr>
      <w:r>
        <w:rPr>
          <w:rFonts w:hint="eastAsia" w:ascii="宋体" w:hAnsi="宋体" w:eastAsia="宋体" w:cs="宋体"/>
          <w:color w:val="auto"/>
          <w:kern w:val="0"/>
          <w:sz w:val="24"/>
          <w:szCs w:val="24"/>
          <w:shd w:val="clear" w:color="auto" w:fill="FFFFFF"/>
        </w:rPr>
        <w:t>年初预算为0万元，支出决算为12万元，决算数大于年初预算数的主要原因是：本年度发生保洁、门卫、文印等机关后勤服务支出，而年初预算未纳入。</w:t>
      </w:r>
    </w:p>
    <w:p>
      <w:pPr>
        <w:widowControl/>
        <w:spacing w:line="502" w:lineRule="atLeast"/>
        <w:ind w:firstLine="240" w:firstLineChars="100"/>
        <w:jc w:val="left"/>
        <w:rPr>
          <w:rFonts w:hint="eastAsia" w:ascii="宋体" w:hAnsi="宋体" w:eastAsia="宋体" w:cs="宋体"/>
          <w:color w:val="auto"/>
          <w:kern w:val="0"/>
          <w:sz w:val="24"/>
          <w:szCs w:val="24"/>
          <w:shd w:val="clear" w:color="auto" w:fill="FFFFFF"/>
          <w:lang w:eastAsia="zh-CN"/>
        </w:rPr>
      </w:pPr>
      <w:r>
        <w:rPr>
          <w:rFonts w:hint="eastAsia" w:ascii="宋体" w:hAnsi="宋体" w:eastAsia="宋体" w:cs="宋体"/>
          <w:color w:val="auto"/>
          <w:kern w:val="0"/>
          <w:sz w:val="24"/>
          <w:szCs w:val="24"/>
          <w:shd w:val="clear" w:color="auto" w:fill="FFFFFF"/>
        </w:rPr>
        <w:t>3、公共安全支出</w:t>
      </w:r>
      <w:r>
        <w:rPr>
          <w:rFonts w:hint="eastAsia" w:ascii="宋体" w:hAnsi="宋体" w:eastAsia="宋体" w:cs="宋体"/>
          <w:color w:val="auto"/>
          <w:kern w:val="0"/>
          <w:sz w:val="24"/>
          <w:szCs w:val="24"/>
          <w:shd w:val="clear" w:color="auto" w:fill="FFFFFF"/>
          <w:lang w:eastAsia="zh-CN"/>
        </w:rPr>
        <w:t>（类）</w:t>
      </w:r>
      <w:r>
        <w:rPr>
          <w:rFonts w:hint="eastAsia" w:ascii="宋体" w:hAnsi="宋体" w:eastAsia="宋体" w:cs="宋体"/>
          <w:color w:val="auto"/>
          <w:kern w:val="0"/>
          <w:sz w:val="24"/>
          <w:szCs w:val="24"/>
          <w:shd w:val="clear" w:color="auto" w:fill="FFFFFF"/>
          <w:lang w:val="en-US" w:eastAsia="zh-CN"/>
        </w:rPr>
        <w:t xml:space="preserve"> 司法 （款）</w:t>
      </w:r>
      <w:r>
        <w:rPr>
          <w:rFonts w:hint="eastAsia" w:ascii="宋体" w:hAnsi="宋体" w:eastAsia="宋体" w:cs="宋体"/>
          <w:color w:val="auto"/>
          <w:kern w:val="0"/>
          <w:sz w:val="24"/>
          <w:szCs w:val="24"/>
          <w:shd w:val="clear" w:color="auto" w:fill="FFFFFF"/>
        </w:rPr>
        <w:t>基层司法业务</w:t>
      </w:r>
      <w:r>
        <w:rPr>
          <w:rFonts w:hint="eastAsia" w:ascii="宋体" w:hAnsi="宋体" w:eastAsia="宋体" w:cs="宋体"/>
          <w:color w:val="auto"/>
          <w:kern w:val="0"/>
          <w:sz w:val="24"/>
          <w:szCs w:val="24"/>
          <w:shd w:val="clear" w:color="auto" w:fill="FFFFFF"/>
          <w:lang w:eastAsia="zh-CN"/>
        </w:rPr>
        <w:t>（项）</w:t>
      </w:r>
    </w:p>
    <w:p>
      <w:pPr>
        <w:widowControl/>
        <w:spacing w:line="502" w:lineRule="atLeast"/>
        <w:jc w:val="left"/>
        <w:rPr>
          <w:rFonts w:ascii="宋体" w:hAnsi="宋体" w:eastAsia="宋体" w:cs="宋体"/>
          <w:color w:val="auto"/>
          <w:kern w:val="0"/>
          <w:sz w:val="24"/>
          <w:szCs w:val="24"/>
          <w:shd w:val="clear" w:color="auto" w:fill="FFFFFF"/>
        </w:rPr>
      </w:pPr>
      <w:r>
        <w:rPr>
          <w:rFonts w:hint="eastAsia" w:ascii="宋体" w:hAnsi="宋体" w:eastAsia="宋体" w:cs="宋体"/>
          <w:color w:val="auto"/>
          <w:kern w:val="0"/>
          <w:sz w:val="24"/>
          <w:szCs w:val="24"/>
          <w:shd w:val="clear" w:color="auto" w:fill="FFFFFF"/>
        </w:rPr>
        <w:t>年初预算为57万元，支出决算为37万元，完成预算64.91%，决算数小于年初预算数的主要原因是：财政压减了年初预算数。</w:t>
      </w:r>
    </w:p>
    <w:p>
      <w:pPr>
        <w:widowControl/>
        <w:spacing w:line="502" w:lineRule="atLeast"/>
        <w:ind w:firstLine="240" w:firstLineChars="100"/>
        <w:jc w:val="left"/>
        <w:rPr>
          <w:rFonts w:hint="eastAsia" w:ascii="宋体" w:hAnsi="宋体" w:eastAsia="宋体" w:cs="宋体"/>
          <w:color w:val="auto"/>
          <w:kern w:val="0"/>
          <w:sz w:val="24"/>
          <w:szCs w:val="24"/>
          <w:shd w:val="clear" w:color="auto" w:fill="FFFFFF"/>
          <w:lang w:eastAsia="zh-CN"/>
        </w:rPr>
      </w:pPr>
      <w:r>
        <w:rPr>
          <w:rFonts w:hint="eastAsia" w:ascii="宋体" w:hAnsi="宋体" w:eastAsia="宋体" w:cs="宋体"/>
          <w:color w:val="auto"/>
          <w:kern w:val="0"/>
          <w:sz w:val="24"/>
          <w:szCs w:val="24"/>
          <w:shd w:val="clear" w:color="auto" w:fill="FFFFFF"/>
        </w:rPr>
        <w:t>4、公共安全支出</w:t>
      </w:r>
      <w:r>
        <w:rPr>
          <w:rFonts w:hint="eastAsia" w:ascii="宋体" w:hAnsi="宋体" w:eastAsia="宋体" w:cs="宋体"/>
          <w:color w:val="auto"/>
          <w:kern w:val="0"/>
          <w:sz w:val="24"/>
          <w:szCs w:val="24"/>
          <w:shd w:val="clear" w:color="auto" w:fill="FFFFFF"/>
          <w:lang w:val="en-US" w:eastAsia="zh-CN"/>
        </w:rPr>
        <w:t xml:space="preserve"> （类）</w:t>
      </w:r>
      <w:r>
        <w:rPr>
          <w:rFonts w:hint="eastAsia" w:ascii="宋体" w:hAnsi="宋体" w:eastAsia="宋体" w:cs="宋体"/>
          <w:color w:val="auto"/>
          <w:kern w:val="0"/>
          <w:sz w:val="24"/>
          <w:szCs w:val="24"/>
          <w:shd w:val="clear" w:color="auto" w:fill="FFFFFF"/>
          <w:lang w:eastAsia="zh-CN"/>
        </w:rPr>
        <w:t>司</w:t>
      </w:r>
      <w:r>
        <w:rPr>
          <w:rFonts w:hint="eastAsia" w:ascii="宋体" w:hAnsi="宋体" w:eastAsia="宋体" w:cs="宋体"/>
          <w:color w:val="auto"/>
          <w:kern w:val="0"/>
          <w:sz w:val="24"/>
          <w:szCs w:val="24"/>
          <w:shd w:val="clear" w:color="auto" w:fill="FFFFFF"/>
          <w:lang w:val="en-US" w:eastAsia="zh-CN"/>
        </w:rPr>
        <w:t xml:space="preserve"> </w:t>
      </w:r>
      <w:r>
        <w:rPr>
          <w:rFonts w:hint="eastAsia" w:ascii="宋体" w:hAnsi="宋体" w:eastAsia="宋体" w:cs="宋体"/>
          <w:color w:val="auto"/>
          <w:kern w:val="0"/>
          <w:sz w:val="24"/>
          <w:szCs w:val="24"/>
          <w:shd w:val="clear" w:color="auto" w:fill="FFFFFF"/>
          <w:lang w:eastAsia="zh-CN"/>
        </w:rPr>
        <w:t>法（款）</w:t>
      </w:r>
      <w:r>
        <w:rPr>
          <w:rFonts w:hint="eastAsia" w:ascii="宋体" w:hAnsi="宋体" w:eastAsia="宋体" w:cs="宋体"/>
          <w:color w:val="auto"/>
          <w:kern w:val="0"/>
          <w:sz w:val="24"/>
          <w:szCs w:val="24"/>
          <w:shd w:val="clear" w:color="auto" w:fill="FFFFFF"/>
          <w:lang w:val="en-US" w:eastAsia="zh-CN"/>
        </w:rPr>
        <w:t xml:space="preserve"> </w:t>
      </w:r>
      <w:r>
        <w:rPr>
          <w:rFonts w:hint="eastAsia" w:ascii="宋体" w:hAnsi="宋体" w:eastAsia="宋体" w:cs="宋体"/>
          <w:color w:val="auto"/>
          <w:kern w:val="0"/>
          <w:sz w:val="24"/>
          <w:szCs w:val="24"/>
          <w:shd w:val="clear" w:color="auto" w:fill="FFFFFF"/>
        </w:rPr>
        <w:t>普法宣传</w:t>
      </w:r>
      <w:r>
        <w:rPr>
          <w:rFonts w:hint="eastAsia" w:ascii="宋体" w:hAnsi="宋体" w:eastAsia="宋体" w:cs="宋体"/>
          <w:color w:val="auto"/>
          <w:kern w:val="0"/>
          <w:sz w:val="24"/>
          <w:szCs w:val="24"/>
          <w:shd w:val="clear" w:color="auto" w:fill="FFFFFF"/>
          <w:lang w:eastAsia="zh-CN"/>
        </w:rPr>
        <w:t>（项）</w:t>
      </w:r>
    </w:p>
    <w:p>
      <w:pPr>
        <w:widowControl/>
        <w:spacing w:line="502" w:lineRule="atLeast"/>
        <w:ind w:firstLine="640"/>
        <w:jc w:val="left"/>
        <w:rPr>
          <w:rFonts w:ascii="宋体" w:hAnsi="宋体" w:eastAsia="宋体" w:cs="宋体"/>
          <w:color w:val="auto"/>
          <w:kern w:val="0"/>
          <w:sz w:val="24"/>
          <w:szCs w:val="24"/>
          <w:shd w:val="clear" w:color="auto" w:fill="FFFFFF"/>
        </w:rPr>
      </w:pPr>
      <w:r>
        <w:rPr>
          <w:rFonts w:hint="eastAsia" w:ascii="宋体" w:hAnsi="宋体" w:eastAsia="宋体" w:cs="宋体"/>
          <w:color w:val="auto"/>
          <w:kern w:val="0"/>
          <w:sz w:val="24"/>
          <w:szCs w:val="24"/>
          <w:shd w:val="clear" w:color="auto" w:fill="FFFFFF"/>
        </w:rPr>
        <w:t>年初预算为103万元，支出决算为103万元，全年预决算持平。</w:t>
      </w:r>
    </w:p>
    <w:p>
      <w:pPr>
        <w:widowControl/>
        <w:spacing w:line="502" w:lineRule="atLeast"/>
        <w:ind w:firstLine="240" w:firstLineChars="100"/>
        <w:jc w:val="left"/>
        <w:rPr>
          <w:rFonts w:hint="eastAsia" w:ascii="宋体" w:hAnsi="宋体" w:eastAsia="宋体" w:cs="宋体"/>
          <w:color w:val="auto"/>
          <w:kern w:val="0"/>
          <w:sz w:val="24"/>
          <w:szCs w:val="24"/>
          <w:shd w:val="clear" w:color="auto" w:fill="FFFFFF"/>
          <w:lang w:eastAsia="zh-CN"/>
        </w:rPr>
      </w:pPr>
      <w:r>
        <w:rPr>
          <w:rFonts w:hint="eastAsia" w:ascii="宋体" w:hAnsi="宋体" w:eastAsia="宋体" w:cs="宋体"/>
          <w:color w:val="auto"/>
          <w:kern w:val="0"/>
          <w:sz w:val="24"/>
          <w:szCs w:val="24"/>
          <w:shd w:val="clear" w:color="auto" w:fill="FFFFFF"/>
        </w:rPr>
        <w:t>5、公共安全支出</w:t>
      </w:r>
      <w:r>
        <w:rPr>
          <w:rFonts w:hint="eastAsia" w:ascii="宋体" w:hAnsi="宋体" w:eastAsia="宋体" w:cs="宋体"/>
          <w:color w:val="auto"/>
          <w:kern w:val="0"/>
          <w:sz w:val="24"/>
          <w:szCs w:val="24"/>
          <w:shd w:val="clear" w:color="auto" w:fill="FFFFFF"/>
          <w:lang w:val="en-US" w:eastAsia="zh-CN"/>
        </w:rPr>
        <w:t xml:space="preserve"> （类）司法（款） </w:t>
      </w:r>
      <w:r>
        <w:rPr>
          <w:rFonts w:hint="eastAsia" w:ascii="宋体" w:hAnsi="宋体" w:eastAsia="宋体" w:cs="宋体"/>
          <w:color w:val="auto"/>
          <w:kern w:val="0"/>
          <w:sz w:val="24"/>
          <w:szCs w:val="24"/>
          <w:shd w:val="clear" w:color="auto" w:fill="FFFFFF"/>
        </w:rPr>
        <w:t>法律援助</w:t>
      </w:r>
      <w:r>
        <w:rPr>
          <w:rFonts w:hint="eastAsia" w:ascii="宋体" w:hAnsi="宋体" w:eastAsia="宋体" w:cs="宋体"/>
          <w:color w:val="auto"/>
          <w:kern w:val="0"/>
          <w:sz w:val="24"/>
          <w:szCs w:val="24"/>
          <w:shd w:val="clear" w:color="auto" w:fill="FFFFFF"/>
          <w:lang w:eastAsia="zh-CN"/>
        </w:rPr>
        <w:t>（项）</w:t>
      </w:r>
    </w:p>
    <w:p>
      <w:pPr>
        <w:widowControl/>
        <w:spacing w:line="502" w:lineRule="atLeast"/>
        <w:ind w:firstLine="640"/>
        <w:jc w:val="left"/>
        <w:rPr>
          <w:rFonts w:ascii="宋体" w:hAnsi="宋体" w:eastAsia="宋体" w:cs="宋体"/>
          <w:color w:val="auto"/>
          <w:kern w:val="0"/>
          <w:sz w:val="24"/>
          <w:szCs w:val="24"/>
          <w:shd w:val="clear" w:color="auto" w:fill="FFFFFF"/>
        </w:rPr>
      </w:pPr>
      <w:r>
        <w:rPr>
          <w:rFonts w:hint="eastAsia" w:ascii="宋体" w:hAnsi="宋体" w:eastAsia="宋体" w:cs="宋体"/>
          <w:color w:val="auto"/>
          <w:kern w:val="0"/>
          <w:sz w:val="24"/>
          <w:szCs w:val="24"/>
          <w:shd w:val="clear" w:color="auto" w:fill="FFFFFF"/>
        </w:rPr>
        <w:t>年初预算为120万元，支出决算为108.87万元，完成预算90.73%，决算数小于年初预算数的主要原因是：部分法律援助案卷未归档，导致法律援助案件补贴到下一年度发放。</w:t>
      </w:r>
    </w:p>
    <w:p>
      <w:pPr>
        <w:widowControl/>
        <w:spacing w:line="502" w:lineRule="atLeast"/>
        <w:jc w:val="left"/>
        <w:rPr>
          <w:rFonts w:hint="eastAsia" w:ascii="宋体" w:hAnsi="宋体" w:eastAsia="宋体" w:cs="宋体"/>
          <w:color w:val="auto"/>
          <w:kern w:val="0"/>
          <w:sz w:val="24"/>
          <w:szCs w:val="24"/>
          <w:shd w:val="clear" w:color="auto" w:fill="FFFFFF"/>
          <w:lang w:eastAsia="zh-CN"/>
        </w:rPr>
      </w:pPr>
      <w:r>
        <w:rPr>
          <w:rFonts w:hint="eastAsia" w:ascii="宋体" w:hAnsi="宋体" w:eastAsia="宋体" w:cs="宋体"/>
          <w:color w:val="auto"/>
          <w:kern w:val="0"/>
          <w:sz w:val="24"/>
          <w:szCs w:val="24"/>
          <w:shd w:val="clear" w:color="auto" w:fill="FFFFFF"/>
        </w:rPr>
        <w:t>6、公共安全支出</w:t>
      </w:r>
      <w:r>
        <w:rPr>
          <w:rFonts w:hint="eastAsia" w:ascii="宋体" w:hAnsi="宋体" w:eastAsia="宋体" w:cs="宋体"/>
          <w:color w:val="auto"/>
          <w:kern w:val="0"/>
          <w:sz w:val="24"/>
          <w:szCs w:val="24"/>
          <w:shd w:val="clear" w:color="auto" w:fill="FFFFFF"/>
          <w:lang w:val="en-US" w:eastAsia="zh-CN"/>
        </w:rPr>
        <w:t xml:space="preserve"> （类）司法（款） </w:t>
      </w:r>
      <w:r>
        <w:rPr>
          <w:rFonts w:hint="eastAsia" w:ascii="宋体" w:hAnsi="宋体" w:eastAsia="宋体" w:cs="宋体"/>
          <w:color w:val="auto"/>
          <w:kern w:val="0"/>
          <w:sz w:val="24"/>
          <w:szCs w:val="24"/>
          <w:shd w:val="clear" w:color="auto" w:fill="FFFFFF"/>
        </w:rPr>
        <w:t>社区矫正</w:t>
      </w:r>
      <w:r>
        <w:rPr>
          <w:rFonts w:hint="eastAsia" w:ascii="宋体" w:hAnsi="宋体" w:eastAsia="宋体" w:cs="宋体"/>
          <w:color w:val="auto"/>
          <w:kern w:val="0"/>
          <w:sz w:val="24"/>
          <w:szCs w:val="24"/>
          <w:shd w:val="clear" w:color="auto" w:fill="FFFFFF"/>
          <w:lang w:eastAsia="zh-CN"/>
        </w:rPr>
        <w:t>（项）</w:t>
      </w:r>
    </w:p>
    <w:p>
      <w:pPr>
        <w:widowControl/>
        <w:spacing w:line="502" w:lineRule="atLeast"/>
        <w:ind w:firstLine="640"/>
        <w:jc w:val="left"/>
        <w:rPr>
          <w:rFonts w:ascii="宋体" w:hAnsi="宋体" w:eastAsia="宋体" w:cs="宋体"/>
          <w:color w:val="auto"/>
          <w:kern w:val="0"/>
          <w:sz w:val="24"/>
          <w:szCs w:val="24"/>
          <w:shd w:val="clear" w:color="auto" w:fill="FFFFFF"/>
        </w:rPr>
      </w:pPr>
      <w:r>
        <w:rPr>
          <w:rFonts w:hint="eastAsia" w:ascii="宋体" w:hAnsi="宋体" w:eastAsia="宋体" w:cs="宋体"/>
          <w:color w:val="auto"/>
          <w:kern w:val="0"/>
          <w:sz w:val="24"/>
          <w:szCs w:val="24"/>
          <w:shd w:val="clear" w:color="auto" w:fill="FFFFFF"/>
        </w:rPr>
        <w:t>年初预算为125万元，支出决算为100万元，完成预算80%，决算数小于年初预算数的主要原因是：社区矫正指挥系统未验收导致到下一年度支付。</w:t>
      </w:r>
    </w:p>
    <w:p>
      <w:pPr>
        <w:widowControl/>
        <w:spacing w:line="502" w:lineRule="atLeast"/>
        <w:jc w:val="left"/>
        <w:rPr>
          <w:rFonts w:hint="eastAsia" w:ascii="宋体" w:hAnsi="宋体" w:eastAsia="宋体" w:cs="宋体"/>
          <w:color w:val="auto"/>
          <w:kern w:val="0"/>
          <w:sz w:val="24"/>
          <w:szCs w:val="24"/>
          <w:shd w:val="clear" w:color="auto" w:fill="FFFFFF"/>
          <w:lang w:eastAsia="zh-CN"/>
        </w:rPr>
      </w:pPr>
      <w:r>
        <w:rPr>
          <w:rFonts w:hint="eastAsia" w:ascii="宋体" w:hAnsi="宋体" w:eastAsia="宋体" w:cs="宋体"/>
          <w:color w:val="auto"/>
          <w:kern w:val="0"/>
          <w:sz w:val="24"/>
          <w:szCs w:val="24"/>
          <w:shd w:val="clear" w:color="auto" w:fill="FFFFFF"/>
        </w:rPr>
        <w:t>7、公共安全支出</w:t>
      </w:r>
      <w:r>
        <w:rPr>
          <w:rFonts w:hint="eastAsia" w:ascii="宋体" w:hAnsi="宋体" w:eastAsia="宋体" w:cs="宋体"/>
          <w:color w:val="auto"/>
          <w:kern w:val="0"/>
          <w:sz w:val="24"/>
          <w:szCs w:val="24"/>
          <w:shd w:val="clear" w:color="auto" w:fill="FFFFFF"/>
          <w:lang w:eastAsia="zh-CN"/>
        </w:rPr>
        <w:t>（类）</w:t>
      </w:r>
      <w:r>
        <w:rPr>
          <w:rFonts w:hint="eastAsia" w:ascii="宋体" w:hAnsi="宋体" w:eastAsia="宋体" w:cs="宋体"/>
          <w:color w:val="auto"/>
          <w:kern w:val="0"/>
          <w:sz w:val="24"/>
          <w:szCs w:val="24"/>
          <w:shd w:val="clear" w:color="auto" w:fill="FFFFFF"/>
          <w:lang w:val="en-US" w:eastAsia="zh-CN"/>
        </w:rPr>
        <w:t xml:space="preserve"> 司法 （款）</w:t>
      </w:r>
      <w:r>
        <w:rPr>
          <w:rFonts w:hint="eastAsia" w:ascii="宋体" w:hAnsi="宋体" w:eastAsia="宋体" w:cs="宋体"/>
          <w:color w:val="auto"/>
          <w:kern w:val="0"/>
          <w:sz w:val="24"/>
          <w:szCs w:val="24"/>
          <w:shd w:val="clear" w:color="auto" w:fill="FFFFFF"/>
        </w:rPr>
        <w:t>其他司法支出</w:t>
      </w:r>
      <w:r>
        <w:rPr>
          <w:rFonts w:hint="eastAsia" w:ascii="宋体" w:hAnsi="宋体" w:eastAsia="宋体" w:cs="宋体"/>
          <w:color w:val="auto"/>
          <w:kern w:val="0"/>
          <w:sz w:val="24"/>
          <w:szCs w:val="24"/>
          <w:shd w:val="clear" w:color="auto" w:fill="FFFFFF"/>
          <w:lang w:eastAsia="zh-CN"/>
        </w:rPr>
        <w:t>（项）</w:t>
      </w:r>
    </w:p>
    <w:p>
      <w:pPr>
        <w:widowControl/>
        <w:spacing w:line="502" w:lineRule="atLeast"/>
        <w:ind w:firstLine="640"/>
        <w:jc w:val="left"/>
        <w:rPr>
          <w:rFonts w:ascii="宋体" w:hAnsi="宋体" w:eastAsia="宋体" w:cs="宋体"/>
          <w:color w:val="auto"/>
          <w:kern w:val="0"/>
          <w:sz w:val="24"/>
          <w:szCs w:val="24"/>
          <w:shd w:val="clear" w:color="auto" w:fill="FFFFFF"/>
        </w:rPr>
      </w:pPr>
      <w:r>
        <w:rPr>
          <w:rFonts w:hint="eastAsia" w:ascii="宋体" w:hAnsi="宋体" w:eastAsia="宋体" w:cs="宋体"/>
          <w:color w:val="auto"/>
          <w:kern w:val="0"/>
          <w:sz w:val="24"/>
          <w:szCs w:val="24"/>
          <w:shd w:val="clear" w:color="auto" w:fill="FFFFFF"/>
        </w:rPr>
        <w:t>年初预算为31万元，支出决算为20万元，完成预算的64.52%，主要原因是：本年底厉行节约，控制了支出。</w:t>
      </w:r>
    </w:p>
    <w:p>
      <w:pPr>
        <w:widowControl/>
        <w:spacing w:line="502" w:lineRule="atLeast"/>
        <w:jc w:val="left"/>
        <w:rPr>
          <w:rFonts w:hint="eastAsia" w:ascii="宋体" w:hAnsi="宋体" w:eastAsia="宋体" w:cs="宋体"/>
          <w:color w:val="auto"/>
          <w:kern w:val="0"/>
          <w:sz w:val="24"/>
          <w:szCs w:val="24"/>
          <w:shd w:val="clear" w:color="auto" w:fill="FFFFFF"/>
          <w:lang w:val="en-US" w:eastAsia="zh-CN"/>
        </w:rPr>
      </w:pPr>
      <w:r>
        <w:rPr>
          <w:rFonts w:hint="eastAsia" w:ascii="宋体" w:hAnsi="宋体" w:eastAsia="宋体" w:cs="宋体"/>
          <w:color w:val="auto"/>
          <w:kern w:val="0"/>
          <w:sz w:val="24"/>
          <w:szCs w:val="24"/>
          <w:shd w:val="clear" w:color="auto" w:fill="FFFFFF"/>
        </w:rPr>
        <w:t>8、社会保障和就业支出</w:t>
      </w:r>
      <w:r>
        <w:rPr>
          <w:rFonts w:hint="eastAsia" w:ascii="宋体" w:hAnsi="宋体" w:eastAsia="宋体" w:cs="宋体"/>
          <w:color w:val="auto"/>
          <w:kern w:val="0"/>
          <w:sz w:val="24"/>
          <w:szCs w:val="24"/>
          <w:shd w:val="clear" w:color="auto" w:fill="FFFFFF"/>
          <w:lang w:eastAsia="zh-CN"/>
        </w:rPr>
        <w:t>（类）行政事业离退休（款）</w:t>
      </w:r>
      <w:r>
        <w:rPr>
          <w:rFonts w:hint="eastAsia" w:ascii="宋体" w:hAnsi="宋体" w:eastAsia="宋体" w:cs="宋体"/>
          <w:color w:val="auto"/>
          <w:kern w:val="0"/>
          <w:sz w:val="24"/>
          <w:szCs w:val="24"/>
          <w:shd w:val="clear" w:color="auto" w:fill="FFFFFF"/>
        </w:rPr>
        <w:t>归口管理的行政单位离退休</w:t>
      </w:r>
      <w:r>
        <w:rPr>
          <w:rFonts w:hint="eastAsia" w:ascii="宋体" w:hAnsi="宋体" w:eastAsia="宋体" w:cs="宋体"/>
          <w:color w:val="auto"/>
          <w:kern w:val="0"/>
          <w:sz w:val="24"/>
          <w:szCs w:val="24"/>
          <w:shd w:val="clear" w:color="auto" w:fill="FFFFFF"/>
          <w:lang w:val="en-US" w:eastAsia="zh-CN"/>
        </w:rPr>
        <w:t xml:space="preserve"> （项）</w:t>
      </w:r>
    </w:p>
    <w:p>
      <w:pPr>
        <w:widowControl/>
        <w:spacing w:line="502" w:lineRule="atLeast"/>
        <w:ind w:firstLine="640"/>
        <w:jc w:val="left"/>
        <w:rPr>
          <w:rFonts w:ascii="宋体" w:hAnsi="宋体" w:eastAsia="宋体" w:cs="宋体"/>
          <w:color w:val="auto"/>
          <w:kern w:val="0"/>
          <w:sz w:val="24"/>
          <w:szCs w:val="24"/>
          <w:shd w:val="clear" w:color="auto" w:fill="FFFFFF"/>
        </w:rPr>
      </w:pPr>
      <w:r>
        <w:rPr>
          <w:rFonts w:hint="eastAsia" w:ascii="宋体" w:hAnsi="宋体" w:eastAsia="宋体" w:cs="宋体"/>
          <w:color w:val="auto"/>
          <w:kern w:val="0"/>
          <w:sz w:val="24"/>
          <w:szCs w:val="24"/>
          <w:shd w:val="clear" w:color="auto" w:fill="FFFFFF"/>
        </w:rPr>
        <w:t>年初预算为0万元，支出决算为68.73万元，决算数大于年初预算数的主要原因是：本年度发生机关事业单位基本养老保险缴费和退休人员春节一次性生活补助费，而年初预算未纳入。</w:t>
      </w:r>
    </w:p>
    <w:p>
      <w:pPr>
        <w:pStyle w:val="7"/>
        <w:keepNext w:val="0"/>
        <w:keepLines w:val="0"/>
        <w:widowControl/>
        <w:numPr>
          <w:ilvl w:val="0"/>
          <w:numId w:val="2"/>
        </w:numPr>
        <w:suppressLineNumbers w:val="0"/>
        <w:shd w:val="clear" w:fill="FFFFFF"/>
        <w:spacing w:before="15" w:beforeAutospacing="0" w:after="15" w:afterAutospacing="0" w:line="420" w:lineRule="atLeast"/>
        <w:ind w:left="-62" w:leftChars="0" w:firstLine="482" w:firstLineChars="0"/>
        <w:jc w:val="left"/>
        <w:rPr>
          <w:rFonts w:hint="eastAsia" w:ascii="宋体" w:hAnsi="宋体" w:eastAsia="宋体" w:cs="宋体"/>
          <w:color w:val="auto"/>
          <w:sz w:val="24"/>
          <w:szCs w:val="24"/>
          <w:shd w:val="clear" w:fill="FFFFFF"/>
          <w:lang w:val="en-US" w:eastAsia="zh-CN"/>
        </w:rPr>
      </w:pPr>
      <w:r>
        <w:rPr>
          <w:rFonts w:hint="eastAsia" w:ascii="宋体" w:hAnsi="宋体" w:eastAsia="宋体" w:cs="宋体"/>
          <w:color w:val="auto"/>
          <w:sz w:val="24"/>
          <w:szCs w:val="24"/>
          <w:shd w:val="clear" w:fill="FFFFFF"/>
          <w:lang w:val="en-US" w:eastAsia="zh-CN"/>
        </w:rPr>
        <w:t>关于湘潭县司法局2018年度一般公共预算财政拨款基本支出决算情况说明。</w:t>
      </w:r>
    </w:p>
    <w:p>
      <w:pPr>
        <w:widowControl/>
        <w:spacing w:line="502" w:lineRule="atLeast"/>
        <w:ind w:firstLine="480" w:firstLineChars="200"/>
        <w:jc w:val="left"/>
        <w:rPr>
          <w:rFonts w:hint="eastAsia" w:ascii="宋体" w:hAnsi="宋体" w:eastAsia="宋体" w:cs="宋体"/>
          <w:color w:val="auto"/>
          <w:kern w:val="0"/>
          <w:sz w:val="24"/>
          <w:szCs w:val="24"/>
          <w:shd w:val="clear" w:color="auto" w:fill="FFFFFF"/>
        </w:rPr>
      </w:pPr>
      <w:r>
        <w:rPr>
          <w:rFonts w:hint="eastAsia" w:ascii="宋体" w:hAnsi="宋体" w:eastAsia="宋体" w:cs="宋体"/>
          <w:color w:val="auto"/>
          <w:kern w:val="0"/>
          <w:sz w:val="24"/>
          <w:szCs w:val="24"/>
          <w:shd w:val="clear" w:color="auto" w:fill="FFFFFF"/>
        </w:rPr>
        <w:t>201</w:t>
      </w:r>
      <w:r>
        <w:rPr>
          <w:rFonts w:hint="eastAsia" w:ascii="宋体" w:hAnsi="宋体" w:eastAsia="宋体" w:cs="宋体"/>
          <w:color w:val="auto"/>
          <w:kern w:val="0"/>
          <w:sz w:val="24"/>
          <w:szCs w:val="24"/>
          <w:shd w:val="clear" w:color="auto" w:fill="FFFFFF"/>
          <w:lang w:val="en-US" w:eastAsia="zh-CN"/>
        </w:rPr>
        <w:t>8</w:t>
      </w:r>
      <w:r>
        <w:rPr>
          <w:rFonts w:hint="eastAsia" w:ascii="宋体" w:hAnsi="宋体" w:eastAsia="宋体" w:cs="宋体"/>
          <w:color w:val="auto"/>
          <w:kern w:val="0"/>
          <w:sz w:val="24"/>
          <w:szCs w:val="24"/>
          <w:shd w:val="clear" w:color="auto" w:fill="FFFFFF"/>
        </w:rPr>
        <w:t>年度一般公共预算财政拨款基本支出</w:t>
      </w:r>
      <w:r>
        <w:rPr>
          <w:rFonts w:hint="eastAsia" w:ascii="宋体" w:hAnsi="宋体" w:eastAsia="宋体" w:cs="宋体"/>
          <w:color w:val="auto"/>
          <w:kern w:val="0"/>
          <w:sz w:val="24"/>
          <w:szCs w:val="24"/>
          <w:shd w:val="clear" w:color="auto" w:fill="FFFFFF"/>
          <w:lang w:val="en-US" w:eastAsia="zh-CN"/>
        </w:rPr>
        <w:t>1711.82</w:t>
      </w:r>
      <w:r>
        <w:rPr>
          <w:rFonts w:hint="eastAsia" w:ascii="宋体" w:hAnsi="宋体" w:eastAsia="宋体" w:cs="宋体"/>
          <w:color w:val="auto"/>
          <w:kern w:val="0"/>
          <w:sz w:val="24"/>
          <w:szCs w:val="24"/>
          <w:shd w:val="clear" w:color="auto" w:fill="FFFFFF"/>
        </w:rPr>
        <w:t>万元，其中工资和福利支出1181.44万元，占</w:t>
      </w:r>
      <w:r>
        <w:rPr>
          <w:rFonts w:hint="eastAsia" w:ascii="宋体" w:hAnsi="宋体" w:eastAsia="宋体" w:cs="宋体"/>
          <w:color w:val="auto"/>
          <w:kern w:val="0"/>
          <w:sz w:val="24"/>
          <w:szCs w:val="24"/>
          <w:shd w:val="clear" w:color="auto" w:fill="FFFFFF"/>
          <w:lang w:eastAsia="zh-CN"/>
        </w:rPr>
        <w:t>基本支出的</w:t>
      </w:r>
      <w:r>
        <w:rPr>
          <w:rFonts w:hint="eastAsia" w:ascii="宋体" w:hAnsi="宋体" w:eastAsia="宋体" w:cs="宋体"/>
          <w:color w:val="auto"/>
          <w:kern w:val="0"/>
          <w:sz w:val="24"/>
          <w:szCs w:val="24"/>
          <w:shd w:val="clear" w:color="auto" w:fill="FFFFFF"/>
        </w:rPr>
        <w:t>69.02%；商品和服务支出442.23万元，占</w:t>
      </w:r>
      <w:r>
        <w:rPr>
          <w:rFonts w:hint="eastAsia" w:ascii="宋体" w:hAnsi="宋体" w:eastAsia="宋体" w:cs="宋体"/>
          <w:color w:val="auto"/>
          <w:kern w:val="0"/>
          <w:sz w:val="24"/>
          <w:szCs w:val="24"/>
          <w:shd w:val="clear" w:color="auto" w:fill="FFFFFF"/>
          <w:lang w:eastAsia="zh-CN"/>
        </w:rPr>
        <w:t>基本支出的</w:t>
      </w:r>
      <w:r>
        <w:rPr>
          <w:rFonts w:hint="eastAsia" w:ascii="宋体" w:hAnsi="宋体" w:eastAsia="宋体" w:cs="宋体"/>
          <w:color w:val="auto"/>
          <w:kern w:val="0"/>
          <w:sz w:val="24"/>
          <w:szCs w:val="24"/>
          <w:shd w:val="clear" w:color="auto" w:fill="FFFFFF"/>
        </w:rPr>
        <w:t>25.83%；对个人和家庭的补助71.62万元，占</w:t>
      </w:r>
      <w:r>
        <w:rPr>
          <w:rFonts w:hint="eastAsia" w:ascii="宋体" w:hAnsi="宋体" w:eastAsia="宋体" w:cs="宋体"/>
          <w:color w:val="auto"/>
          <w:kern w:val="0"/>
          <w:sz w:val="24"/>
          <w:szCs w:val="24"/>
          <w:shd w:val="clear" w:color="auto" w:fill="FFFFFF"/>
          <w:lang w:eastAsia="zh-CN"/>
        </w:rPr>
        <w:t>基本支出的</w:t>
      </w:r>
      <w:r>
        <w:rPr>
          <w:rFonts w:hint="eastAsia" w:ascii="宋体" w:hAnsi="宋体" w:eastAsia="宋体" w:cs="宋体"/>
          <w:color w:val="auto"/>
          <w:kern w:val="0"/>
          <w:sz w:val="24"/>
          <w:szCs w:val="24"/>
          <w:shd w:val="clear" w:color="auto" w:fill="FFFFFF"/>
        </w:rPr>
        <w:t>4.12%;其他资本性支出16.53万元，占</w:t>
      </w:r>
      <w:r>
        <w:rPr>
          <w:rFonts w:hint="eastAsia" w:ascii="宋体" w:hAnsi="宋体" w:eastAsia="宋体" w:cs="宋体"/>
          <w:color w:val="auto"/>
          <w:kern w:val="0"/>
          <w:sz w:val="24"/>
          <w:szCs w:val="24"/>
          <w:shd w:val="clear" w:color="auto" w:fill="FFFFFF"/>
          <w:lang w:eastAsia="zh-CN"/>
        </w:rPr>
        <w:t>基本支出的</w:t>
      </w:r>
      <w:r>
        <w:rPr>
          <w:rFonts w:hint="eastAsia" w:ascii="宋体" w:hAnsi="宋体" w:eastAsia="宋体" w:cs="宋体"/>
          <w:color w:val="auto"/>
          <w:kern w:val="0"/>
          <w:sz w:val="24"/>
          <w:szCs w:val="24"/>
          <w:shd w:val="clear" w:color="auto" w:fill="FFFFFF"/>
        </w:rPr>
        <w:t>1.03%。</w:t>
      </w:r>
    </w:p>
    <w:p>
      <w:pPr>
        <w:pStyle w:val="7"/>
        <w:keepNext w:val="0"/>
        <w:keepLines w:val="0"/>
        <w:widowControl/>
        <w:numPr>
          <w:ilvl w:val="0"/>
          <w:numId w:val="2"/>
        </w:numPr>
        <w:suppressLineNumbers w:val="0"/>
        <w:shd w:val="clear" w:fill="FFFFFF"/>
        <w:spacing w:before="15" w:beforeAutospacing="0" w:after="15" w:afterAutospacing="0" w:line="420" w:lineRule="atLeast"/>
        <w:ind w:left="-62" w:leftChars="0" w:firstLine="482" w:firstLineChars="0"/>
        <w:jc w:val="left"/>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关于湘潭县司法局2018年度一般公共预算财政拨款“三公”经费支出决算情况说明</w:t>
      </w:r>
    </w:p>
    <w:p>
      <w:pPr>
        <w:widowControl/>
        <w:spacing w:line="502" w:lineRule="atLeast"/>
        <w:ind w:firstLine="480" w:firstLineChars="200"/>
        <w:jc w:val="left"/>
        <w:rPr>
          <w:rFonts w:hint="eastAsia" w:ascii="宋体" w:hAnsi="宋体" w:eastAsia="宋体" w:cs="宋体"/>
          <w:kern w:val="0"/>
          <w:sz w:val="24"/>
          <w:szCs w:val="24"/>
          <w:shd w:val="clear" w:color="auto" w:fill="FFFFFF"/>
          <w:lang w:val="en-US" w:eastAsia="zh-CN"/>
        </w:rPr>
      </w:pPr>
      <w:r>
        <w:rPr>
          <w:rFonts w:hint="eastAsia" w:ascii="宋体" w:hAnsi="宋体" w:eastAsia="宋体" w:cs="宋体"/>
          <w:kern w:val="0"/>
          <w:sz w:val="24"/>
          <w:szCs w:val="24"/>
          <w:shd w:val="clear" w:color="auto" w:fill="FFFFFF"/>
          <w:lang w:val="en-US" w:eastAsia="zh-CN"/>
        </w:rPr>
        <w:t>（一）“三公”经费财政拨款支出决算总体情况说明。</w:t>
      </w:r>
    </w:p>
    <w:p>
      <w:pPr>
        <w:widowControl/>
        <w:spacing w:line="502" w:lineRule="atLeast"/>
        <w:ind w:firstLine="480" w:firstLineChars="200"/>
        <w:jc w:val="left"/>
        <w:rPr>
          <w:rFonts w:hint="eastAsia" w:ascii="宋体" w:hAnsi="宋体" w:eastAsia="宋体" w:cs="宋体"/>
          <w:kern w:val="0"/>
          <w:sz w:val="24"/>
          <w:szCs w:val="24"/>
          <w:shd w:val="clear" w:color="auto" w:fill="FFFFFF"/>
          <w:lang w:val="en-US" w:eastAsia="zh-CN"/>
        </w:rPr>
      </w:pPr>
      <w:r>
        <w:rPr>
          <w:rFonts w:hint="eastAsia" w:ascii="宋体" w:hAnsi="宋体" w:eastAsia="宋体" w:cs="宋体"/>
          <w:kern w:val="0"/>
          <w:sz w:val="24"/>
          <w:szCs w:val="24"/>
          <w:shd w:val="clear" w:color="auto" w:fill="FFFFFF"/>
          <w:lang w:val="en-US" w:eastAsia="zh-CN"/>
        </w:rPr>
        <w:t>“三公经费”年初预算数30万元，实际支出数23.73万元。低于控制数主要原因是我局进一步加强对公车使用的科学化管理，厉行节约；认真贯彻落实中央八项规定等要求，公务接待严格控制接待标准和陪同人数。</w:t>
      </w:r>
    </w:p>
    <w:p>
      <w:pPr>
        <w:widowControl/>
        <w:spacing w:line="502" w:lineRule="atLeast"/>
        <w:ind w:firstLine="480" w:firstLineChars="200"/>
        <w:jc w:val="left"/>
        <w:rPr>
          <w:rFonts w:hint="eastAsia" w:ascii="宋体" w:hAnsi="宋体" w:eastAsia="宋体" w:cs="宋体"/>
          <w:sz w:val="24"/>
          <w:szCs w:val="24"/>
          <w:shd w:val="clear" w:fill="FFFFFF"/>
          <w:lang w:val="en-US" w:eastAsia="zh-CN"/>
        </w:rPr>
      </w:pPr>
      <w:r>
        <w:rPr>
          <w:rFonts w:hint="eastAsia" w:ascii="宋体" w:hAnsi="宋体" w:eastAsia="宋体" w:cs="宋体"/>
          <w:kern w:val="0"/>
          <w:sz w:val="24"/>
          <w:szCs w:val="24"/>
          <w:shd w:val="clear" w:color="auto" w:fill="FFFFFF"/>
          <w:lang w:val="en-US" w:eastAsia="zh-CN"/>
        </w:rPr>
        <w:t xml:space="preserve"> 本部门2018年度“三公”经费支出决算总额23.73万元，年初预算数总额30万元，完成预算的79.10% ，其中因公出国（境）支出决算数0万元，年初预算数0万元；公务用车购置及运行经费支出决算数17.14万元，年初预算数18万元，完成预算的95.22%，主要原因是公务用车改革，控制了车辆的理；公务接待费支出决算数6.59万元，年初预算数22万元，完成预算的29.95%，主要原因：严格执行中央厉行节约规定，严控公务接待费用支出</w:t>
      </w:r>
      <w:r>
        <w:rPr>
          <w:rFonts w:hint="eastAsia" w:ascii="宋体" w:hAnsi="宋体" w:eastAsia="宋体" w:cs="宋体"/>
          <w:sz w:val="24"/>
          <w:szCs w:val="24"/>
          <w:shd w:val="clear" w:fill="FFFFFF"/>
          <w:lang w:val="en-US" w:eastAsia="zh-CN"/>
        </w:rPr>
        <w:t>。</w:t>
      </w:r>
    </w:p>
    <w:p>
      <w:pPr>
        <w:widowControl/>
        <w:spacing w:line="502" w:lineRule="atLeast"/>
        <w:ind w:firstLine="480" w:firstLineChars="200"/>
        <w:jc w:val="left"/>
        <w:rPr>
          <w:rFonts w:hint="eastAsia" w:ascii="宋体" w:hAnsi="宋体" w:eastAsia="宋体" w:cs="宋体"/>
          <w:kern w:val="0"/>
          <w:sz w:val="24"/>
          <w:szCs w:val="24"/>
          <w:shd w:val="clear" w:color="auto" w:fill="FFFFFF"/>
          <w:lang w:val="en-US" w:eastAsia="zh-CN"/>
        </w:rPr>
      </w:pPr>
      <w:r>
        <w:rPr>
          <w:rFonts w:hint="eastAsia" w:ascii="宋体" w:hAnsi="宋体" w:eastAsia="宋体" w:cs="宋体"/>
          <w:kern w:val="0"/>
          <w:sz w:val="24"/>
          <w:szCs w:val="24"/>
          <w:shd w:val="clear" w:color="auto" w:fill="FFFFFF"/>
          <w:lang w:val="en-US" w:eastAsia="zh-CN"/>
        </w:rPr>
        <w:t>本部门2018年度“三公”经费支出决算总额23.73万元，比上年决算数减少15.45万元。其中公用用车购置及运行经费支出17.14万元，比上年决算数减少0.42万元，主要原因是加强公务用车管理，严格遵照公务用车管理办法，坚持使用派车单；公务接待费6.59万元，比上年决算数减少15.03万元，主要原因是严格控制公务接待标准和次数。</w:t>
      </w:r>
    </w:p>
    <w:p>
      <w:pPr>
        <w:pStyle w:val="7"/>
        <w:keepNext w:val="0"/>
        <w:keepLines w:val="0"/>
        <w:widowControl/>
        <w:numPr>
          <w:ilvl w:val="0"/>
          <w:numId w:val="0"/>
        </w:numPr>
        <w:suppressLineNumbers w:val="0"/>
        <w:shd w:val="clear" w:fill="FFFFFF"/>
        <w:spacing w:before="15" w:beforeAutospacing="0" w:after="15" w:afterAutospacing="0" w:line="420" w:lineRule="atLeast"/>
        <w:ind w:left="420" w:leftChars="0"/>
        <w:jc w:val="left"/>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（二）“三公”经费财政拨款支出决算具体情况说明。</w:t>
      </w:r>
    </w:p>
    <w:p>
      <w:pPr>
        <w:pStyle w:val="7"/>
        <w:keepNext w:val="0"/>
        <w:keepLines w:val="0"/>
        <w:widowControl/>
        <w:numPr>
          <w:ilvl w:val="0"/>
          <w:numId w:val="0"/>
        </w:numPr>
        <w:suppressLineNumbers w:val="0"/>
        <w:shd w:val="clear" w:fill="FFFFFF"/>
        <w:spacing w:before="15" w:beforeAutospacing="0" w:after="15" w:afterAutospacing="0" w:line="420" w:lineRule="atLeast"/>
        <w:ind w:left="420" w:leftChars="0" w:firstLine="480" w:firstLineChars="200"/>
        <w:jc w:val="left"/>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公务接待费年初预算数12万元，实际发生50批次280人次的国内公务接待费6.59万元，无国（境）外公务接待费用，比2017年减少15.03万元，减少的原因是主要原因认真贯彻落实中央八项规定等要求，公务接待严格控制接待标准和陪同人数；公车运行维护费年初预算18万元，实际发生17.14万元，比去年减少0.4225万元，减少的主要原因是财政严格控制三公经费支出，提高资金使用效率，降低行政运行成本。</w:t>
      </w:r>
    </w:p>
    <w:p>
      <w:pPr>
        <w:pStyle w:val="7"/>
        <w:keepNext w:val="0"/>
        <w:keepLines w:val="0"/>
        <w:widowControl/>
        <w:numPr>
          <w:ilvl w:val="0"/>
          <w:numId w:val="0"/>
        </w:numPr>
        <w:suppressLineNumbers w:val="0"/>
        <w:shd w:val="clear" w:fill="FFFFFF"/>
        <w:spacing w:before="15" w:beforeAutospacing="0" w:after="15" w:afterAutospacing="0" w:line="420" w:lineRule="atLeast"/>
        <w:ind w:left="420" w:leftChars="0" w:firstLine="240" w:firstLineChars="100"/>
        <w:jc w:val="left"/>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本部门2018年度三公经费共支出23.73万元，其中因公出国（境）费支出决算为0万元，占0%；公务用车购置费及运行维护费支出决算17.14万元，占72.23%；公务接待费支出6.59万元，占27.77%。其中：</w:t>
      </w:r>
    </w:p>
    <w:p>
      <w:pPr>
        <w:pStyle w:val="7"/>
        <w:keepNext w:val="0"/>
        <w:keepLines w:val="0"/>
        <w:widowControl/>
        <w:numPr>
          <w:ilvl w:val="0"/>
          <w:numId w:val="0"/>
        </w:numPr>
        <w:suppressLineNumbers w:val="0"/>
        <w:shd w:val="clear" w:fill="FFFFFF"/>
        <w:spacing w:before="15" w:beforeAutospacing="0" w:after="15" w:afterAutospacing="0" w:line="420" w:lineRule="atLeast"/>
        <w:ind w:left="420" w:leftChars="0"/>
        <w:jc w:val="left"/>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1、因公出国（境）费支出决算为0万元，全年安排因公出国（境）团组0个，累计0人次。</w:t>
      </w:r>
    </w:p>
    <w:p>
      <w:pPr>
        <w:pStyle w:val="7"/>
        <w:keepNext w:val="0"/>
        <w:keepLines w:val="0"/>
        <w:widowControl/>
        <w:numPr>
          <w:ilvl w:val="0"/>
          <w:numId w:val="0"/>
        </w:numPr>
        <w:suppressLineNumbers w:val="0"/>
        <w:shd w:val="clear" w:fill="FFFFFF"/>
        <w:spacing w:before="15" w:beforeAutospacing="0" w:after="15" w:afterAutospacing="0" w:line="420" w:lineRule="atLeast"/>
        <w:ind w:left="420" w:leftChars="0"/>
        <w:jc w:val="left"/>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2、公务用车购置费及运行维护费支出决算为17.14万元，其中：公务用车购置费0万元，更新公务用车0辆。公务用车运行维护费17.14万元，主要是燃油费、保险费、维修费、过路费等支出，截至2018年12月31日，我单位开支财政拨款的公务用车保有量为3辆。</w:t>
      </w:r>
    </w:p>
    <w:p>
      <w:pPr>
        <w:pStyle w:val="7"/>
        <w:keepNext w:val="0"/>
        <w:keepLines w:val="0"/>
        <w:widowControl/>
        <w:numPr>
          <w:ilvl w:val="0"/>
          <w:numId w:val="0"/>
        </w:numPr>
        <w:suppressLineNumbers w:val="0"/>
        <w:shd w:val="clear" w:fill="FFFFFF"/>
        <w:spacing w:before="15" w:beforeAutospacing="0" w:after="15" w:afterAutospacing="0" w:line="420" w:lineRule="atLeast"/>
        <w:ind w:left="420" w:leftChars="0"/>
        <w:jc w:val="left"/>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3、公务接待费支出决算为6.59万元，全年共接待来访团组50个、来宾280人次，主要是司法业务工作而发生的接待支出。</w:t>
      </w:r>
    </w:p>
    <w:p>
      <w:pPr>
        <w:pStyle w:val="7"/>
        <w:keepNext w:val="0"/>
        <w:keepLines w:val="0"/>
        <w:widowControl/>
        <w:numPr>
          <w:ilvl w:val="0"/>
          <w:numId w:val="0"/>
        </w:numPr>
        <w:suppressLineNumbers w:val="0"/>
        <w:shd w:val="clear" w:fill="FFFFFF"/>
        <w:spacing w:before="15" w:beforeAutospacing="0" w:after="15" w:afterAutospacing="0" w:line="420" w:lineRule="atLeast"/>
        <w:ind w:left="420" w:leftChars="0"/>
        <w:jc w:val="left"/>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八、关于湘潭县司法局2018年度政府性基金预算收入支出决算情况。</w:t>
      </w:r>
    </w:p>
    <w:p>
      <w:pPr>
        <w:pStyle w:val="7"/>
        <w:keepNext w:val="0"/>
        <w:keepLines w:val="0"/>
        <w:widowControl/>
        <w:numPr>
          <w:ilvl w:val="0"/>
          <w:numId w:val="0"/>
        </w:numPr>
        <w:suppressLineNumbers w:val="0"/>
        <w:shd w:val="clear" w:fill="FFFFFF"/>
        <w:spacing w:before="15" w:beforeAutospacing="0" w:after="15" w:afterAutospacing="0" w:line="420" w:lineRule="atLeast"/>
        <w:ind w:left="420" w:leftChars="0"/>
        <w:jc w:val="left"/>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2018年度我局无政府性基金预算收入支出决算。</w:t>
      </w:r>
    </w:p>
    <w:p>
      <w:pPr>
        <w:pStyle w:val="7"/>
        <w:keepNext w:val="0"/>
        <w:keepLines w:val="0"/>
        <w:widowControl/>
        <w:numPr>
          <w:ilvl w:val="0"/>
          <w:numId w:val="0"/>
        </w:numPr>
        <w:suppressLineNumbers w:val="0"/>
        <w:shd w:val="clear" w:fill="FFFFFF"/>
        <w:spacing w:before="15" w:beforeAutospacing="0" w:after="15" w:afterAutospacing="0" w:line="420" w:lineRule="atLeast"/>
        <w:ind w:left="420" w:leftChars="0"/>
        <w:jc w:val="left"/>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九、其他重要事项</w:t>
      </w:r>
    </w:p>
    <w:p>
      <w:pPr>
        <w:pStyle w:val="7"/>
        <w:keepNext w:val="0"/>
        <w:keepLines w:val="0"/>
        <w:widowControl/>
        <w:suppressLineNumbers w:val="0"/>
        <w:spacing w:before="15" w:beforeAutospacing="0" w:after="15" w:afterAutospacing="0" w:line="420" w:lineRule="atLeast"/>
        <w:ind w:left="0" w:firstLine="420"/>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（一）机关运行经费支出情况。本单位机关运行经费</w:t>
      </w:r>
      <w:r>
        <w:rPr>
          <w:rFonts w:hint="eastAsia" w:ascii="宋体" w:hAnsi="宋体" w:eastAsia="宋体" w:cs="宋体"/>
          <w:sz w:val="24"/>
          <w:szCs w:val="24"/>
        </w:rPr>
        <w:t>201</w:t>
      </w:r>
      <w:r>
        <w:rPr>
          <w:rFonts w:hint="eastAsia" w:cs="宋体"/>
          <w:sz w:val="24"/>
          <w:szCs w:val="24"/>
          <w:lang w:val="en-US" w:eastAsia="zh-CN"/>
        </w:rPr>
        <w:t>8</w:t>
      </w:r>
      <w:r>
        <w:rPr>
          <w:rFonts w:hint="eastAsia" w:ascii="宋体" w:hAnsi="宋体" w:eastAsia="宋体" w:cs="宋体"/>
          <w:sz w:val="24"/>
          <w:szCs w:val="24"/>
        </w:rPr>
        <w:t>年度</w:t>
      </w:r>
      <w:r>
        <w:rPr>
          <w:rFonts w:hint="eastAsia" w:cs="宋体"/>
          <w:sz w:val="24"/>
          <w:szCs w:val="24"/>
          <w:lang w:eastAsia="zh-CN"/>
        </w:rPr>
        <w:t>为</w:t>
      </w:r>
      <w:r>
        <w:rPr>
          <w:rFonts w:hint="eastAsia" w:cs="宋体"/>
          <w:sz w:val="24"/>
          <w:szCs w:val="24"/>
          <w:shd w:val="clear" w:fill="FFFFFF"/>
          <w:lang w:val="en-US" w:eastAsia="zh-CN"/>
        </w:rPr>
        <w:t>458.76</w:t>
      </w:r>
      <w:r>
        <w:rPr>
          <w:rFonts w:hint="eastAsia" w:ascii="宋体" w:hAnsi="宋体" w:eastAsia="宋体" w:cs="宋体"/>
          <w:sz w:val="24"/>
          <w:szCs w:val="24"/>
          <w:shd w:val="clear" w:fill="FFFFFF"/>
          <w:lang w:val="en-US" w:eastAsia="zh-CN"/>
        </w:rPr>
        <w:t>万元</w:t>
      </w:r>
      <w:r>
        <w:rPr>
          <w:rFonts w:hint="eastAsia" w:cs="宋体"/>
          <w:sz w:val="24"/>
          <w:szCs w:val="24"/>
          <w:shd w:val="clear" w:fill="FFFFFF"/>
          <w:lang w:val="en-US" w:eastAsia="zh-CN"/>
        </w:rPr>
        <w:t>，在去年的基础上（</w:t>
      </w:r>
      <w:r>
        <w:rPr>
          <w:rFonts w:hint="eastAsia" w:ascii="宋体" w:hAnsi="宋体" w:eastAsia="宋体" w:cs="宋体"/>
          <w:sz w:val="24"/>
          <w:szCs w:val="24"/>
          <w:shd w:val="clear" w:fill="FFFFFF"/>
          <w:lang w:val="en-US" w:eastAsia="zh-CN"/>
        </w:rPr>
        <w:t>2017年</w:t>
      </w:r>
      <w:r>
        <w:rPr>
          <w:rFonts w:hint="eastAsia" w:cs="宋体"/>
          <w:sz w:val="24"/>
          <w:szCs w:val="24"/>
          <w:shd w:val="clear" w:fill="FFFFFF"/>
          <w:lang w:val="en-US" w:eastAsia="zh-CN"/>
        </w:rPr>
        <w:t>386.15万元）</w:t>
      </w:r>
      <w:r>
        <w:rPr>
          <w:rFonts w:hint="eastAsia" w:ascii="宋体" w:hAnsi="宋体" w:eastAsia="宋体" w:cs="宋体"/>
          <w:sz w:val="24"/>
          <w:szCs w:val="24"/>
          <w:shd w:val="clear" w:fill="FFFFFF"/>
          <w:lang w:val="en-US" w:eastAsia="zh-CN"/>
        </w:rPr>
        <w:t>增加</w:t>
      </w:r>
      <w:r>
        <w:rPr>
          <w:rFonts w:hint="eastAsia" w:cs="宋体"/>
          <w:sz w:val="24"/>
          <w:szCs w:val="24"/>
          <w:shd w:val="clear" w:fill="FFFFFF"/>
          <w:lang w:val="en-US" w:eastAsia="zh-CN"/>
        </w:rPr>
        <w:t>了72.61</w:t>
      </w:r>
      <w:r>
        <w:rPr>
          <w:rFonts w:hint="eastAsia" w:ascii="宋体" w:hAnsi="宋体" w:eastAsia="宋体" w:cs="宋体"/>
          <w:sz w:val="24"/>
          <w:szCs w:val="24"/>
          <w:shd w:val="clear" w:fill="FFFFFF"/>
          <w:lang w:val="en-US" w:eastAsia="zh-CN"/>
        </w:rPr>
        <w:t>万元，增幅</w:t>
      </w:r>
      <w:r>
        <w:rPr>
          <w:rFonts w:hint="eastAsia" w:cs="宋体"/>
          <w:sz w:val="24"/>
          <w:szCs w:val="24"/>
          <w:shd w:val="clear" w:fill="FFFFFF"/>
          <w:lang w:val="en-US" w:eastAsia="zh-CN"/>
        </w:rPr>
        <w:t>18.8</w:t>
      </w:r>
      <w:r>
        <w:rPr>
          <w:rFonts w:hint="eastAsia" w:ascii="宋体" w:hAnsi="宋体" w:eastAsia="宋体" w:cs="宋体"/>
          <w:sz w:val="24"/>
          <w:szCs w:val="24"/>
          <w:shd w:val="clear" w:fill="FFFFFF"/>
          <w:lang w:val="en-US" w:eastAsia="zh-CN"/>
        </w:rPr>
        <w:t>%。主要原因是：一是2017年因会计核算基数低；二是2018年工作任务同比更重。</w:t>
      </w:r>
    </w:p>
    <w:p>
      <w:pPr>
        <w:pStyle w:val="7"/>
        <w:keepNext w:val="0"/>
        <w:keepLines w:val="0"/>
        <w:widowControl/>
        <w:numPr>
          <w:ilvl w:val="0"/>
          <w:numId w:val="0"/>
        </w:numPr>
        <w:suppressLineNumbers w:val="0"/>
        <w:shd w:val="clear" w:fill="FFFFFF"/>
        <w:spacing w:before="15" w:beforeAutospacing="0" w:after="15" w:afterAutospacing="0" w:line="420" w:lineRule="atLeast"/>
        <w:ind w:left="420" w:leftChars="0"/>
        <w:jc w:val="left"/>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（二）政府采购支出情况。本部门2018 年度政府采购支出总额0万元，其中：政府采购货物支出0万元、政府采购服务支出0万元。授予中小企业合同金额0万元，授予小微企业合同金额0万元。</w:t>
      </w:r>
    </w:p>
    <w:p>
      <w:pPr>
        <w:pStyle w:val="7"/>
        <w:keepNext w:val="0"/>
        <w:keepLines w:val="0"/>
        <w:widowControl/>
        <w:numPr>
          <w:ilvl w:val="0"/>
          <w:numId w:val="0"/>
        </w:numPr>
        <w:suppressLineNumbers w:val="0"/>
        <w:shd w:val="clear" w:fill="FFFFFF"/>
        <w:spacing w:before="15" w:beforeAutospacing="0" w:after="15" w:afterAutospacing="0" w:line="420" w:lineRule="atLeast"/>
        <w:ind w:left="420" w:leftChars="0"/>
        <w:jc w:val="left"/>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（三）国有资产占用情况。截至2018年12 月31 日，本部门共有车辆3 辆，其中一般执法执勤用车3 辆。单位价值50 万元以上通用设备无，单价100 万元以上专用设备无。</w:t>
      </w:r>
    </w:p>
    <w:p>
      <w:pPr>
        <w:pStyle w:val="7"/>
        <w:keepNext w:val="0"/>
        <w:keepLines w:val="0"/>
        <w:widowControl/>
        <w:numPr>
          <w:ilvl w:val="0"/>
          <w:numId w:val="0"/>
        </w:numPr>
        <w:suppressLineNumbers w:val="0"/>
        <w:shd w:val="clear" w:fill="FFFFFF"/>
        <w:spacing w:before="15" w:beforeAutospacing="0" w:after="15" w:afterAutospacing="0" w:line="420" w:lineRule="atLeast"/>
        <w:ind w:left="420" w:leftChars="0" w:firstLine="240" w:firstLineChars="100"/>
        <w:jc w:val="left"/>
        <w:rPr>
          <w:rFonts w:hint="eastAsia" w:cs="宋体"/>
          <w:sz w:val="24"/>
          <w:szCs w:val="24"/>
          <w:shd w:val="clear" w:fill="FFFFFF"/>
          <w:lang w:eastAsia="zh-CN"/>
        </w:rPr>
      </w:pPr>
      <w:r>
        <w:rPr>
          <w:rFonts w:hint="eastAsia" w:cs="宋体"/>
          <w:sz w:val="24"/>
          <w:szCs w:val="24"/>
          <w:shd w:val="clear" w:fill="FFFFFF"/>
          <w:lang w:val="en-US" w:eastAsia="zh-CN"/>
        </w:rPr>
        <w:t>(四)</w:t>
      </w:r>
      <w:r>
        <w:rPr>
          <w:rFonts w:hint="eastAsia" w:cs="宋体"/>
          <w:sz w:val="24"/>
          <w:szCs w:val="24"/>
          <w:shd w:val="clear" w:fill="FFFFFF"/>
          <w:lang w:eastAsia="zh-CN"/>
        </w:rPr>
        <w:t>预算绩效说明。</w:t>
      </w:r>
      <w:r>
        <w:rPr>
          <w:rFonts w:hint="eastAsia" w:ascii="宋体" w:hAnsi="宋体" w:eastAsia="宋体" w:cs="宋体"/>
          <w:sz w:val="24"/>
          <w:szCs w:val="24"/>
          <w:shd w:val="clear" w:fill="FFFFFF"/>
        </w:rPr>
        <w:t>根据《</w:t>
      </w:r>
      <w:r>
        <w:rPr>
          <w:rFonts w:hint="eastAsia" w:cs="宋体"/>
          <w:sz w:val="24"/>
          <w:szCs w:val="24"/>
          <w:shd w:val="clear" w:fill="FFFFFF"/>
          <w:lang w:eastAsia="zh-CN"/>
        </w:rPr>
        <w:t>湘潭县</w:t>
      </w:r>
      <w:r>
        <w:rPr>
          <w:rFonts w:hint="eastAsia" w:ascii="宋体" w:hAnsi="宋体" w:eastAsia="宋体" w:cs="宋体"/>
          <w:sz w:val="24"/>
          <w:szCs w:val="24"/>
          <w:shd w:val="clear" w:fill="FFFFFF"/>
        </w:rPr>
        <w:t>财政局关于开展</w:t>
      </w:r>
      <w:r>
        <w:rPr>
          <w:rFonts w:hint="eastAsia" w:cs="宋体"/>
          <w:sz w:val="24"/>
          <w:szCs w:val="24"/>
          <w:shd w:val="clear" w:fill="FFFFFF"/>
          <w:lang w:val="en-US" w:eastAsia="zh-CN"/>
        </w:rPr>
        <w:t>2019</w:t>
      </w:r>
      <w:r>
        <w:rPr>
          <w:rFonts w:hint="eastAsia" w:ascii="宋体" w:hAnsi="宋体" w:eastAsia="宋体" w:cs="宋体"/>
          <w:sz w:val="24"/>
          <w:szCs w:val="24"/>
          <w:shd w:val="clear" w:fill="FFFFFF"/>
        </w:rPr>
        <w:t>年单位绩效自评工作</w:t>
      </w:r>
      <w:r>
        <w:rPr>
          <w:rFonts w:hint="eastAsia" w:cs="宋体"/>
          <w:sz w:val="24"/>
          <w:szCs w:val="24"/>
          <w:shd w:val="clear" w:fill="FFFFFF"/>
          <w:lang w:eastAsia="zh-CN"/>
        </w:rPr>
        <w:t>的</w:t>
      </w:r>
      <w:r>
        <w:rPr>
          <w:rFonts w:hint="eastAsia" w:ascii="宋体" w:hAnsi="宋体" w:eastAsia="宋体" w:cs="宋体"/>
          <w:sz w:val="24"/>
          <w:szCs w:val="24"/>
          <w:shd w:val="clear" w:fill="FFFFFF"/>
        </w:rPr>
        <w:t>通知》，我单位组织对201</w:t>
      </w:r>
      <w:r>
        <w:rPr>
          <w:rFonts w:hint="eastAsia" w:cs="宋体"/>
          <w:sz w:val="24"/>
          <w:szCs w:val="24"/>
          <w:shd w:val="clear" w:fill="FFFFFF"/>
          <w:lang w:val="en-US" w:eastAsia="zh-CN"/>
        </w:rPr>
        <w:t>8</w:t>
      </w:r>
      <w:r>
        <w:rPr>
          <w:rFonts w:hint="eastAsia" w:ascii="宋体" w:hAnsi="宋体" w:eastAsia="宋体" w:cs="宋体"/>
          <w:sz w:val="24"/>
          <w:szCs w:val="24"/>
          <w:shd w:val="clear" w:fill="FFFFFF"/>
        </w:rPr>
        <w:t>年度部门整体支出实施了全覆盖性的绩效评价，撰写了整体绩效评价报告，涉及一般公共预算当年财政拨款支出</w:t>
      </w:r>
      <w:r>
        <w:rPr>
          <w:rFonts w:hint="eastAsia" w:cs="宋体"/>
          <w:sz w:val="24"/>
          <w:szCs w:val="24"/>
          <w:shd w:val="clear" w:fill="FFFFFF"/>
          <w:lang w:val="en-US" w:eastAsia="zh-CN"/>
        </w:rPr>
        <w:t>1723.13</w:t>
      </w:r>
      <w:r>
        <w:rPr>
          <w:rFonts w:hint="eastAsia" w:ascii="宋体" w:hAnsi="宋体" w:eastAsia="宋体" w:cs="宋体"/>
          <w:sz w:val="24"/>
          <w:szCs w:val="24"/>
          <w:shd w:val="clear" w:fill="FFFFFF"/>
        </w:rPr>
        <w:t>万元，自评覆盖率达到100%，绩效自评结果显示，</w:t>
      </w:r>
      <w:r>
        <w:rPr>
          <w:rFonts w:hint="eastAsia" w:cs="宋体"/>
          <w:sz w:val="24"/>
          <w:szCs w:val="24"/>
          <w:shd w:val="clear" w:fill="FFFFFF"/>
          <w:lang w:eastAsia="zh-CN"/>
        </w:rPr>
        <w:t>我局部门整体</w:t>
      </w:r>
      <w:r>
        <w:rPr>
          <w:rFonts w:hint="eastAsia" w:ascii="宋体" w:hAnsi="宋体" w:eastAsia="宋体" w:cs="宋体"/>
          <w:sz w:val="24"/>
          <w:szCs w:val="24"/>
          <w:shd w:val="clear" w:fill="FFFFFF"/>
        </w:rPr>
        <w:t>绩效情况较为理想，达到了</w:t>
      </w:r>
      <w:r>
        <w:rPr>
          <w:rFonts w:hint="eastAsia" w:cs="宋体"/>
          <w:sz w:val="24"/>
          <w:szCs w:val="24"/>
          <w:shd w:val="clear" w:fill="FFFFFF"/>
          <w:lang w:eastAsia="zh-CN"/>
        </w:rPr>
        <w:t>部门整体</w:t>
      </w:r>
      <w:r>
        <w:rPr>
          <w:rFonts w:hint="eastAsia" w:ascii="宋体" w:hAnsi="宋体" w:eastAsia="宋体" w:cs="宋体"/>
          <w:sz w:val="24"/>
          <w:szCs w:val="24"/>
          <w:shd w:val="clear" w:fill="FFFFFF"/>
        </w:rPr>
        <w:t>申请时设定的各项绩效目标。</w:t>
      </w:r>
      <w:r>
        <w:rPr>
          <w:rFonts w:hint="eastAsia" w:cs="宋体"/>
          <w:sz w:val="24"/>
          <w:szCs w:val="24"/>
          <w:shd w:val="clear" w:fill="FFFFFF"/>
          <w:lang w:eastAsia="zh-CN"/>
        </w:rPr>
        <w:t>由于我局项目性支出均为业务性专项，故无重点项目需要进行绩效评价。</w:t>
      </w:r>
    </w:p>
    <w:p>
      <w:pPr>
        <w:pStyle w:val="7"/>
        <w:keepNext w:val="0"/>
        <w:keepLines w:val="0"/>
        <w:widowControl/>
        <w:numPr>
          <w:ilvl w:val="0"/>
          <w:numId w:val="0"/>
        </w:numPr>
        <w:suppressLineNumbers w:val="0"/>
        <w:shd w:val="clear" w:fill="FFFFFF"/>
        <w:spacing w:before="15" w:beforeAutospacing="0" w:after="15" w:afterAutospacing="0" w:line="420" w:lineRule="atLeast"/>
        <w:ind w:left="420" w:leftChars="0"/>
        <w:jc w:val="left"/>
        <w:rPr>
          <w:rFonts w:hint="default" w:cs="宋体"/>
          <w:sz w:val="24"/>
          <w:szCs w:val="24"/>
          <w:shd w:val="clear" w:fill="FFFFFF"/>
          <w:lang w:val="en-US" w:eastAsia="zh-CN"/>
        </w:rPr>
      </w:pPr>
      <w:r>
        <w:rPr>
          <w:rFonts w:hint="eastAsia" w:cs="宋体"/>
          <w:sz w:val="24"/>
          <w:szCs w:val="24"/>
          <w:shd w:val="clear" w:fill="FFFFFF"/>
          <w:lang w:val="en-US" w:eastAsia="zh-CN"/>
        </w:rPr>
        <w:t xml:space="preserve"> </w:t>
      </w:r>
    </w:p>
    <w:p>
      <w:pPr>
        <w:numPr>
          <w:ilvl w:val="0"/>
          <w:numId w:val="3"/>
        </w:numPr>
        <w:spacing w:line="520" w:lineRule="exact"/>
        <w:ind w:firstLine="600" w:firstLineChars="200"/>
        <w:rPr>
          <w:rFonts w:hint="eastAsia" w:ascii="宋体" w:hAnsi="宋体" w:eastAsia="宋体" w:cs="宋体"/>
          <w:kern w:val="0"/>
          <w:sz w:val="32"/>
          <w:szCs w:val="32"/>
          <w:shd w:val="clear" w:fill="FFFFFF"/>
          <w:lang w:val="en-US" w:eastAsia="zh-CN" w:bidi="ar-SA"/>
        </w:rPr>
      </w:pPr>
      <w:r>
        <w:rPr>
          <w:rFonts w:hint="eastAsia" w:ascii="宋体" w:hAnsi="宋体" w:eastAsia="宋体" w:cs="宋体"/>
          <w:kern w:val="0"/>
          <w:sz w:val="30"/>
          <w:szCs w:val="30"/>
          <w:shd w:val="clear" w:fill="FFFFFF"/>
          <w:lang w:val="en-US" w:eastAsia="zh-CN" w:bidi="ar-SA"/>
        </w:rPr>
        <w:t>湘潭县司法局2018年部门整体支出绩效评价报告</w:t>
      </w:r>
    </w:p>
    <w:p>
      <w:pPr>
        <w:spacing w:line="520" w:lineRule="exact"/>
        <w:rPr>
          <w:rFonts w:ascii="宋体" w:hAnsi="宋体" w:cs="方正小标宋_GBK"/>
          <w:b/>
          <w:bCs/>
          <w:sz w:val="36"/>
          <w:szCs w:val="36"/>
        </w:rPr>
      </w:pPr>
    </w:p>
    <w:tbl>
      <w:tblPr>
        <w:tblStyle w:val="9"/>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tcBorders>
              <w:top w:val="single" w:color="auto" w:sz="4" w:space="0"/>
              <w:left w:val="single" w:color="auto" w:sz="4" w:space="0"/>
              <w:bottom w:val="single" w:color="auto" w:sz="4" w:space="0"/>
              <w:right w:val="single" w:color="auto" w:sz="4" w:space="0"/>
            </w:tcBorders>
            <w:vAlign w:val="center"/>
          </w:tcPr>
          <w:p>
            <w:pPr>
              <w:ind w:firstLine="360" w:firstLineChars="150"/>
              <w:jc w:val="center"/>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部门概况</w:t>
            </w:r>
          </w:p>
        </w:tc>
        <w:tc>
          <w:tcPr>
            <w:tcW w:w="1985" w:type="dxa"/>
            <w:tcBorders>
              <w:top w:val="single" w:color="auto" w:sz="4" w:space="0"/>
              <w:left w:val="nil"/>
              <w:bottom w:val="single" w:color="auto" w:sz="4" w:space="0"/>
              <w:right w:val="single" w:color="auto" w:sz="4" w:space="0"/>
            </w:tcBorders>
            <w:vAlign w:val="center"/>
          </w:tcPr>
          <w:p>
            <w:pPr>
              <w:ind w:firstLine="360" w:firstLineChars="150"/>
              <w:jc w:val="center"/>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单位名称</w:t>
            </w:r>
          </w:p>
        </w:tc>
        <w:tc>
          <w:tcPr>
            <w:tcW w:w="5670" w:type="dxa"/>
            <w:tcBorders>
              <w:top w:val="single" w:color="auto" w:sz="4" w:space="0"/>
              <w:left w:val="nil"/>
              <w:bottom w:val="single" w:color="auto" w:sz="4" w:space="0"/>
              <w:right w:val="single" w:color="auto" w:sz="4" w:space="0"/>
            </w:tcBorders>
            <w:vAlign w:val="center"/>
          </w:tcPr>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湘潭县司法局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Borders>
              <w:top w:val="single" w:color="auto" w:sz="4" w:space="0"/>
              <w:left w:val="single" w:color="auto" w:sz="4" w:space="0"/>
              <w:bottom w:val="single" w:color="auto" w:sz="4" w:space="0"/>
              <w:right w:val="single" w:color="auto" w:sz="4" w:space="0"/>
            </w:tcBorders>
            <w:vAlign w:val="center"/>
          </w:tcPr>
          <w:p>
            <w:pPr>
              <w:ind w:firstLine="360" w:firstLineChars="150"/>
              <w:jc w:val="center"/>
              <w:rPr>
                <w:rFonts w:ascii="宋体" w:hAnsi="宋体" w:eastAsia="宋体" w:cs="宋体"/>
                <w:kern w:val="0"/>
                <w:sz w:val="24"/>
                <w:szCs w:val="24"/>
                <w:shd w:val="clear" w:color="auto" w:fill="FFFFFF"/>
              </w:rPr>
            </w:pPr>
          </w:p>
        </w:tc>
        <w:tc>
          <w:tcPr>
            <w:tcW w:w="1985" w:type="dxa"/>
            <w:tcBorders>
              <w:top w:val="single" w:color="auto" w:sz="4" w:space="0"/>
              <w:left w:val="nil"/>
              <w:bottom w:val="single" w:color="auto" w:sz="4" w:space="0"/>
              <w:right w:val="single" w:color="auto" w:sz="4" w:space="0"/>
            </w:tcBorders>
            <w:vAlign w:val="center"/>
          </w:tcPr>
          <w:p>
            <w:pPr>
              <w:ind w:firstLine="360" w:firstLineChars="150"/>
              <w:jc w:val="center"/>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年度预算金额</w:t>
            </w:r>
          </w:p>
        </w:tc>
        <w:tc>
          <w:tcPr>
            <w:tcW w:w="5670" w:type="dxa"/>
            <w:tcBorders>
              <w:top w:val="single" w:color="auto" w:sz="4" w:space="0"/>
              <w:left w:val="nil"/>
              <w:bottom w:val="single" w:color="auto" w:sz="4" w:space="0"/>
              <w:right w:val="single" w:color="auto" w:sz="4" w:space="0"/>
            </w:tcBorders>
            <w:vAlign w:val="center"/>
          </w:tcPr>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1531.54万元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Borders>
              <w:top w:val="single" w:color="auto" w:sz="4" w:space="0"/>
              <w:left w:val="single" w:color="auto" w:sz="4" w:space="0"/>
              <w:bottom w:val="single" w:color="auto" w:sz="4" w:space="0"/>
              <w:right w:val="single" w:color="auto" w:sz="4" w:space="0"/>
            </w:tcBorders>
            <w:vAlign w:val="center"/>
          </w:tcPr>
          <w:p>
            <w:pPr>
              <w:ind w:firstLine="360" w:firstLineChars="150"/>
              <w:jc w:val="center"/>
              <w:rPr>
                <w:rFonts w:ascii="宋体" w:hAnsi="宋体" w:eastAsia="宋体" w:cs="宋体"/>
                <w:kern w:val="0"/>
                <w:sz w:val="24"/>
                <w:szCs w:val="24"/>
                <w:shd w:val="clear" w:color="auto" w:fill="FFFFFF"/>
              </w:rPr>
            </w:pPr>
          </w:p>
        </w:tc>
        <w:tc>
          <w:tcPr>
            <w:tcW w:w="1985" w:type="dxa"/>
            <w:tcBorders>
              <w:top w:val="single" w:color="auto" w:sz="4" w:space="0"/>
              <w:left w:val="nil"/>
              <w:bottom w:val="single" w:color="auto" w:sz="4" w:space="0"/>
              <w:right w:val="single" w:color="auto" w:sz="4" w:space="0"/>
            </w:tcBorders>
            <w:vAlign w:val="center"/>
          </w:tcPr>
          <w:p>
            <w:pPr>
              <w:ind w:firstLine="360" w:firstLineChars="150"/>
              <w:jc w:val="center"/>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主管部门</w:t>
            </w:r>
          </w:p>
        </w:tc>
        <w:tc>
          <w:tcPr>
            <w:tcW w:w="5670" w:type="dxa"/>
            <w:tcBorders>
              <w:top w:val="single" w:color="auto" w:sz="4" w:space="0"/>
              <w:left w:val="nil"/>
              <w:bottom w:val="single" w:color="auto" w:sz="4" w:space="0"/>
              <w:right w:val="single" w:color="auto" w:sz="4" w:space="0"/>
            </w:tcBorders>
            <w:vAlign w:val="center"/>
          </w:tcPr>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Borders>
              <w:top w:val="single" w:color="auto" w:sz="4" w:space="0"/>
              <w:left w:val="single" w:color="auto" w:sz="4" w:space="0"/>
              <w:bottom w:val="single" w:color="auto" w:sz="4" w:space="0"/>
              <w:right w:val="single" w:color="auto" w:sz="4" w:space="0"/>
            </w:tcBorders>
            <w:vAlign w:val="center"/>
          </w:tcPr>
          <w:p>
            <w:pPr>
              <w:ind w:firstLine="360" w:firstLineChars="150"/>
              <w:jc w:val="center"/>
              <w:rPr>
                <w:rFonts w:ascii="宋体" w:hAnsi="宋体" w:eastAsia="宋体" w:cs="宋体"/>
                <w:kern w:val="0"/>
                <w:sz w:val="24"/>
                <w:szCs w:val="24"/>
                <w:shd w:val="clear" w:color="auto" w:fill="FFFFFF"/>
              </w:rPr>
            </w:pPr>
          </w:p>
        </w:tc>
        <w:tc>
          <w:tcPr>
            <w:tcW w:w="1985" w:type="dxa"/>
            <w:tcBorders>
              <w:top w:val="single" w:color="auto" w:sz="4" w:space="0"/>
              <w:left w:val="nil"/>
              <w:bottom w:val="single" w:color="auto" w:sz="4" w:space="0"/>
              <w:right w:val="single" w:color="auto" w:sz="4" w:space="0"/>
            </w:tcBorders>
            <w:vAlign w:val="center"/>
          </w:tcPr>
          <w:p>
            <w:pPr>
              <w:ind w:firstLine="360" w:firstLineChars="150"/>
              <w:jc w:val="center"/>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单位基本职能</w:t>
            </w:r>
          </w:p>
        </w:tc>
        <w:tc>
          <w:tcPr>
            <w:tcW w:w="5670" w:type="dxa"/>
            <w:tcBorders>
              <w:top w:val="single" w:color="auto" w:sz="4" w:space="0"/>
              <w:left w:val="nil"/>
              <w:bottom w:val="single" w:color="auto" w:sz="4" w:space="0"/>
              <w:right w:val="single" w:color="auto" w:sz="4" w:space="0"/>
            </w:tcBorders>
            <w:vAlign w:val="center"/>
          </w:tcPr>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1.贯彻执行国家、省、市有关司法行政的方针、政策和法律法规；拟定全县司法行政工作中、长期发展规划和年度计划，经批准后组织实施。</w:t>
            </w: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2.会同有关部门监督、检查有关司法行政方面的法律、法规和规章执行情况。</w:t>
            </w: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3.拟订全县法制宣传教育和依法治县规划，经批准后组织实施。</w:t>
            </w: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4.指导全县人民调解工作、司法所建设工作；指导、监督管理基层司法所、司法助理员和基层法律服务工作；参与社会治安综合管理。</w:t>
            </w: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5.指导管理全县社区矫正工作；指导全县刑满释放人员的安置帮教工作。</w:t>
            </w: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6.负责指导监督全县律师工作和公证工作；负责管理公证机构。</w:t>
            </w: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7.监督管理全县法律援助工作；承办法律援助案件；指导全县公共法律服务工作。</w:t>
            </w: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8.指导全县司法行政系统队伍和律师队伍建设、党组织建设和思想政治工作；管理司法行政系统的教育培训、考核奖励工作。</w:t>
            </w: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9.负责面向社会服务的司法鉴定机构初审和面向社会服务的司法鉴定人执业初审工作。</w:t>
            </w: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10、承办县人民政府交办的其他事项。</w:t>
            </w:r>
          </w:p>
          <w:p>
            <w:pPr>
              <w:ind w:firstLine="360" w:firstLineChars="150"/>
              <w:rPr>
                <w:rFonts w:ascii="宋体" w:hAnsi="宋体" w:eastAsia="宋体" w:cs="宋体"/>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384" w:type="dxa"/>
            <w:vMerge w:val="restart"/>
            <w:tcBorders>
              <w:top w:val="nil"/>
              <w:left w:val="single" w:color="auto" w:sz="4" w:space="0"/>
              <w:bottom w:val="single" w:color="auto" w:sz="4" w:space="0"/>
              <w:right w:val="single" w:color="auto" w:sz="4" w:space="0"/>
            </w:tcBorders>
            <w:vAlign w:val="center"/>
          </w:tcPr>
          <w:p>
            <w:pPr>
              <w:ind w:firstLine="360" w:firstLineChars="150"/>
              <w:jc w:val="center"/>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绩效完成情况</w:t>
            </w:r>
          </w:p>
        </w:tc>
        <w:tc>
          <w:tcPr>
            <w:tcW w:w="1985" w:type="dxa"/>
            <w:tcBorders>
              <w:top w:val="single" w:color="auto" w:sz="4" w:space="0"/>
              <w:left w:val="nil"/>
              <w:bottom w:val="single" w:color="auto" w:sz="4" w:space="0"/>
              <w:right w:val="single" w:color="auto" w:sz="4" w:space="0"/>
            </w:tcBorders>
            <w:vAlign w:val="center"/>
          </w:tcPr>
          <w:p>
            <w:pPr>
              <w:ind w:firstLine="360" w:firstLineChars="150"/>
              <w:jc w:val="center"/>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部门整体支出管理和使用基本情况</w:t>
            </w:r>
          </w:p>
        </w:tc>
        <w:tc>
          <w:tcPr>
            <w:tcW w:w="5670" w:type="dxa"/>
            <w:tcBorders>
              <w:top w:val="single" w:color="auto" w:sz="4" w:space="0"/>
              <w:left w:val="nil"/>
              <w:bottom w:val="single" w:color="auto" w:sz="4" w:space="0"/>
              <w:right w:val="single" w:color="auto" w:sz="4" w:space="0"/>
            </w:tcBorders>
            <w:vAlign w:val="center"/>
          </w:tcPr>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一、预算情况</w:t>
            </w: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单位总人数为102人，其中在职人员79人，退休人员19人，遗属4人。部门收入预算为 1531.5430万元，其中：公共财政预算拨款为1455.5430万元，上级补助收入76.00万元。；部门支出预算为1531.54万元，其中：基本支出1095.5430万元（人员支出890.3475万元，公用支出202.8299万元；对个人和家庭的补助支出22.3656万元）；项目支出436.0000万元。</w:t>
            </w: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二、经费执行情况</w:t>
            </w: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1.全年经费收支情况。年度收入总计1723.13万元，包括：财政拨款收入1723.13万元，其中：一般公共预算财政拨款收入1723.13万元，政府性基金收入0万元；上年结转和结余16.89万元。年度支出总计1711.82万元，包括：基本支出1275.82万元（工资福利支出1001.37万元；商品和服务支出202.8299万元，对个人和家庭的补助支出71.62万元），项目支出436万元。年末资金结转结余28.20万元。</w:t>
            </w:r>
          </w:p>
          <w:p>
            <w:pPr>
              <w:ind w:firstLine="360" w:firstLineChars="150"/>
              <w:rPr>
                <w:rFonts w:hint="eastAsia" w:ascii="宋体" w:hAnsi="宋体" w:eastAsia="宋体" w:cs="宋体"/>
                <w:kern w:val="0"/>
                <w:sz w:val="24"/>
                <w:szCs w:val="24"/>
                <w:shd w:val="clear" w:color="auto" w:fill="FFFFFF"/>
                <w:lang w:eastAsia="zh-CN"/>
              </w:rPr>
            </w:pPr>
            <w:r>
              <w:rPr>
                <w:rFonts w:hint="eastAsia" w:ascii="宋体" w:hAnsi="宋体" w:eastAsia="宋体" w:cs="宋体"/>
                <w:kern w:val="0"/>
                <w:sz w:val="24"/>
                <w:szCs w:val="24"/>
                <w:shd w:val="clear" w:color="auto" w:fill="FFFFFF"/>
              </w:rPr>
              <w:t>2.“三公”经费使用情况：三公经费”年初预算数30万元，实际支出数23.73万元。公务接待费年初预算数12万元，实际发生50批次280人次的国内公务接待费6.59万元，无国（境）外公务接待费用，比2017年减少15.03万元；公车运行维护费年初预算18万元，实际发生17.14万元，比去年减少0.4225万元。</w:t>
            </w:r>
          </w:p>
          <w:p>
            <w:pPr>
              <w:ind w:firstLine="360" w:firstLineChars="150"/>
              <w:rPr>
                <w:rFonts w:hint="eastAsia" w:ascii="宋体" w:hAnsi="宋体" w:eastAsia="宋体" w:cs="宋体"/>
                <w:kern w:val="0"/>
                <w:sz w:val="24"/>
                <w:szCs w:val="24"/>
                <w:shd w:val="clear" w:color="auto" w:fill="FFFFFF"/>
                <w:lang w:eastAsia="zh-CN"/>
              </w:rPr>
            </w:pPr>
          </w:p>
          <w:p>
            <w:pPr>
              <w:ind w:firstLine="360" w:firstLineChars="150"/>
              <w:rPr>
                <w:rFonts w:ascii="宋体" w:hAnsi="宋体" w:eastAsia="宋体" w:cs="宋体"/>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Borders>
              <w:top w:val="nil"/>
              <w:left w:val="single" w:color="auto" w:sz="4" w:space="0"/>
              <w:bottom w:val="single" w:color="auto" w:sz="4" w:space="0"/>
              <w:right w:val="single" w:color="auto" w:sz="4" w:space="0"/>
            </w:tcBorders>
            <w:vAlign w:val="center"/>
          </w:tcPr>
          <w:p>
            <w:pPr>
              <w:ind w:firstLine="360" w:firstLineChars="150"/>
              <w:jc w:val="center"/>
              <w:rPr>
                <w:rFonts w:ascii="宋体" w:hAnsi="宋体" w:eastAsia="宋体" w:cs="宋体"/>
                <w:kern w:val="0"/>
                <w:sz w:val="24"/>
                <w:szCs w:val="24"/>
                <w:shd w:val="clear" w:color="auto" w:fill="FFFFFF"/>
              </w:rPr>
            </w:pPr>
          </w:p>
        </w:tc>
        <w:tc>
          <w:tcPr>
            <w:tcW w:w="1985" w:type="dxa"/>
            <w:tcBorders>
              <w:top w:val="single" w:color="auto" w:sz="4" w:space="0"/>
              <w:left w:val="nil"/>
              <w:bottom w:val="single" w:color="auto" w:sz="4" w:space="0"/>
              <w:right w:val="single" w:color="auto" w:sz="4" w:space="0"/>
            </w:tcBorders>
            <w:vAlign w:val="center"/>
          </w:tcPr>
          <w:p>
            <w:pPr>
              <w:ind w:firstLine="360" w:firstLineChars="150"/>
              <w:jc w:val="center"/>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绩效目标完成情况</w:t>
            </w:r>
          </w:p>
        </w:tc>
        <w:tc>
          <w:tcPr>
            <w:tcW w:w="5670" w:type="dxa"/>
            <w:tcBorders>
              <w:top w:val="single" w:color="auto" w:sz="4" w:space="0"/>
              <w:left w:val="nil"/>
              <w:bottom w:val="single" w:color="auto" w:sz="4" w:space="0"/>
              <w:right w:val="single" w:color="auto" w:sz="4" w:space="0"/>
            </w:tcBorders>
            <w:vAlign w:val="center"/>
          </w:tcPr>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全县司法行政系统在县委、县政府的正确领导下，深入贯彻落实</w:t>
            </w:r>
            <w:bookmarkStart w:id="0" w:name="_GoBack"/>
            <w:bookmarkEnd w:id="0"/>
            <w:r>
              <w:rPr>
                <w:rFonts w:hint="eastAsia" w:ascii="宋体" w:hAnsi="宋体" w:eastAsia="宋体" w:cs="宋体"/>
                <w:kern w:val="0"/>
                <w:sz w:val="24"/>
                <w:szCs w:val="24"/>
                <w:shd w:val="clear" w:color="auto" w:fill="FFFFFF"/>
              </w:rPr>
              <w:t>党的十九大精神和习近平新时代中国特色社会主义思想，紧紧围绕县委、县政府“挺进全国百强县，创建全国文明城市”的战略目标，以推进全县法治建设进程为主线，以维护社会大局稳定为目标，全面开展司法行政各项业务工作，为县域经济的健康快速发展营造了一个良好的法治环境。2018年，湘潭县被评为“全国法治先进县”，湘潭县司法局被中政委等9部委评为“全国创建‘平安医院’先进单位”，全省社区矫正信息化建设现场会和全市婚姻家庭纠纷调解工作推进会陆续在我县召开。国家司法部副部长刘志强，省司法厅党组副书记、副厅长黄春阳，副厅长傅莉娟、唐世月，市委常委、市政法委书记戴德清等上级领导也先后来我县视察指导司法行政工作，均给予高度评价。</w:t>
            </w: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法治莲乡建设创出佳绩</w:t>
            </w: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 xml:space="preserve">    2018年，我们以宪法修正案、中国特色社会主义法律体系和党内法规作为法治宣传教育工作的重要内容，围绕服务“三大攻坚战”、“乡村振兴”、“扫黑除恶”等党委政府中心工作，积极开展了一系列主题法治宣传教育活动，成效明显。实施“互联网+法治宣传”工程，打造以报刊、电视、网络、微信等为载体的全媒体法治宣传平台，我局主办的《法治天地》《法在身边》《掌上学法》《以案说法》等栏目，受到了人民群众的普遍喜爱和欢迎。全面落实“谁执法谁普法”责任制，大力开展“民主法治示范村”、“依法办事示范窗口”等法治创建活动，坚持普治并举，不断提升全社会的法治化水平。同时，我县还涌现出“新时代最美法律服务人”冯华宇、“全省最美法律援助人”谢英姿等一批法治人物。7月8日，《湘潭日报》以头版头条对我县法治建设工作经验进行了专题报道，全市“七五”普法中期督查组对我县推进法治建设过程中取得的成绩也表示充分肯定。</w:t>
            </w: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矛盾纠纷排调富有特色</w:t>
            </w: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lang w:val="zh-TW"/>
              </w:rPr>
              <w:t>一方面，</w:t>
            </w:r>
            <w:r>
              <w:rPr>
                <w:rFonts w:hint="eastAsia" w:ascii="宋体" w:hAnsi="宋体" w:eastAsia="宋体" w:cs="宋体"/>
                <w:kern w:val="0"/>
                <w:sz w:val="24"/>
                <w:szCs w:val="24"/>
                <w:shd w:val="clear" w:color="auto" w:fill="FFFFFF"/>
                <w:lang w:val="zh-TW" w:eastAsia="zh-TW"/>
              </w:rPr>
              <w:t>注重基础基层建设</w:t>
            </w:r>
            <w:r>
              <w:rPr>
                <w:rFonts w:hint="eastAsia" w:ascii="宋体" w:hAnsi="宋体" w:eastAsia="宋体" w:cs="宋体"/>
                <w:kern w:val="0"/>
                <w:sz w:val="24"/>
                <w:szCs w:val="24"/>
                <w:shd w:val="clear" w:color="auto" w:fill="FFFFFF"/>
              </w:rPr>
              <w:t>，不断完善基层人民调解组织。截至目前，我县共有人民调解组织387个，人民调解员1476名。其中乡（镇）和村（社区）调委会376个；医疗、交通、婚姻等行业性、专业性调委会10个，驻法院、公安派出所等调解室19个。另一方面，</w:t>
            </w:r>
            <w:r>
              <w:rPr>
                <w:rFonts w:hint="eastAsia" w:ascii="宋体" w:hAnsi="宋体" w:eastAsia="宋体" w:cs="宋体"/>
                <w:kern w:val="0"/>
                <w:sz w:val="24"/>
                <w:szCs w:val="24"/>
                <w:shd w:val="clear" w:color="auto" w:fill="FFFFFF"/>
                <w:lang w:val="zh-TW" w:eastAsia="zh-TW"/>
              </w:rPr>
              <w:t>注重排查化解</w:t>
            </w:r>
            <w:r>
              <w:rPr>
                <w:rFonts w:hint="eastAsia" w:ascii="宋体" w:hAnsi="宋体" w:eastAsia="宋体" w:cs="宋体"/>
                <w:kern w:val="0"/>
                <w:sz w:val="24"/>
                <w:szCs w:val="24"/>
                <w:shd w:val="clear" w:color="auto" w:fill="FFFFFF"/>
                <w:lang w:val="zh-TW"/>
              </w:rPr>
              <w:t>效率，我们以“</w:t>
            </w:r>
            <w:r>
              <w:rPr>
                <w:rFonts w:hint="eastAsia" w:ascii="宋体" w:hAnsi="宋体" w:eastAsia="宋体" w:cs="宋体"/>
                <w:kern w:val="0"/>
                <w:sz w:val="24"/>
                <w:szCs w:val="24"/>
                <w:shd w:val="clear" w:color="auto" w:fill="FFFFFF"/>
              </w:rPr>
              <w:t>四查四防化纠纷 千乡万村创四无”专项调解活动为载体，大力推行“枫桥经验”开展矛盾纠纷排查化解活动，将各类矛盾纠纷消灭在萌芽状态，</w:t>
            </w:r>
            <w:r>
              <w:rPr>
                <w:rFonts w:hint="eastAsia" w:ascii="宋体" w:hAnsi="宋体" w:eastAsia="宋体" w:cs="宋体"/>
                <w:kern w:val="0"/>
                <w:sz w:val="24"/>
                <w:szCs w:val="24"/>
                <w:shd w:val="clear" w:color="auto" w:fill="FFFFFF"/>
                <w:lang w:val="zh-TW" w:eastAsia="zh-CN"/>
              </w:rPr>
              <w:t>截至</w:t>
            </w:r>
            <w:r>
              <w:rPr>
                <w:rFonts w:hint="eastAsia" w:ascii="宋体" w:hAnsi="宋体" w:eastAsia="宋体" w:cs="宋体"/>
                <w:kern w:val="0"/>
                <w:sz w:val="24"/>
                <w:szCs w:val="24"/>
                <w:shd w:val="clear" w:color="auto" w:fill="FFFFFF"/>
              </w:rPr>
              <w:t>10</w:t>
            </w:r>
            <w:r>
              <w:rPr>
                <w:rFonts w:hint="eastAsia" w:ascii="宋体" w:hAnsi="宋体" w:eastAsia="宋体" w:cs="宋体"/>
                <w:kern w:val="0"/>
                <w:sz w:val="24"/>
                <w:szCs w:val="24"/>
                <w:shd w:val="clear" w:color="auto" w:fill="FFFFFF"/>
                <w:lang w:val="zh-TW" w:eastAsia="zh-TW"/>
              </w:rPr>
              <w:t>月底，全</w:t>
            </w:r>
            <w:r>
              <w:rPr>
                <w:rFonts w:hint="eastAsia" w:ascii="宋体" w:hAnsi="宋体" w:eastAsia="宋体" w:cs="宋体"/>
                <w:kern w:val="0"/>
                <w:sz w:val="24"/>
                <w:szCs w:val="24"/>
                <w:shd w:val="clear" w:color="auto" w:fill="FFFFFF"/>
                <w:lang w:val="zh-TW"/>
              </w:rPr>
              <w:t>县</w:t>
            </w:r>
            <w:r>
              <w:rPr>
                <w:rFonts w:hint="eastAsia" w:ascii="宋体" w:hAnsi="宋体" w:eastAsia="宋体" w:cs="宋体"/>
                <w:kern w:val="0"/>
                <w:sz w:val="24"/>
                <w:szCs w:val="24"/>
                <w:shd w:val="clear" w:color="auto" w:fill="FFFFFF"/>
                <w:lang w:val="zh-TW" w:eastAsia="zh-TW"/>
              </w:rPr>
              <w:t>共调解纠纷</w:t>
            </w:r>
            <w:r>
              <w:rPr>
                <w:rFonts w:hint="eastAsia" w:ascii="宋体" w:hAnsi="宋体" w:eastAsia="宋体" w:cs="宋体"/>
                <w:kern w:val="0"/>
                <w:sz w:val="24"/>
                <w:szCs w:val="24"/>
                <w:shd w:val="clear" w:color="auto" w:fill="FFFFFF"/>
              </w:rPr>
              <w:t>2437</w:t>
            </w:r>
            <w:r>
              <w:rPr>
                <w:rFonts w:hint="eastAsia" w:ascii="宋体" w:hAnsi="宋体" w:eastAsia="宋体" w:cs="宋体"/>
                <w:kern w:val="0"/>
                <w:sz w:val="24"/>
                <w:szCs w:val="24"/>
                <w:shd w:val="clear" w:color="auto" w:fill="FFFFFF"/>
                <w:lang w:val="zh-TW" w:eastAsia="zh-TW"/>
              </w:rPr>
              <w:t>起，调处成功的</w:t>
            </w:r>
            <w:r>
              <w:rPr>
                <w:rFonts w:hint="eastAsia" w:ascii="宋体" w:hAnsi="宋体" w:eastAsia="宋体" w:cs="宋体"/>
                <w:kern w:val="0"/>
                <w:sz w:val="24"/>
                <w:szCs w:val="24"/>
                <w:shd w:val="clear" w:color="auto" w:fill="FFFFFF"/>
              </w:rPr>
              <w:t>2434</w:t>
            </w:r>
            <w:r>
              <w:rPr>
                <w:rFonts w:hint="eastAsia" w:ascii="宋体" w:hAnsi="宋体" w:eastAsia="宋体" w:cs="宋体"/>
                <w:kern w:val="0"/>
                <w:sz w:val="24"/>
                <w:szCs w:val="24"/>
                <w:shd w:val="clear" w:color="auto" w:fill="FFFFFF"/>
                <w:lang w:val="zh-TW" w:eastAsia="zh-TW"/>
              </w:rPr>
              <w:t>起。</w:t>
            </w:r>
            <w:r>
              <w:rPr>
                <w:rFonts w:hint="eastAsia" w:ascii="宋体" w:hAnsi="宋体" w:eastAsia="宋体" w:cs="宋体"/>
                <w:kern w:val="0"/>
                <w:sz w:val="24"/>
                <w:szCs w:val="24"/>
                <w:shd w:val="clear" w:color="auto" w:fill="FFFFFF"/>
                <w:lang w:val="zh-TW"/>
              </w:rPr>
              <w:t>调解成功率</w:t>
            </w:r>
            <w:r>
              <w:rPr>
                <w:rFonts w:hint="eastAsia" w:ascii="宋体" w:hAnsi="宋体" w:eastAsia="宋体" w:cs="宋体"/>
                <w:kern w:val="0"/>
                <w:sz w:val="24"/>
                <w:szCs w:val="24"/>
                <w:shd w:val="clear" w:color="auto" w:fill="FFFFFF"/>
              </w:rPr>
              <w:t>98.7%，没有因调处不当而发生</w:t>
            </w:r>
            <w:r>
              <w:rPr>
                <w:rFonts w:hint="eastAsia" w:ascii="宋体" w:hAnsi="宋体" w:eastAsia="宋体" w:cs="宋体"/>
                <w:kern w:val="0"/>
                <w:sz w:val="24"/>
                <w:szCs w:val="24"/>
                <w:shd w:val="clear" w:color="auto" w:fill="FFFFFF"/>
                <w:lang w:val="zh-TW" w:eastAsia="zh-TW"/>
              </w:rPr>
              <w:t>“民转刑”案件。</w:t>
            </w:r>
            <w:r>
              <w:rPr>
                <w:rFonts w:hint="eastAsia" w:ascii="宋体" w:hAnsi="宋体" w:eastAsia="宋体" w:cs="宋体"/>
                <w:kern w:val="0"/>
                <w:sz w:val="24"/>
                <w:szCs w:val="24"/>
                <w:shd w:val="clear" w:color="auto" w:fill="FFFFFF"/>
                <w:lang w:val="zh-TW"/>
              </w:rPr>
              <w:t>预计至</w:t>
            </w:r>
            <w:r>
              <w:rPr>
                <w:rFonts w:hint="eastAsia" w:ascii="宋体" w:hAnsi="宋体" w:eastAsia="宋体" w:cs="宋体"/>
                <w:kern w:val="0"/>
                <w:sz w:val="24"/>
                <w:szCs w:val="24"/>
                <w:shd w:val="clear" w:color="auto" w:fill="FFFFFF"/>
              </w:rPr>
              <w:t>12月底，全县各类矛盾纠纷将近3000件。7月25日，全市婚姻家庭纠纷调解工作推进会在我县召开，我局党组书记、局长李学军在会上作了题为《确保“三个到位” 筑牢社会和谐稳定基础》的典型经验发言。</w:t>
            </w: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公共法律服务成为亮点</w:t>
            </w: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一是以人民群众的法律服务需求为落脚点，不断健全公共法律服务体系。2018年，我们以村民（居民）小组为单位，构建公共法律服务“网格”，打通了公共法律服务“最后一公里”。同时，按上级要求完成了“一村（居）一法律顾问”工作，满足人民群众多方面的法律需求。二是以律师制度改革切入点，在县公共法律服务中心设立律师调解室，充分发挥律师在公共法律服务中的积极作用。三是以法律援助工作为突破口，着力提升人民群众对公共法律服务体系的知晓率和满意度，</w:t>
            </w:r>
            <w:r>
              <w:rPr>
                <w:rFonts w:hint="eastAsia" w:ascii="宋体" w:hAnsi="宋体" w:eastAsia="宋体" w:cs="宋体"/>
                <w:kern w:val="0"/>
                <w:sz w:val="24"/>
                <w:szCs w:val="24"/>
                <w:shd w:val="clear" w:color="auto" w:fill="FFFFFF"/>
                <w:lang w:val="zh-TW" w:eastAsia="zh-CN"/>
              </w:rPr>
              <w:t>截至</w:t>
            </w:r>
            <w:r>
              <w:rPr>
                <w:rFonts w:hint="eastAsia" w:ascii="宋体" w:hAnsi="宋体" w:eastAsia="宋体" w:cs="宋体"/>
                <w:kern w:val="0"/>
                <w:sz w:val="24"/>
                <w:szCs w:val="24"/>
                <w:shd w:val="clear" w:color="auto" w:fill="FFFFFF"/>
              </w:rPr>
              <w:t>12</w:t>
            </w:r>
            <w:r>
              <w:rPr>
                <w:rFonts w:hint="eastAsia" w:ascii="宋体" w:hAnsi="宋体" w:eastAsia="宋体" w:cs="宋体"/>
                <w:kern w:val="0"/>
                <w:sz w:val="24"/>
                <w:szCs w:val="24"/>
                <w:shd w:val="clear" w:color="auto" w:fill="FFFFFF"/>
                <w:lang w:val="zh-TW" w:eastAsia="zh-TW"/>
              </w:rPr>
              <w:t>月</w:t>
            </w:r>
            <w:r>
              <w:rPr>
                <w:rFonts w:hint="eastAsia" w:ascii="宋体" w:hAnsi="宋体" w:eastAsia="宋体" w:cs="宋体"/>
                <w:kern w:val="0"/>
                <w:sz w:val="24"/>
                <w:szCs w:val="24"/>
                <w:shd w:val="clear" w:color="auto" w:fill="FFFFFF"/>
                <w:lang w:val="zh-TW"/>
              </w:rPr>
              <w:t>底</w:t>
            </w:r>
            <w:r>
              <w:rPr>
                <w:rFonts w:hint="eastAsia" w:ascii="宋体" w:hAnsi="宋体" w:eastAsia="宋体" w:cs="宋体"/>
                <w:kern w:val="0"/>
                <w:sz w:val="24"/>
                <w:szCs w:val="24"/>
                <w:shd w:val="clear" w:color="auto" w:fill="FFFFFF"/>
                <w:lang w:val="zh-TW" w:eastAsia="zh-TW"/>
              </w:rPr>
              <w:t>，</w:t>
            </w:r>
            <w:r>
              <w:rPr>
                <w:rFonts w:hint="eastAsia" w:ascii="宋体" w:hAnsi="宋体" w:eastAsia="宋体" w:cs="宋体"/>
                <w:kern w:val="0"/>
                <w:sz w:val="24"/>
                <w:szCs w:val="24"/>
                <w:shd w:val="clear" w:color="auto" w:fill="FFFFFF"/>
                <w:lang w:val="zh-TW"/>
              </w:rPr>
              <w:t>全县</w:t>
            </w:r>
            <w:r>
              <w:rPr>
                <w:rFonts w:hint="eastAsia" w:ascii="宋体" w:hAnsi="宋体" w:eastAsia="宋体" w:cs="宋体"/>
                <w:kern w:val="0"/>
                <w:sz w:val="24"/>
                <w:szCs w:val="24"/>
                <w:shd w:val="clear" w:color="auto" w:fill="FFFFFF"/>
                <w:lang w:val="zh-TW" w:eastAsia="zh-TW"/>
              </w:rPr>
              <w:t>共受理</w:t>
            </w:r>
            <w:r>
              <w:rPr>
                <w:rFonts w:hint="eastAsia" w:ascii="宋体" w:hAnsi="宋体" w:eastAsia="宋体" w:cs="宋体"/>
                <w:kern w:val="0"/>
                <w:sz w:val="24"/>
                <w:szCs w:val="24"/>
                <w:shd w:val="clear" w:color="auto" w:fill="FFFFFF"/>
                <w:lang w:val="zh-TW"/>
              </w:rPr>
              <w:t>法律援助案件</w:t>
            </w:r>
            <w:r>
              <w:rPr>
                <w:rFonts w:hint="eastAsia" w:ascii="宋体" w:hAnsi="宋体" w:eastAsia="宋体" w:cs="宋体"/>
                <w:kern w:val="0"/>
                <w:sz w:val="24"/>
                <w:szCs w:val="24"/>
                <w:shd w:val="clear" w:color="auto" w:fill="FFFFFF"/>
              </w:rPr>
              <w:t>504</w:t>
            </w:r>
            <w:r>
              <w:rPr>
                <w:rFonts w:hint="eastAsia" w:ascii="宋体" w:hAnsi="宋体" w:eastAsia="宋体" w:cs="宋体"/>
                <w:kern w:val="0"/>
                <w:sz w:val="24"/>
                <w:szCs w:val="24"/>
                <w:shd w:val="clear" w:color="auto" w:fill="FFFFFF"/>
                <w:lang w:val="zh-TW" w:eastAsia="zh-TW"/>
              </w:rPr>
              <w:t>件，为当事人挽回经济损失2000余万元，为农民工讨薪600余万</w:t>
            </w:r>
            <w:r>
              <w:rPr>
                <w:rFonts w:hint="eastAsia" w:ascii="宋体" w:hAnsi="宋体" w:eastAsia="宋体" w:cs="宋体"/>
                <w:kern w:val="0"/>
                <w:sz w:val="24"/>
                <w:szCs w:val="24"/>
                <w:shd w:val="clear" w:color="auto" w:fill="FFFFFF"/>
                <w:lang w:val="zh-TW"/>
              </w:rPr>
              <w:t>元，让人民群众切实感受到社会公平正义。</w:t>
            </w: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特殊人群管控树立样板</w:t>
            </w:r>
          </w:p>
          <w:p>
            <w:pPr>
              <w:ind w:firstLine="360" w:firstLineChars="150"/>
              <w:rPr>
                <w:rFonts w:ascii="宋体" w:hAnsi="宋体" w:eastAsia="宋体" w:cs="宋体"/>
                <w:kern w:val="0"/>
                <w:sz w:val="24"/>
                <w:szCs w:val="24"/>
                <w:shd w:val="clear" w:color="auto" w:fill="FFFFFF"/>
                <w:lang w:val="zh-TW" w:eastAsia="zh-TW"/>
              </w:rPr>
            </w:pPr>
            <w:r>
              <w:rPr>
                <w:rFonts w:hint="eastAsia" w:ascii="宋体" w:hAnsi="宋体" w:eastAsia="宋体" w:cs="宋体"/>
                <w:kern w:val="0"/>
                <w:sz w:val="24"/>
                <w:szCs w:val="24"/>
                <w:shd w:val="clear" w:color="auto" w:fill="FFFFFF"/>
              </w:rPr>
              <w:t xml:space="preserve"> 一是强化监管措施。截至目前，全县共有在册社区矫正对象284人，全部按照宽管、普管、严管分级落实监管措施，无一脱管漏管。二是</w:t>
            </w:r>
            <w:r>
              <w:rPr>
                <w:rFonts w:hint="eastAsia" w:ascii="宋体" w:hAnsi="宋体" w:eastAsia="宋体" w:cs="宋体"/>
                <w:kern w:val="0"/>
                <w:sz w:val="24"/>
                <w:szCs w:val="24"/>
                <w:shd w:val="clear" w:color="auto" w:fill="FFFFFF"/>
                <w:lang w:val="zh-TW" w:eastAsia="zh-TW"/>
              </w:rPr>
              <w:t>创新教育模式。</w:t>
            </w:r>
            <w:r>
              <w:rPr>
                <w:rFonts w:hint="eastAsia" w:ascii="宋体" w:hAnsi="宋体" w:eastAsia="宋体" w:cs="宋体"/>
                <w:kern w:val="0"/>
                <w:sz w:val="24"/>
                <w:szCs w:val="24"/>
                <w:shd w:val="clear" w:color="auto" w:fill="FFFFFF"/>
              </w:rPr>
              <w:t>通过政府购买服务与专业心理咨询公司签合作协议，在社区服刑人员中广泛开展心理矫治活动，在刑满释放人员中深入开展“三帮一促”“情暖高墙、关爱孩子”“五个一”三大主题帮教活动，帮助困难刑释解教人员解决实际问题，促进其尽快融入社会。三是进一步加快信息化建设步伐，启动全县社区矫正指挥中心建设项目。6月底，该项目已经竣工验收，交付使用。依托综治视频会议系统，我们已将社区矫正信息化建设的触角延伸到全县的每一个乡镇，成为全省信息化建设的样板工程，省内兄弟县市来我县交流学习络绎不绝。</w:t>
            </w:r>
          </w:p>
          <w:p>
            <w:pPr>
              <w:ind w:firstLine="360" w:firstLineChars="150"/>
              <w:rPr>
                <w:rFonts w:ascii="宋体" w:hAnsi="宋体" w:eastAsia="宋体" w:cs="宋体"/>
                <w:kern w:val="0"/>
                <w:sz w:val="24"/>
                <w:szCs w:val="24"/>
                <w:shd w:val="clear" w:color="auto" w:fill="FFFFFF"/>
              </w:rPr>
            </w:pP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积极打造过硬队伍，努力彰显担当作为</w:t>
            </w: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坚持党对司法行政工作的绝对领导，持续推进“两学一做”学习教育常态化制度化，积极开展“不忘初心、牢记使命”主题教育，切实提高全局同志的政治素质、品行修养、为民情怀、业务水平。一是狠抓班子建设，严格党的民主集中制原则，落实“三重一大”集体决策、重大事项报告等制度；扎实开好班子民主生活会，深入查找存在的问题并整改落实到位；班子成员带头在学习调研、制度落实、职责履行、“两创一深化”、服务“三大攻坚战”、扫黑除恶、平安创建、支持和推进改革中务实功、求实效；全年党组中心组学习14次，党组书记讲党课3次，班子成员撰写深度调研报告3篇。二是狠抓队伍建设。始终把政治建设摆在首位，积极开展“廉政警示日”“廉政宣传周”活动，全年组织全局政治理论集中学习12次，开展现场教学、警示教育、知识竞赛、体会交流、技能比武、经典重温等活动近30次，参训集学398人次，鼓励28人到高校、党校和省厅培训，对新招的4名公务员进行岗前培训；引导全系统同志牢树“四个意识”，坚定“四个自信”，筑牢思想根基。三是狠抓执行力建设。坚持用制度管人管事，严格落实党风廉政建设“一岗双责”。从严组织开展违反中央八项规定精神突出问题专项治理等活动；切实防止</w:t>
            </w:r>
            <w:r>
              <w:rPr>
                <w:rFonts w:hint="eastAsia" w:ascii="宋体" w:hAnsi="宋体" w:eastAsia="宋体" w:cs="宋体"/>
                <w:kern w:val="0"/>
                <w:sz w:val="24"/>
                <w:szCs w:val="24"/>
                <w:shd w:val="clear" w:color="auto" w:fill="FFFFFF"/>
                <w:lang w:eastAsia="zh-CN"/>
              </w:rPr>
              <w:t>“四风”</w:t>
            </w:r>
            <w:r>
              <w:rPr>
                <w:rFonts w:hint="eastAsia" w:ascii="宋体" w:hAnsi="宋体" w:eastAsia="宋体" w:cs="宋体"/>
                <w:kern w:val="0"/>
                <w:sz w:val="24"/>
                <w:szCs w:val="24"/>
                <w:shd w:val="clear" w:color="auto" w:fill="FFFFFF"/>
              </w:rPr>
              <w:t>问题反弹。深入开展交心谈话，全年谈话310余人次；针对重点岗位、重点环节加强廉政风险防控；定期开展作风纪律督查重点工作推进，及时讲评，按季通报，经常督导，发现问题苗头及时提醒，限期改正。注重对年轻干部培养，通过严肃纪律规矩，发挥干部特长，解决实际问题，营造“严管就是厚爱”的氛围。四是积极夯基固本，通过注重支委成员的党建能力提高、丰富主题党日活动的形式和内容、升级阵地建设提升组织生活的水准、健全并落实各项制度，进一步增强支部组织力，充分发挥支部的战斗堡垒作用，在“两创一深化”、“平安创建”、技能比武等活动中涌现了一大批党员先进典型。</w:t>
            </w:r>
          </w:p>
          <w:p>
            <w:pPr>
              <w:ind w:firstLine="360" w:firstLineChars="150"/>
              <w:rPr>
                <w:rFonts w:ascii="宋体" w:hAnsi="宋体" w:eastAsia="宋体" w:cs="宋体"/>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tcBorders>
              <w:top w:val="nil"/>
              <w:left w:val="single" w:color="auto" w:sz="4" w:space="0"/>
              <w:bottom w:val="single" w:color="auto" w:sz="4" w:space="0"/>
              <w:right w:val="single" w:color="auto" w:sz="4" w:space="0"/>
            </w:tcBorders>
            <w:vAlign w:val="center"/>
          </w:tcPr>
          <w:p>
            <w:pPr>
              <w:ind w:firstLine="360" w:firstLineChars="150"/>
              <w:jc w:val="center"/>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存在的问题分析及改进措施</w:t>
            </w:r>
          </w:p>
        </w:tc>
        <w:tc>
          <w:tcPr>
            <w:tcW w:w="1985" w:type="dxa"/>
            <w:tcBorders>
              <w:top w:val="single" w:color="auto" w:sz="4" w:space="0"/>
              <w:left w:val="nil"/>
              <w:bottom w:val="single" w:color="auto" w:sz="4" w:space="0"/>
              <w:right w:val="single" w:color="auto" w:sz="4" w:space="0"/>
            </w:tcBorders>
            <w:vAlign w:val="center"/>
          </w:tcPr>
          <w:p>
            <w:pPr>
              <w:ind w:firstLine="360" w:firstLineChars="150"/>
              <w:jc w:val="center"/>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存在的问题</w:t>
            </w:r>
          </w:p>
        </w:tc>
        <w:tc>
          <w:tcPr>
            <w:tcW w:w="5670" w:type="dxa"/>
            <w:tcBorders>
              <w:top w:val="single" w:color="auto" w:sz="4" w:space="0"/>
              <w:left w:val="nil"/>
              <w:bottom w:val="single" w:color="auto" w:sz="4" w:space="0"/>
              <w:right w:val="single" w:color="auto" w:sz="4" w:space="0"/>
            </w:tcBorders>
            <w:vAlign w:val="center"/>
          </w:tcPr>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1.是预算编制有待优化。预算编制与实际支出项目有的存在差异，预算编制的合理性需要提高。</w:t>
            </w: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2.是财务工作水平有待提高。财务工作按部就班，缺乏创新，在精度和深度上欠缺，还需要进一步完善，尤其是在政府采购、固定资产管理方面还需要进一步严格。</w:t>
            </w:r>
          </w:p>
          <w:p>
            <w:pPr>
              <w:ind w:firstLine="360" w:firstLineChars="150"/>
              <w:rPr>
                <w:rFonts w:ascii="宋体" w:hAnsi="宋体" w:eastAsia="宋体" w:cs="宋体"/>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Borders>
              <w:top w:val="nil"/>
              <w:left w:val="single" w:color="auto" w:sz="4" w:space="0"/>
              <w:bottom w:val="single" w:color="auto" w:sz="4" w:space="0"/>
              <w:right w:val="single" w:color="auto" w:sz="4" w:space="0"/>
            </w:tcBorders>
            <w:vAlign w:val="center"/>
          </w:tcPr>
          <w:p>
            <w:pPr>
              <w:ind w:firstLine="360" w:firstLineChars="150"/>
              <w:jc w:val="center"/>
              <w:rPr>
                <w:rFonts w:ascii="宋体" w:hAnsi="宋体" w:eastAsia="宋体" w:cs="宋体"/>
                <w:kern w:val="0"/>
                <w:sz w:val="24"/>
                <w:szCs w:val="24"/>
                <w:shd w:val="clear" w:color="auto" w:fill="FFFFFF"/>
              </w:rPr>
            </w:pPr>
          </w:p>
        </w:tc>
        <w:tc>
          <w:tcPr>
            <w:tcW w:w="1985" w:type="dxa"/>
            <w:tcBorders>
              <w:top w:val="single" w:color="auto" w:sz="4" w:space="0"/>
              <w:left w:val="nil"/>
              <w:bottom w:val="single" w:color="auto" w:sz="4" w:space="0"/>
              <w:right w:val="single" w:color="auto" w:sz="4" w:space="0"/>
            </w:tcBorders>
            <w:vAlign w:val="center"/>
          </w:tcPr>
          <w:p>
            <w:pPr>
              <w:ind w:firstLine="360" w:firstLineChars="150"/>
              <w:jc w:val="center"/>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改进措施</w:t>
            </w:r>
          </w:p>
        </w:tc>
        <w:tc>
          <w:tcPr>
            <w:tcW w:w="5670" w:type="dxa"/>
            <w:tcBorders>
              <w:top w:val="single" w:color="auto" w:sz="4" w:space="0"/>
              <w:left w:val="nil"/>
              <w:bottom w:val="single" w:color="auto" w:sz="4" w:space="0"/>
              <w:right w:val="single" w:color="auto" w:sz="4" w:space="0"/>
            </w:tcBorders>
            <w:vAlign w:val="center"/>
          </w:tcPr>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1）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2）加强财务管理，严格财务审核。加强单位财务管理，健全单位财务管理制度体系，规范单位财务行为。在费用报账支付时，按照预算规定的费用项目和用途进行资金使用审核、列报支付、财务核算，杜绝超支现象的发生。</w:t>
            </w:r>
          </w:p>
          <w:p>
            <w:pPr>
              <w:ind w:firstLine="360" w:firstLineChars="150"/>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3）完善资产管理，抓好“三公”经费控制。严格编制政府采购年初预算和计划，规范各类资产的购置审批制度、资产出租出借和收入管理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p>
          <w:p>
            <w:pPr>
              <w:ind w:firstLine="360" w:firstLineChars="150"/>
              <w:rPr>
                <w:rFonts w:ascii="宋体" w:hAnsi="宋体" w:eastAsia="宋体" w:cs="宋体"/>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Borders>
              <w:top w:val="nil"/>
              <w:left w:val="single" w:color="auto" w:sz="4" w:space="0"/>
              <w:bottom w:val="single" w:color="auto" w:sz="4" w:space="0"/>
              <w:right w:val="single" w:color="auto" w:sz="4" w:space="0"/>
            </w:tcBorders>
            <w:vAlign w:val="center"/>
          </w:tcPr>
          <w:p>
            <w:pPr>
              <w:ind w:firstLine="360" w:firstLineChars="150"/>
              <w:rPr>
                <w:rFonts w:ascii="宋体" w:hAnsi="宋体" w:eastAsia="宋体" w:cs="宋体"/>
                <w:kern w:val="0"/>
                <w:sz w:val="24"/>
                <w:szCs w:val="24"/>
                <w:shd w:val="clear" w:color="auto" w:fill="FFFFFF"/>
              </w:rPr>
            </w:pPr>
          </w:p>
        </w:tc>
        <w:tc>
          <w:tcPr>
            <w:tcW w:w="1985" w:type="dxa"/>
            <w:tcBorders>
              <w:top w:val="single" w:color="auto" w:sz="4" w:space="0"/>
              <w:left w:val="nil"/>
              <w:bottom w:val="single" w:color="auto" w:sz="4" w:space="0"/>
              <w:right w:val="single" w:color="auto" w:sz="4" w:space="0"/>
            </w:tcBorders>
            <w:vAlign w:val="center"/>
          </w:tcPr>
          <w:p>
            <w:pPr>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其他需要说明问题</w:t>
            </w:r>
          </w:p>
        </w:tc>
        <w:tc>
          <w:tcPr>
            <w:tcW w:w="5670" w:type="dxa"/>
            <w:tcBorders>
              <w:top w:val="single" w:color="auto" w:sz="4" w:space="0"/>
              <w:left w:val="nil"/>
              <w:bottom w:val="single" w:color="auto" w:sz="4" w:space="0"/>
              <w:right w:val="single" w:color="auto" w:sz="4" w:space="0"/>
            </w:tcBorders>
            <w:vAlign w:val="center"/>
          </w:tcPr>
          <w:p>
            <w:pPr>
              <w:ind w:firstLine="360" w:firstLineChars="150"/>
              <w:jc w:val="center"/>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无</w:t>
            </w:r>
          </w:p>
        </w:tc>
      </w:tr>
    </w:tbl>
    <w:p>
      <w:pPr>
        <w:widowControl/>
        <w:jc w:val="left"/>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 xml:space="preserve"> </w:t>
      </w:r>
    </w:p>
    <w:p>
      <w:pPr>
        <w:widowControl/>
        <w:spacing w:line="480" w:lineRule="exact"/>
        <w:ind w:left="91"/>
        <w:jc w:val="center"/>
        <w:rPr>
          <w:rFonts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 xml:space="preserve"> </w:t>
      </w:r>
    </w:p>
    <w:p>
      <w:pPr>
        <w:widowControl/>
        <w:spacing w:line="480" w:lineRule="exact"/>
        <w:ind w:left="91"/>
        <w:jc w:val="center"/>
        <w:rPr>
          <w:rFonts w:ascii="宋体" w:hAnsi="宋体" w:eastAsia="宋体" w:cs="宋体"/>
          <w:kern w:val="0"/>
          <w:sz w:val="24"/>
          <w:szCs w:val="24"/>
          <w:shd w:val="clear" w:color="auto" w:fill="FFFFFF"/>
        </w:rPr>
      </w:pPr>
    </w:p>
    <w:p>
      <w:pPr>
        <w:widowControl/>
        <w:spacing w:line="480" w:lineRule="exact"/>
        <w:rPr>
          <w:rFonts w:hint="eastAsia" w:ascii="宋体" w:hAnsi="宋体" w:cs="方正小标宋_GBK"/>
          <w:b/>
          <w:bCs/>
          <w:kern w:val="0"/>
          <w:sz w:val="36"/>
          <w:szCs w:val="36"/>
        </w:rPr>
      </w:pPr>
    </w:p>
    <w:p>
      <w:pPr>
        <w:widowControl/>
        <w:spacing w:line="480" w:lineRule="exact"/>
        <w:rPr>
          <w:rFonts w:hint="eastAsia" w:ascii="宋体" w:hAnsi="宋体" w:cs="方正小标宋_GBK"/>
          <w:b/>
          <w:bCs/>
          <w:kern w:val="0"/>
          <w:sz w:val="36"/>
          <w:szCs w:val="36"/>
        </w:rPr>
      </w:pPr>
    </w:p>
    <w:p>
      <w:pPr>
        <w:widowControl/>
        <w:spacing w:line="480" w:lineRule="exact"/>
        <w:rPr>
          <w:rFonts w:hint="eastAsia" w:ascii="宋体" w:hAnsi="宋体" w:cs="方正小标宋_GBK"/>
          <w:b/>
          <w:bCs/>
          <w:kern w:val="0"/>
          <w:sz w:val="36"/>
          <w:szCs w:val="36"/>
        </w:rPr>
      </w:pPr>
    </w:p>
    <w:p>
      <w:pPr>
        <w:widowControl/>
        <w:spacing w:line="480" w:lineRule="exact"/>
        <w:rPr>
          <w:rFonts w:ascii="宋体" w:hAnsi="宋体" w:cs="方正小标宋_GBK"/>
          <w:b/>
          <w:bCs/>
          <w:kern w:val="0"/>
          <w:sz w:val="36"/>
          <w:szCs w:val="36"/>
        </w:rPr>
      </w:pPr>
      <w:r>
        <w:rPr>
          <w:rFonts w:hint="eastAsia" w:ascii="宋体" w:hAnsi="宋体" w:cs="方正小标宋_GBK"/>
          <w:b/>
          <w:bCs/>
          <w:kern w:val="0"/>
          <w:sz w:val="36"/>
          <w:szCs w:val="36"/>
        </w:rPr>
        <w:t>2.</w:t>
      </w:r>
    </w:p>
    <w:p>
      <w:pPr>
        <w:widowControl/>
        <w:spacing w:line="480" w:lineRule="exact"/>
        <w:ind w:firstLine="1807" w:firstLineChars="500"/>
        <w:rPr>
          <w:rFonts w:ascii="宋体" w:hAnsi="宋体" w:cs="方正小标宋_GBK"/>
          <w:b/>
          <w:bCs/>
          <w:kern w:val="0"/>
          <w:sz w:val="36"/>
          <w:szCs w:val="36"/>
        </w:rPr>
      </w:pPr>
      <w:r>
        <w:rPr>
          <w:rFonts w:hint="eastAsia" w:ascii="宋体" w:hAnsi="宋体" w:cs="方正小标宋_GBK"/>
          <w:b/>
          <w:bCs/>
          <w:kern w:val="0"/>
          <w:sz w:val="36"/>
          <w:szCs w:val="36"/>
        </w:rPr>
        <w:t>湘潭县司法局2018年</w:t>
      </w:r>
    </w:p>
    <w:p>
      <w:pPr>
        <w:widowControl/>
        <w:spacing w:line="480" w:lineRule="exact"/>
        <w:ind w:left="91"/>
        <w:jc w:val="center"/>
        <w:rPr>
          <w:rFonts w:ascii="宋体" w:hAnsi="宋体"/>
          <w:b/>
          <w:bCs/>
          <w:kern w:val="0"/>
          <w:sz w:val="36"/>
          <w:szCs w:val="36"/>
        </w:rPr>
      </w:pPr>
      <w:r>
        <w:rPr>
          <w:rFonts w:hint="eastAsia" w:ascii="宋体" w:hAnsi="宋体" w:cs="方正小标宋_GBK"/>
          <w:b/>
          <w:bCs/>
          <w:kern w:val="0"/>
          <w:sz w:val="36"/>
          <w:szCs w:val="36"/>
        </w:rPr>
        <w:t>部门整体支出绩效评价指标完成情况表</w:t>
      </w:r>
    </w:p>
    <w:tbl>
      <w:tblPr>
        <w:tblStyle w:val="9"/>
        <w:tblW w:w="94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709"/>
        <w:gridCol w:w="614"/>
        <w:gridCol w:w="889"/>
        <w:gridCol w:w="3265"/>
        <w:gridCol w:w="2278"/>
        <w:gridCol w:w="586"/>
        <w:gridCol w:w="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一级指标</w:t>
            </w:r>
          </w:p>
        </w:tc>
        <w:tc>
          <w:tcPr>
            <w:tcW w:w="709"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二级指标</w:t>
            </w:r>
          </w:p>
        </w:tc>
        <w:tc>
          <w:tcPr>
            <w:tcW w:w="61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分值</w:t>
            </w:r>
          </w:p>
        </w:tc>
        <w:tc>
          <w:tcPr>
            <w:tcW w:w="889"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三级指标</w:t>
            </w:r>
          </w:p>
        </w:tc>
        <w:tc>
          <w:tcPr>
            <w:tcW w:w="3265"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指标完成情况</w:t>
            </w:r>
          </w:p>
        </w:tc>
        <w:tc>
          <w:tcPr>
            <w:tcW w:w="227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评价标准</w:t>
            </w:r>
          </w:p>
        </w:tc>
        <w:tc>
          <w:tcPr>
            <w:tcW w:w="58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分值</w:t>
            </w:r>
          </w:p>
        </w:tc>
        <w:tc>
          <w:tcPr>
            <w:tcW w:w="47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0" w:hRule="atLeast"/>
          <w:jc w:val="center"/>
        </w:trPr>
        <w:tc>
          <w:tcPr>
            <w:tcW w:w="675" w:type="dxa"/>
            <w:vMerge w:val="restart"/>
            <w:tcBorders>
              <w:top w:val="nil"/>
              <w:left w:val="single" w:color="auto" w:sz="4" w:space="0"/>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过    程</w:t>
            </w:r>
          </w:p>
        </w:tc>
        <w:tc>
          <w:tcPr>
            <w:tcW w:w="709" w:type="dxa"/>
            <w:vMerge w:val="restart"/>
            <w:tcBorders>
              <w:top w:val="nil"/>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预算执行</w:t>
            </w:r>
          </w:p>
        </w:tc>
        <w:tc>
          <w:tcPr>
            <w:tcW w:w="614" w:type="dxa"/>
            <w:vMerge w:val="restart"/>
            <w:tcBorders>
              <w:top w:val="nil"/>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30</w:t>
            </w:r>
          </w:p>
        </w:tc>
        <w:tc>
          <w:tcPr>
            <w:tcW w:w="889"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预算调整率</w:t>
            </w:r>
          </w:p>
        </w:tc>
        <w:tc>
          <w:tcPr>
            <w:tcW w:w="3265"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预算调整率=（预算调整数/预算数）×100%。</w:t>
            </w:r>
          </w:p>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预算调整数：部门（单位）在本年度内涉及预算的追加、追减或结构调整的资金总和（因落实国家政策，发生不可抗力、上级部门或本级党委政府临时交办而产生的调整除外）。</w:t>
            </w:r>
          </w:p>
        </w:tc>
        <w:tc>
          <w:tcPr>
            <w:tcW w:w="227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预算调整率=0，计5分；0-10%（含），计4分；10-20%（含），计3分；20-30%（含），计2分；大于30%不得分。</w:t>
            </w:r>
          </w:p>
        </w:tc>
        <w:tc>
          <w:tcPr>
            <w:tcW w:w="58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47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jc w:val="center"/>
        </w:trPr>
        <w:tc>
          <w:tcPr>
            <w:tcW w:w="675" w:type="dxa"/>
            <w:vMerge w:val="continue"/>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709" w:type="dxa"/>
            <w:vMerge w:val="continue"/>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614" w:type="dxa"/>
            <w:vMerge w:val="continue"/>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889"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基本支出预算控制率</w:t>
            </w:r>
          </w:p>
        </w:tc>
        <w:tc>
          <w:tcPr>
            <w:tcW w:w="3265"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基本支出预算控制率=（基本支出实际支出/基本支出年度总预算）*100%。</w:t>
            </w:r>
          </w:p>
        </w:tc>
        <w:tc>
          <w:tcPr>
            <w:tcW w:w="227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基本支出预算控制率</w:t>
            </w:r>
            <w:r>
              <w:rPr>
                <w:rFonts w:hint="eastAsia" w:ascii="仿宋_GB2312" w:hAnsi="宋体"/>
                <w:kern w:val="0"/>
              </w:rPr>
              <w:t>≦</w:t>
            </w:r>
            <w:r>
              <w:rPr>
                <w:rFonts w:hint="eastAsia" w:ascii="仿宋_GB2312" w:hAnsi="宋体" w:eastAsia="仿宋_GB2312" w:cs="宋体"/>
                <w:kern w:val="0"/>
              </w:rPr>
              <w:t>100%，计5分；100-110%（含），计4分；110-120%（含），计3分；120-130%（含），计2分；大于130%不得分。</w:t>
            </w:r>
          </w:p>
        </w:tc>
        <w:tc>
          <w:tcPr>
            <w:tcW w:w="58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47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jc w:val="center"/>
        </w:trPr>
        <w:tc>
          <w:tcPr>
            <w:tcW w:w="675" w:type="dxa"/>
            <w:vMerge w:val="continue"/>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709" w:type="dxa"/>
            <w:vMerge w:val="continue"/>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614" w:type="dxa"/>
            <w:vMerge w:val="continue"/>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889"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项目支出预算控制率</w:t>
            </w:r>
          </w:p>
        </w:tc>
        <w:tc>
          <w:tcPr>
            <w:tcW w:w="3265"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项目支出预算控制率=（项目支出实际支出/项目支出年度总预算）*100%。</w:t>
            </w:r>
          </w:p>
        </w:tc>
        <w:tc>
          <w:tcPr>
            <w:tcW w:w="227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项目支出预算控制率</w:t>
            </w:r>
            <w:r>
              <w:rPr>
                <w:rFonts w:hint="eastAsia" w:ascii="仿宋_GB2312" w:hAnsi="宋体"/>
                <w:kern w:val="0"/>
              </w:rPr>
              <w:t>≦</w:t>
            </w:r>
            <w:r>
              <w:rPr>
                <w:rFonts w:hint="eastAsia" w:ascii="仿宋_GB2312" w:hAnsi="宋体" w:eastAsia="仿宋_GB2312" w:cs="宋体"/>
                <w:kern w:val="0"/>
              </w:rPr>
              <w:t>100%，计5分；100-110%（含），计4分；110-120%（含），计3分；120-130%（含），计2分；大于130%不得分。</w:t>
            </w:r>
          </w:p>
        </w:tc>
        <w:tc>
          <w:tcPr>
            <w:tcW w:w="58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47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675" w:type="dxa"/>
            <w:vMerge w:val="continue"/>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709" w:type="dxa"/>
            <w:vMerge w:val="continue"/>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614" w:type="dxa"/>
            <w:vMerge w:val="continue"/>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889" w:type="dxa"/>
            <w:vMerge w:val="restart"/>
            <w:tcBorders>
              <w:top w:val="nil"/>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资金结余</w:t>
            </w:r>
          </w:p>
        </w:tc>
        <w:tc>
          <w:tcPr>
            <w:tcW w:w="3265"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p>
        </w:tc>
        <w:tc>
          <w:tcPr>
            <w:tcW w:w="227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无结余，5分；有结余，但不超过上年结余，3分；结余超过上年结余，不得分。</w:t>
            </w:r>
          </w:p>
        </w:tc>
        <w:tc>
          <w:tcPr>
            <w:tcW w:w="58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47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675" w:type="dxa"/>
            <w:vMerge w:val="continue"/>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709" w:type="dxa"/>
            <w:vMerge w:val="continue"/>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614" w:type="dxa"/>
            <w:vMerge w:val="continue"/>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889" w:type="dxa"/>
            <w:vMerge w:val="continue"/>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3265"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p>
        </w:tc>
        <w:tc>
          <w:tcPr>
            <w:tcW w:w="227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是否分项目核算结余结转，是，5分；否，0分。</w:t>
            </w:r>
          </w:p>
        </w:tc>
        <w:tc>
          <w:tcPr>
            <w:tcW w:w="58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47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675" w:type="dxa"/>
            <w:vMerge w:val="continue"/>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709" w:type="dxa"/>
            <w:vMerge w:val="continue"/>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614" w:type="dxa"/>
            <w:vMerge w:val="continue"/>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889"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“三公经费”控制率</w:t>
            </w:r>
          </w:p>
        </w:tc>
        <w:tc>
          <w:tcPr>
            <w:tcW w:w="3265"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“三公经费”控制率=（“三公经费”实际支出数/“三公经费”预算安排数）×100%。</w:t>
            </w:r>
          </w:p>
        </w:tc>
        <w:tc>
          <w:tcPr>
            <w:tcW w:w="227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以100%为标准。三公经费控制率</w:t>
            </w:r>
            <w:r>
              <w:rPr>
                <w:rFonts w:hint="eastAsia" w:ascii="仿宋_GB2312" w:hAnsi="宋体"/>
                <w:kern w:val="0"/>
              </w:rPr>
              <w:t>≦</w:t>
            </w:r>
            <w:r>
              <w:rPr>
                <w:rFonts w:hint="eastAsia" w:ascii="仿宋_GB2312" w:hAnsi="宋体" w:eastAsia="仿宋_GB2312" w:cs="宋体"/>
                <w:kern w:val="0"/>
              </w:rPr>
              <w:t>100%，计5分；每超过一个百分点扣1分，扣完为止。</w:t>
            </w:r>
          </w:p>
        </w:tc>
        <w:tc>
          <w:tcPr>
            <w:tcW w:w="58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47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675" w:type="dxa"/>
            <w:vMerge w:val="continue"/>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709" w:type="dxa"/>
            <w:vMerge w:val="restart"/>
            <w:tcBorders>
              <w:top w:val="nil"/>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预算管理</w:t>
            </w:r>
          </w:p>
        </w:tc>
        <w:tc>
          <w:tcPr>
            <w:tcW w:w="614" w:type="dxa"/>
            <w:vMerge w:val="restart"/>
            <w:tcBorders>
              <w:top w:val="nil"/>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20</w:t>
            </w:r>
          </w:p>
        </w:tc>
        <w:tc>
          <w:tcPr>
            <w:tcW w:w="889"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管理制度健全性</w:t>
            </w:r>
          </w:p>
        </w:tc>
        <w:tc>
          <w:tcPr>
            <w:tcW w:w="3265"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p>
        </w:tc>
        <w:tc>
          <w:tcPr>
            <w:tcW w:w="227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①已制定或具有预算资金管理办法，内部财务管理制度、会计核算制度等管理制度，3分；②相关管理制度合法、合规、完整，2分。</w:t>
            </w:r>
          </w:p>
        </w:tc>
        <w:tc>
          <w:tcPr>
            <w:tcW w:w="58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47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675" w:type="dxa"/>
            <w:vMerge w:val="continue"/>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709" w:type="dxa"/>
            <w:vMerge w:val="continue"/>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614" w:type="dxa"/>
            <w:vMerge w:val="continue"/>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889"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专账核算</w:t>
            </w:r>
          </w:p>
        </w:tc>
        <w:tc>
          <w:tcPr>
            <w:tcW w:w="3265"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p>
        </w:tc>
        <w:tc>
          <w:tcPr>
            <w:tcW w:w="227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项目支出是否分项目单独核算，是5；否，0分。</w:t>
            </w:r>
          </w:p>
        </w:tc>
        <w:tc>
          <w:tcPr>
            <w:tcW w:w="58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47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jc w:val="center"/>
        </w:trPr>
        <w:tc>
          <w:tcPr>
            <w:tcW w:w="675" w:type="dxa"/>
            <w:vMerge w:val="continue"/>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709" w:type="dxa"/>
            <w:vMerge w:val="continue"/>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614" w:type="dxa"/>
            <w:vMerge w:val="continue"/>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889"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预决算信息公开性和完善性</w:t>
            </w:r>
          </w:p>
        </w:tc>
        <w:tc>
          <w:tcPr>
            <w:tcW w:w="3265"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预决算信息是指与部门预算、执行、决算、监督、绩效等管理相关的信息。</w:t>
            </w:r>
          </w:p>
        </w:tc>
        <w:tc>
          <w:tcPr>
            <w:tcW w:w="227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①按规定内容公开预决算信息，3分；②按规定时限公开预决算信息，2分。</w:t>
            </w:r>
          </w:p>
        </w:tc>
        <w:tc>
          <w:tcPr>
            <w:tcW w:w="58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47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675" w:type="dxa"/>
            <w:vMerge w:val="continue"/>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709" w:type="dxa"/>
            <w:vMerge w:val="continue"/>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614" w:type="dxa"/>
            <w:vMerge w:val="continue"/>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889"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政府采购完成情况</w:t>
            </w:r>
          </w:p>
        </w:tc>
        <w:tc>
          <w:tcPr>
            <w:tcW w:w="3265"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p>
        </w:tc>
        <w:tc>
          <w:tcPr>
            <w:tcW w:w="227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达到政府采购要求的是否进行了政府采购，是，5分；否，0分。</w:t>
            </w:r>
          </w:p>
        </w:tc>
        <w:tc>
          <w:tcPr>
            <w:tcW w:w="58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47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8" w:hRule="atLeast"/>
          <w:jc w:val="center"/>
        </w:trPr>
        <w:tc>
          <w:tcPr>
            <w:tcW w:w="675" w:type="dxa"/>
            <w:vMerge w:val="continue"/>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709"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资产管理</w:t>
            </w:r>
          </w:p>
        </w:tc>
        <w:tc>
          <w:tcPr>
            <w:tcW w:w="61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889"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管理制度健全性</w:t>
            </w:r>
          </w:p>
        </w:tc>
        <w:tc>
          <w:tcPr>
            <w:tcW w:w="3265"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部门（单位）为加强资产管理，规范资产管理行为而制定的管理制度是否健全完整、用以反映                                                                                                                                                                                                                                                                                                                                                                                                                                                                                                                                                                               和考核部门（单位）资产管理制度对完成主要职责或促进社会发展的保障情况。</w:t>
            </w:r>
          </w:p>
        </w:tc>
        <w:tc>
          <w:tcPr>
            <w:tcW w:w="227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①已制定或具有资产管理制度，3分；②相关资产管理制度合法、合规、完整，2分；。</w:t>
            </w:r>
          </w:p>
        </w:tc>
        <w:tc>
          <w:tcPr>
            <w:tcW w:w="58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47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675" w:type="dxa"/>
            <w:vMerge w:val="restart"/>
            <w:tcBorders>
              <w:top w:val="nil"/>
              <w:left w:val="single" w:color="auto" w:sz="4" w:space="0"/>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产   出</w:t>
            </w:r>
          </w:p>
          <w:p>
            <w:pPr>
              <w:spacing w:line="320" w:lineRule="exact"/>
              <w:jc w:val="center"/>
              <w:rPr>
                <w:rFonts w:ascii="仿宋_GB2312" w:hAnsi="宋体" w:eastAsia="仿宋_GB2312" w:cs="宋体"/>
                <w:kern w:val="0"/>
              </w:rPr>
            </w:pPr>
            <w:r>
              <w:rPr>
                <w:rFonts w:hint="eastAsia" w:ascii="仿宋_GB2312" w:hAnsi="宋体" w:eastAsia="仿宋_GB2312" w:cs="宋体"/>
                <w:kern w:val="0"/>
              </w:rPr>
              <w:t>效   果</w:t>
            </w:r>
          </w:p>
        </w:tc>
        <w:tc>
          <w:tcPr>
            <w:tcW w:w="709"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职责 履行</w:t>
            </w:r>
          </w:p>
        </w:tc>
        <w:tc>
          <w:tcPr>
            <w:tcW w:w="614" w:type="dxa"/>
            <w:vMerge w:val="restart"/>
            <w:tcBorders>
              <w:top w:val="nil"/>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45</w:t>
            </w:r>
          </w:p>
        </w:tc>
        <w:tc>
          <w:tcPr>
            <w:tcW w:w="889" w:type="dxa"/>
            <w:vMerge w:val="restart"/>
            <w:tcBorders>
              <w:top w:val="nil"/>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绩效目标完成情况</w:t>
            </w:r>
          </w:p>
        </w:tc>
        <w:tc>
          <w:tcPr>
            <w:tcW w:w="3265" w:type="dxa"/>
            <w:vMerge w:val="restart"/>
            <w:tcBorders>
              <w:top w:val="nil"/>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部门（单位）根据2018年部门整体支出绩效目标申报表提炼部门整体支出绩效评价指标。</w:t>
            </w:r>
          </w:p>
          <w:p>
            <w:pPr>
              <w:widowControl/>
              <w:spacing w:line="320" w:lineRule="exact"/>
              <w:jc w:val="center"/>
              <w:rPr>
                <w:rFonts w:ascii="仿宋_GB2312" w:hAnsi="宋体" w:eastAsia="仿宋_GB2312" w:cs="宋体"/>
                <w:kern w:val="0"/>
              </w:rPr>
            </w:pPr>
          </w:p>
        </w:tc>
        <w:tc>
          <w:tcPr>
            <w:tcW w:w="2278" w:type="dxa"/>
            <w:vMerge w:val="restart"/>
            <w:tcBorders>
              <w:top w:val="nil"/>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p>
        </w:tc>
        <w:tc>
          <w:tcPr>
            <w:tcW w:w="586" w:type="dxa"/>
            <w:vMerge w:val="restart"/>
            <w:tcBorders>
              <w:top w:val="nil"/>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45</w:t>
            </w:r>
          </w:p>
        </w:tc>
        <w:tc>
          <w:tcPr>
            <w:tcW w:w="476" w:type="dxa"/>
            <w:vMerge w:val="restart"/>
            <w:tcBorders>
              <w:top w:val="nil"/>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675" w:type="dxa"/>
            <w:vMerge w:val="continue"/>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709"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履职 效益</w:t>
            </w:r>
          </w:p>
        </w:tc>
        <w:tc>
          <w:tcPr>
            <w:tcW w:w="614" w:type="dxa"/>
            <w:vMerge w:val="continue"/>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889" w:type="dxa"/>
            <w:vMerge w:val="continue"/>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3265" w:type="dxa"/>
            <w:vMerge w:val="continue"/>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2278" w:type="dxa"/>
            <w:vMerge w:val="continue"/>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586" w:type="dxa"/>
            <w:vMerge w:val="continue"/>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rPr>
            </w:pPr>
          </w:p>
        </w:tc>
        <w:tc>
          <w:tcPr>
            <w:tcW w:w="476" w:type="dxa"/>
            <w:vMerge w:val="continue"/>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合计</w:t>
            </w:r>
          </w:p>
        </w:tc>
        <w:tc>
          <w:tcPr>
            <w:tcW w:w="709"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p>
        </w:tc>
        <w:tc>
          <w:tcPr>
            <w:tcW w:w="61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100</w:t>
            </w:r>
          </w:p>
        </w:tc>
        <w:tc>
          <w:tcPr>
            <w:tcW w:w="889"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宋体" w:eastAsia="仿宋_GB2312" w:cs="宋体"/>
                <w:kern w:val="0"/>
              </w:rPr>
            </w:pPr>
          </w:p>
        </w:tc>
        <w:tc>
          <w:tcPr>
            <w:tcW w:w="326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rPr>
            </w:pPr>
          </w:p>
        </w:tc>
        <w:tc>
          <w:tcPr>
            <w:tcW w:w="2278"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rPr>
            </w:pPr>
          </w:p>
        </w:tc>
        <w:tc>
          <w:tcPr>
            <w:tcW w:w="586"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rPr>
            </w:pPr>
            <w:r>
              <w:rPr>
                <w:rFonts w:hint="eastAsia" w:ascii="仿宋_GB2312" w:hAnsi="宋体" w:eastAsia="仿宋_GB2312" w:cs="宋体"/>
                <w:kern w:val="0"/>
              </w:rPr>
              <w:t>100</w:t>
            </w:r>
          </w:p>
        </w:tc>
        <w:tc>
          <w:tcPr>
            <w:tcW w:w="476"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rPr>
            </w:pPr>
            <w:r>
              <w:rPr>
                <w:rFonts w:hint="eastAsia" w:ascii="仿宋_GB2312" w:hAnsi="宋体" w:eastAsia="仿宋_GB2312" w:cs="宋体"/>
                <w:kern w:val="0"/>
              </w:rPr>
              <w:t>93</w:t>
            </w:r>
          </w:p>
        </w:tc>
      </w:tr>
    </w:tbl>
    <w:p>
      <w:pPr>
        <w:snapToGrid w:val="0"/>
        <w:spacing w:line="540" w:lineRule="exact"/>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 </w:t>
      </w:r>
    </w:p>
    <w:p>
      <w:pPr>
        <w:snapToGrid w:val="0"/>
        <w:spacing w:line="540" w:lineRule="exact"/>
        <w:rPr>
          <w:rFonts w:hint="eastAsia" w:ascii="宋体" w:hAnsi="宋体" w:eastAsia="宋体" w:cs="宋体"/>
          <w:sz w:val="24"/>
          <w:szCs w:val="24"/>
          <w:shd w:val="clear" w:fill="FFFFFF"/>
          <w:lang w:val="en-US" w:eastAsia="zh-CN"/>
        </w:rPr>
      </w:pPr>
      <w:r>
        <w:rPr>
          <w:rFonts w:hint="eastAsia" w:ascii="仿宋_GB2312" w:hAnsi="宋体" w:eastAsia="仿宋_GB2312" w:cs="宋体"/>
          <w:kern w:val="0"/>
          <w:sz w:val="32"/>
          <w:szCs w:val="32"/>
        </w:rPr>
        <w:t xml:space="preserve"> </w:t>
      </w:r>
      <w:r>
        <w:rPr>
          <w:rFonts w:hint="eastAsia" w:ascii="仿宋_GB2312" w:hAnsi="宋体" w:eastAsia="仿宋_GB2312" w:cs="宋体"/>
          <w:kern w:val="0"/>
          <w:sz w:val="32"/>
          <w:szCs w:val="32"/>
          <w:lang w:val="en-US" w:eastAsia="zh-CN"/>
        </w:rPr>
        <w:t xml:space="preserve"> </w:t>
      </w:r>
      <w:r>
        <w:rPr>
          <w:rFonts w:hint="eastAsia" w:ascii="宋体" w:hAnsi="宋体" w:eastAsia="宋体" w:cs="宋体"/>
          <w:sz w:val="24"/>
          <w:szCs w:val="24"/>
          <w:shd w:val="clear" w:fill="FFFFFF"/>
          <w:lang w:val="en-US" w:eastAsia="zh-CN"/>
        </w:rPr>
        <w:t>十、特殊名词解释</w:t>
      </w:r>
    </w:p>
    <w:p>
      <w:pPr>
        <w:pStyle w:val="7"/>
        <w:keepNext w:val="0"/>
        <w:keepLines w:val="0"/>
        <w:widowControl/>
        <w:numPr>
          <w:ilvl w:val="0"/>
          <w:numId w:val="0"/>
        </w:numPr>
        <w:suppressLineNumbers w:val="0"/>
        <w:shd w:val="clear" w:fill="FFFFFF"/>
        <w:spacing w:before="15" w:beforeAutospacing="0" w:after="15" w:afterAutospacing="0" w:line="420" w:lineRule="atLeast"/>
        <w:ind w:left="420" w:leftChars="0"/>
        <w:jc w:val="left"/>
        <w:rPr>
          <w:rFonts w:hint="eastAsia" w:ascii="宋体" w:hAnsi="宋体" w:eastAsia="宋体" w:cs="宋体"/>
          <w:sz w:val="24"/>
          <w:szCs w:val="24"/>
          <w:shd w:val="clear" w:fill="FFFFFF"/>
          <w:lang w:val="en-US" w:eastAsia="zh-CN"/>
        </w:rPr>
      </w:pPr>
      <w:r>
        <w:rPr>
          <w:rFonts w:hint="eastAsia" w:cs="宋体"/>
          <w:sz w:val="24"/>
          <w:szCs w:val="24"/>
          <w:shd w:val="clear" w:fill="FFFFFF"/>
          <w:lang w:val="en-US" w:eastAsia="zh-CN"/>
        </w:rPr>
        <w:t>1、</w:t>
      </w:r>
      <w:r>
        <w:rPr>
          <w:rFonts w:hint="eastAsia" w:ascii="宋体" w:hAnsi="宋体" w:eastAsia="宋体" w:cs="宋体"/>
          <w:sz w:val="24"/>
          <w:szCs w:val="24"/>
          <w:shd w:val="clear" w:fill="FFFFFF"/>
          <w:lang w:val="en-US" w:eastAsia="zh-CN"/>
        </w:rPr>
        <w:t>财政拨款收入：指地方财政当年拨付的资金</w:t>
      </w:r>
    </w:p>
    <w:p>
      <w:pPr>
        <w:pStyle w:val="7"/>
        <w:keepNext w:val="0"/>
        <w:keepLines w:val="0"/>
        <w:widowControl/>
        <w:numPr>
          <w:ilvl w:val="0"/>
          <w:numId w:val="0"/>
        </w:numPr>
        <w:suppressLineNumbers w:val="0"/>
        <w:shd w:val="clear" w:fill="FFFFFF"/>
        <w:spacing w:before="15" w:beforeAutospacing="0" w:after="15" w:afterAutospacing="0" w:line="420" w:lineRule="atLeast"/>
        <w:ind w:left="420" w:leftChars="0"/>
        <w:jc w:val="left"/>
        <w:rPr>
          <w:rFonts w:hint="eastAsia" w:ascii="宋体" w:hAnsi="宋体" w:eastAsia="宋体" w:cs="宋体"/>
          <w:sz w:val="24"/>
          <w:szCs w:val="24"/>
          <w:shd w:val="clear" w:fill="FFFFFF"/>
          <w:lang w:val="en-US" w:eastAsia="zh-CN"/>
        </w:rPr>
      </w:pPr>
      <w:r>
        <w:rPr>
          <w:rFonts w:hint="eastAsia" w:cs="宋体"/>
          <w:sz w:val="24"/>
          <w:szCs w:val="24"/>
          <w:shd w:val="clear" w:fill="FFFFFF"/>
          <w:lang w:val="en-US" w:eastAsia="zh-CN"/>
        </w:rPr>
        <w:t>2、</w:t>
      </w:r>
      <w:r>
        <w:rPr>
          <w:rFonts w:hint="eastAsia" w:ascii="宋体" w:hAnsi="宋体" w:eastAsia="宋体" w:cs="宋体"/>
          <w:sz w:val="24"/>
          <w:szCs w:val="24"/>
          <w:shd w:val="clear" w:fill="FFFFFF"/>
          <w:lang w:val="en-US" w:eastAsia="zh-CN"/>
        </w:rPr>
        <w:t>年初结转和结余：指以前年度尚未完成、结转到本年按有关规定继续使用的资金。</w:t>
      </w:r>
    </w:p>
    <w:p>
      <w:pPr>
        <w:pStyle w:val="7"/>
        <w:keepNext w:val="0"/>
        <w:keepLines w:val="0"/>
        <w:widowControl/>
        <w:numPr>
          <w:ilvl w:val="0"/>
          <w:numId w:val="0"/>
        </w:numPr>
        <w:suppressLineNumbers w:val="0"/>
        <w:shd w:val="clear" w:fill="FFFFFF"/>
        <w:spacing w:before="15" w:beforeAutospacing="0" w:after="15" w:afterAutospacing="0" w:line="420" w:lineRule="atLeast"/>
        <w:ind w:left="420" w:leftChars="0"/>
        <w:jc w:val="left"/>
        <w:rPr>
          <w:rFonts w:hint="eastAsia" w:ascii="宋体" w:hAnsi="宋体" w:eastAsia="宋体" w:cs="宋体"/>
          <w:sz w:val="24"/>
          <w:szCs w:val="24"/>
          <w:shd w:val="clear" w:fill="FFFFFF"/>
          <w:lang w:val="en-US" w:eastAsia="zh-CN"/>
        </w:rPr>
      </w:pPr>
      <w:r>
        <w:rPr>
          <w:rFonts w:hint="eastAsia" w:cs="宋体"/>
          <w:sz w:val="24"/>
          <w:szCs w:val="24"/>
          <w:shd w:val="clear" w:fill="FFFFFF"/>
          <w:lang w:val="en-US" w:eastAsia="zh-CN"/>
        </w:rPr>
        <w:t>3、</w:t>
      </w:r>
      <w:r>
        <w:rPr>
          <w:rFonts w:hint="eastAsia" w:ascii="宋体" w:hAnsi="宋体" w:eastAsia="宋体" w:cs="宋体"/>
          <w:sz w:val="24"/>
          <w:szCs w:val="24"/>
          <w:shd w:val="clear" w:fill="FFFFFF"/>
          <w:lang w:val="en-US" w:eastAsia="zh-CN"/>
        </w:rPr>
        <w:t>一般公共服务（类）财政事务（款）一般行政管理事务（项）：指财政部行政单位及参照公务员法管理的事业单位开展财政立法、决算编审、资产产权管理等未单独设置项级科目的专门性财政管理工作的项目支出。</w:t>
      </w:r>
    </w:p>
    <w:p>
      <w:pPr>
        <w:pStyle w:val="7"/>
        <w:keepNext w:val="0"/>
        <w:keepLines w:val="0"/>
        <w:widowControl/>
        <w:numPr>
          <w:ilvl w:val="0"/>
          <w:numId w:val="0"/>
        </w:numPr>
        <w:suppressLineNumbers w:val="0"/>
        <w:shd w:val="clear" w:fill="FFFFFF"/>
        <w:spacing w:before="15" w:beforeAutospacing="0" w:after="15" w:afterAutospacing="0" w:line="420" w:lineRule="atLeast"/>
        <w:ind w:left="420" w:leftChars="0"/>
        <w:jc w:val="left"/>
        <w:rPr>
          <w:rFonts w:hint="eastAsia" w:ascii="宋体" w:hAnsi="宋体" w:eastAsia="宋体" w:cs="宋体"/>
          <w:sz w:val="24"/>
          <w:szCs w:val="24"/>
          <w:shd w:val="clear" w:fill="FFFFFF"/>
          <w:lang w:val="en-US" w:eastAsia="zh-CN"/>
        </w:rPr>
      </w:pPr>
      <w:r>
        <w:rPr>
          <w:rFonts w:hint="eastAsia" w:cs="宋体"/>
          <w:sz w:val="24"/>
          <w:szCs w:val="24"/>
          <w:shd w:val="clear" w:fill="FFFFFF"/>
          <w:lang w:val="en-US" w:eastAsia="zh-CN"/>
        </w:rPr>
        <w:t>4、</w:t>
      </w:r>
      <w:r>
        <w:rPr>
          <w:rFonts w:hint="eastAsia" w:ascii="宋体" w:hAnsi="宋体" w:eastAsia="宋体" w:cs="宋体"/>
          <w:sz w:val="24"/>
          <w:szCs w:val="24"/>
          <w:shd w:val="clear" w:fill="FFFFFF"/>
          <w:lang w:val="en-US" w:eastAsia="zh-CN"/>
        </w:rPr>
        <w:t>基本支出：指为保障机构正常运转、完成日常工作任务而发生的人员支出和公用支出。</w:t>
      </w:r>
    </w:p>
    <w:p>
      <w:pPr>
        <w:pStyle w:val="7"/>
        <w:keepNext w:val="0"/>
        <w:keepLines w:val="0"/>
        <w:widowControl/>
        <w:numPr>
          <w:ilvl w:val="0"/>
          <w:numId w:val="0"/>
        </w:numPr>
        <w:suppressLineNumbers w:val="0"/>
        <w:shd w:val="clear" w:fill="FFFFFF"/>
        <w:spacing w:before="15" w:beforeAutospacing="0" w:after="15" w:afterAutospacing="0" w:line="420" w:lineRule="atLeast"/>
        <w:ind w:left="420" w:leftChars="0"/>
        <w:jc w:val="left"/>
        <w:rPr>
          <w:rFonts w:hint="eastAsia" w:ascii="宋体" w:hAnsi="宋体" w:eastAsia="宋体" w:cs="宋体"/>
          <w:sz w:val="24"/>
          <w:szCs w:val="24"/>
          <w:shd w:val="clear" w:fill="FFFFFF"/>
          <w:lang w:val="en-US" w:eastAsia="zh-CN"/>
        </w:rPr>
      </w:pPr>
      <w:r>
        <w:rPr>
          <w:rFonts w:hint="eastAsia" w:cs="宋体"/>
          <w:sz w:val="24"/>
          <w:szCs w:val="24"/>
          <w:shd w:val="clear" w:fill="FFFFFF"/>
          <w:lang w:val="en-US" w:eastAsia="zh-CN"/>
        </w:rPr>
        <w:t>5、</w:t>
      </w:r>
      <w:r>
        <w:rPr>
          <w:rFonts w:hint="eastAsia" w:ascii="宋体" w:hAnsi="宋体" w:eastAsia="宋体" w:cs="宋体"/>
          <w:sz w:val="24"/>
          <w:szCs w:val="24"/>
          <w:shd w:val="clear" w:fill="FFFFFF"/>
          <w:lang w:val="en-US" w:eastAsia="zh-CN"/>
        </w:rPr>
        <w:t>项目支出：指在基本支出之外为完成特定行政任务和事业发展目标所发生的支出。</w:t>
      </w:r>
    </w:p>
    <w:p>
      <w:pPr>
        <w:pStyle w:val="7"/>
        <w:keepNext w:val="0"/>
        <w:keepLines w:val="0"/>
        <w:widowControl/>
        <w:numPr>
          <w:ilvl w:val="0"/>
          <w:numId w:val="0"/>
        </w:numPr>
        <w:suppressLineNumbers w:val="0"/>
        <w:shd w:val="clear" w:fill="FFFFFF"/>
        <w:spacing w:before="15" w:beforeAutospacing="0" w:after="15" w:afterAutospacing="0" w:line="420" w:lineRule="atLeast"/>
        <w:ind w:left="420" w:leftChars="0"/>
        <w:jc w:val="left"/>
        <w:rPr>
          <w:rFonts w:hint="eastAsia" w:ascii="宋体" w:hAnsi="宋体" w:eastAsia="宋体" w:cs="宋体"/>
          <w:sz w:val="24"/>
          <w:szCs w:val="24"/>
          <w:shd w:val="clear" w:fill="FFFFFF"/>
          <w:lang w:val="en-US" w:eastAsia="zh-CN"/>
        </w:rPr>
      </w:pPr>
      <w:r>
        <w:rPr>
          <w:rFonts w:hint="eastAsia" w:cs="宋体"/>
          <w:sz w:val="24"/>
          <w:szCs w:val="24"/>
          <w:shd w:val="clear" w:fill="FFFFFF"/>
          <w:lang w:val="en-US" w:eastAsia="zh-CN"/>
        </w:rPr>
        <w:t>6、</w:t>
      </w:r>
      <w:r>
        <w:rPr>
          <w:rFonts w:hint="eastAsia" w:ascii="宋体" w:hAnsi="宋体" w:eastAsia="宋体" w:cs="宋体"/>
          <w:sz w:val="24"/>
          <w:szCs w:val="24"/>
          <w:shd w:val="clear" w:fill="FFFFFF"/>
          <w:lang w:val="en-US" w:eastAsia="zh-CN"/>
        </w:rPr>
        <w:t>“三公”经费：纳入地方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7"/>
        <w:keepNext w:val="0"/>
        <w:keepLines w:val="0"/>
        <w:widowControl/>
        <w:numPr>
          <w:ilvl w:val="0"/>
          <w:numId w:val="0"/>
        </w:numPr>
        <w:suppressLineNumbers w:val="0"/>
        <w:shd w:val="clear" w:fill="FFFFFF"/>
        <w:spacing w:before="15" w:beforeAutospacing="0" w:after="15" w:afterAutospacing="0" w:line="420" w:lineRule="atLeast"/>
        <w:ind w:left="420" w:leftChars="0"/>
        <w:jc w:val="left"/>
        <w:rPr>
          <w:color w:val="333333"/>
        </w:rPr>
      </w:pPr>
      <w:r>
        <w:rPr>
          <w:rFonts w:hint="eastAsia" w:cs="宋体"/>
          <w:sz w:val="24"/>
          <w:szCs w:val="24"/>
          <w:shd w:val="clear" w:fill="FFFFFF"/>
          <w:lang w:val="en-US" w:eastAsia="zh-CN"/>
        </w:rPr>
        <w:t>7、</w:t>
      </w:r>
      <w:r>
        <w:rPr>
          <w:rFonts w:hint="eastAsia" w:ascii="宋体" w:hAnsi="宋体" w:eastAsia="宋体" w:cs="宋体"/>
          <w:sz w:val="24"/>
          <w:szCs w:val="24"/>
          <w:shd w:val="clear" w:fill="FFFFFF"/>
          <w:lang w:val="en-US" w:eastAsia="zh-CN"/>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Pr>
          <w:rFonts w:hint="eastAsia"/>
          <w:color w:val="333333"/>
          <w:shd w:val="clear" w:color="auto" w:fill="FFFFFF"/>
        </w:rPr>
        <w:t> </w:t>
      </w:r>
    </w:p>
    <w:p>
      <w:pPr>
        <w:widowControl/>
        <w:shd w:val="clear" w:color="auto" w:fill="FFFFFF"/>
        <w:spacing w:line="480" w:lineRule="auto"/>
        <w:ind w:firstLine="480"/>
        <w:rPr>
          <w:rFonts w:ascii="Helvetica" w:hAnsi="Helvetica" w:eastAsia="微软雅黑" w:cs="Helvetica"/>
          <w:color w:val="333333"/>
          <w:kern w:val="0"/>
          <w:sz w:val="27"/>
          <w:szCs w:val="27"/>
        </w:rPr>
      </w:pPr>
      <w:r>
        <w:rPr>
          <w:rFonts w:hint="eastAsia" w:ascii="Helvetica" w:hAnsi="Helvetica" w:eastAsia="微软雅黑" w:cs="Helvetica"/>
          <w:color w:val="333333"/>
          <w:kern w:val="0"/>
          <w:sz w:val="27"/>
          <w:szCs w:val="27"/>
        </w:rPr>
        <w:t xml:space="preserve">  </w:t>
      </w:r>
    </w:p>
    <w:p>
      <w:pPr>
        <w:rPr>
          <w:rFonts w:ascii="宋体" w:hAnsi="宋体" w:eastAsia="宋体" w:cs="宋体"/>
          <w:color w:val="333333"/>
          <w:kern w:val="0"/>
          <w:sz w:val="24"/>
          <w:szCs w:val="24"/>
          <w:shd w:val="clear" w:color="auto" w:fill="FFFFFF"/>
        </w:rPr>
      </w:pPr>
      <w:r>
        <w:rPr>
          <w:rFonts w:hint="eastAsia"/>
        </w:rPr>
        <w:t xml:space="preserve">                                                  </w:t>
      </w:r>
      <w:r>
        <w:rPr>
          <w:rFonts w:hint="eastAsia" w:ascii="宋体" w:hAnsi="宋体" w:eastAsia="宋体" w:cs="宋体"/>
          <w:color w:val="333333"/>
          <w:kern w:val="0"/>
          <w:sz w:val="24"/>
          <w:szCs w:val="24"/>
          <w:shd w:val="clear" w:color="auto" w:fill="FFFFFF"/>
        </w:rPr>
        <w:t xml:space="preserve">   </w:t>
      </w:r>
    </w:p>
    <w:p>
      <w:pPr>
        <w:ind w:firstLine="5520" w:firstLineChars="2300"/>
        <w:rPr>
          <w:rFonts w:ascii="宋体" w:hAnsi="宋体" w:eastAsia="宋体" w:cs="宋体"/>
          <w:color w:val="333333"/>
          <w:kern w:val="0"/>
          <w:sz w:val="24"/>
          <w:szCs w:val="24"/>
          <w:shd w:val="clear" w:color="auto" w:fill="FFFFFF"/>
        </w:rPr>
      </w:pPr>
      <w:r>
        <w:rPr>
          <w:rFonts w:hint="eastAsia" w:ascii="宋体" w:hAnsi="宋体" w:eastAsia="宋体" w:cs="宋体"/>
          <w:color w:val="333333"/>
          <w:kern w:val="0"/>
          <w:sz w:val="24"/>
          <w:szCs w:val="24"/>
          <w:shd w:val="clear" w:color="auto" w:fill="FFFFFF"/>
        </w:rPr>
        <w:t>湘潭县司法局</w:t>
      </w:r>
    </w:p>
    <w:p>
      <w:pPr>
        <w:rPr>
          <w:rFonts w:ascii="宋体" w:hAnsi="宋体" w:eastAsia="宋体" w:cs="宋体"/>
          <w:color w:val="333333"/>
          <w:kern w:val="0"/>
          <w:sz w:val="24"/>
          <w:szCs w:val="24"/>
          <w:shd w:val="clear" w:color="auto" w:fill="FFFFFF"/>
        </w:rPr>
      </w:pPr>
      <w:r>
        <w:rPr>
          <w:rFonts w:hint="eastAsia" w:ascii="宋体" w:hAnsi="宋体" w:eastAsia="宋体" w:cs="宋体"/>
          <w:color w:val="333333"/>
          <w:kern w:val="0"/>
          <w:sz w:val="24"/>
          <w:szCs w:val="24"/>
          <w:shd w:val="clear" w:color="auto" w:fill="FFFFFF"/>
        </w:rPr>
        <w:t xml:space="preserve">                                                   </w:t>
      </w:r>
    </w:p>
    <w:p>
      <w:pPr>
        <w:ind w:firstLine="5280" w:firstLineChars="2200"/>
        <w:rPr>
          <w:rFonts w:ascii="宋体" w:hAnsi="宋体" w:eastAsia="宋体" w:cs="宋体"/>
          <w:color w:val="333333"/>
          <w:kern w:val="0"/>
          <w:sz w:val="24"/>
          <w:szCs w:val="24"/>
          <w:shd w:val="clear" w:color="auto" w:fill="FFFFFF"/>
        </w:rPr>
      </w:pPr>
      <w:r>
        <w:rPr>
          <w:rFonts w:hint="eastAsia" w:ascii="宋体" w:hAnsi="宋体" w:eastAsia="宋体" w:cs="宋体"/>
          <w:color w:val="333333"/>
          <w:kern w:val="0"/>
          <w:sz w:val="24"/>
          <w:szCs w:val="24"/>
          <w:shd w:val="clear" w:color="auto" w:fill="FFFFFF"/>
        </w:rPr>
        <w:t xml:space="preserve"> 2019年7月18日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inherit">
    <w:altName w:val="Times New Roman"/>
    <w:panose1 w:val="00000000000000000000"/>
    <w:charset w:val="00"/>
    <w:family w:val="roman"/>
    <w:pitch w:val="default"/>
    <w:sig w:usb0="00000000" w:usb1="00000000" w:usb2="00000000" w:usb3="00000000" w:csb0="00000000" w:csb1="00000000"/>
  </w:font>
  <w:font w:name="Consolas">
    <w:panose1 w:val="020B0609020204030204"/>
    <w:charset w:val="00"/>
    <w:family w:val="modern"/>
    <w:pitch w:val="default"/>
    <w:sig w:usb0="E00006FF" w:usb1="0000FCFF" w:usb2="00000001" w:usb3="00000000" w:csb0="6000019F" w:csb1="DFD70000"/>
  </w:font>
  <w:font w:name="Helvetica">
    <w:altName w:val="Arial"/>
    <w:panose1 w:val="020B0604020202020204"/>
    <w:charset w:val="00"/>
    <w:family w:val="swiss"/>
    <w:pitch w:val="default"/>
    <w:sig w:usb0="00000000" w:usb1="00000000" w:usb2="00000009" w:usb3="00000000" w:csb0="000001FF" w:csb1="00000000"/>
  </w:font>
  <w:font w:name="微软雅黑">
    <w:panose1 w:val="020B0503020204020204"/>
    <w:charset w:val="86"/>
    <w:family w:val="swiss"/>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604C84"/>
    <w:multiLevelType w:val="singleLevel"/>
    <w:tmpl w:val="F7604C84"/>
    <w:lvl w:ilvl="0" w:tentative="0">
      <w:start w:val="1"/>
      <w:numFmt w:val="decimal"/>
      <w:lvlText w:val="%1."/>
      <w:lvlJc w:val="left"/>
      <w:pPr>
        <w:tabs>
          <w:tab w:val="left" w:pos="312"/>
        </w:tabs>
      </w:pPr>
    </w:lvl>
  </w:abstractNum>
  <w:abstractNum w:abstractNumId="1">
    <w:nsid w:val="201C2351"/>
    <w:multiLevelType w:val="singleLevel"/>
    <w:tmpl w:val="201C2351"/>
    <w:lvl w:ilvl="0" w:tentative="0">
      <w:start w:val="1"/>
      <w:numFmt w:val="chineseCounting"/>
      <w:suff w:val="nothing"/>
      <w:lvlText w:val="%1、"/>
      <w:lvlJc w:val="left"/>
      <w:pPr>
        <w:ind w:left="-62"/>
      </w:pPr>
      <w:rPr>
        <w:rFonts w:hint="eastAsia"/>
      </w:rPr>
    </w:lvl>
  </w:abstractNum>
  <w:abstractNum w:abstractNumId="2">
    <w:nsid w:val="43DCABFF"/>
    <w:multiLevelType w:val="singleLevel"/>
    <w:tmpl w:val="43DCABFF"/>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iZjBhZWVjNDRlNGEyNzkzZjJkOWQxM2UwZGJiYjcifQ=="/>
  </w:docVars>
  <w:rsids>
    <w:rsidRoot w:val="00276780"/>
    <w:rsid w:val="0010639A"/>
    <w:rsid w:val="00136569"/>
    <w:rsid w:val="00276780"/>
    <w:rsid w:val="002A5DC1"/>
    <w:rsid w:val="00700E31"/>
    <w:rsid w:val="0082074F"/>
    <w:rsid w:val="00887DD0"/>
    <w:rsid w:val="009C1475"/>
    <w:rsid w:val="00B01FF1"/>
    <w:rsid w:val="00EA011D"/>
    <w:rsid w:val="010E5BD4"/>
    <w:rsid w:val="01D62D05"/>
    <w:rsid w:val="022323BB"/>
    <w:rsid w:val="06B41BD8"/>
    <w:rsid w:val="074D6936"/>
    <w:rsid w:val="080214AA"/>
    <w:rsid w:val="08BE1F31"/>
    <w:rsid w:val="09B17AAF"/>
    <w:rsid w:val="09FB4770"/>
    <w:rsid w:val="0A1135E2"/>
    <w:rsid w:val="0B2851AB"/>
    <w:rsid w:val="0C1C3BA4"/>
    <w:rsid w:val="0D6B3F67"/>
    <w:rsid w:val="0DE53222"/>
    <w:rsid w:val="0DF00846"/>
    <w:rsid w:val="0E5B577D"/>
    <w:rsid w:val="11897AFB"/>
    <w:rsid w:val="11C03E99"/>
    <w:rsid w:val="12CD2F8F"/>
    <w:rsid w:val="13764467"/>
    <w:rsid w:val="14AD04D0"/>
    <w:rsid w:val="159651C9"/>
    <w:rsid w:val="15C7555A"/>
    <w:rsid w:val="17510530"/>
    <w:rsid w:val="181E39A4"/>
    <w:rsid w:val="189945A2"/>
    <w:rsid w:val="18E9329D"/>
    <w:rsid w:val="19436A94"/>
    <w:rsid w:val="1A093483"/>
    <w:rsid w:val="1A71088F"/>
    <w:rsid w:val="1AA34F4F"/>
    <w:rsid w:val="1B470CC9"/>
    <w:rsid w:val="1C4C7958"/>
    <w:rsid w:val="1D68282F"/>
    <w:rsid w:val="1E0953EB"/>
    <w:rsid w:val="20476A7A"/>
    <w:rsid w:val="212446F5"/>
    <w:rsid w:val="21300B40"/>
    <w:rsid w:val="21F3097D"/>
    <w:rsid w:val="222E1B0A"/>
    <w:rsid w:val="23051478"/>
    <w:rsid w:val="231F3B77"/>
    <w:rsid w:val="23F13765"/>
    <w:rsid w:val="23FD324E"/>
    <w:rsid w:val="24DF5250"/>
    <w:rsid w:val="252D7AE5"/>
    <w:rsid w:val="25D04F31"/>
    <w:rsid w:val="262D6833"/>
    <w:rsid w:val="26A7004D"/>
    <w:rsid w:val="26D47B71"/>
    <w:rsid w:val="28536BF9"/>
    <w:rsid w:val="288025C6"/>
    <w:rsid w:val="292826EE"/>
    <w:rsid w:val="29CB234D"/>
    <w:rsid w:val="2AB3667D"/>
    <w:rsid w:val="2B941925"/>
    <w:rsid w:val="2C31785B"/>
    <w:rsid w:val="2C911931"/>
    <w:rsid w:val="2CA2628E"/>
    <w:rsid w:val="2D237BE1"/>
    <w:rsid w:val="2EED370B"/>
    <w:rsid w:val="2F08438F"/>
    <w:rsid w:val="2F366181"/>
    <w:rsid w:val="2F813889"/>
    <w:rsid w:val="30846B4D"/>
    <w:rsid w:val="30F35AEC"/>
    <w:rsid w:val="312E13D1"/>
    <w:rsid w:val="337A67C1"/>
    <w:rsid w:val="345C113D"/>
    <w:rsid w:val="352970E3"/>
    <w:rsid w:val="3584432B"/>
    <w:rsid w:val="366A1392"/>
    <w:rsid w:val="36E46DED"/>
    <w:rsid w:val="374F74A3"/>
    <w:rsid w:val="375D5810"/>
    <w:rsid w:val="37F3396E"/>
    <w:rsid w:val="381E307F"/>
    <w:rsid w:val="381F6014"/>
    <w:rsid w:val="3AD26210"/>
    <w:rsid w:val="3BA223B4"/>
    <w:rsid w:val="3C0D79A5"/>
    <w:rsid w:val="3CDB0EF9"/>
    <w:rsid w:val="3E78454E"/>
    <w:rsid w:val="3EA475BC"/>
    <w:rsid w:val="3FD55C32"/>
    <w:rsid w:val="40047886"/>
    <w:rsid w:val="4040685C"/>
    <w:rsid w:val="40D334C3"/>
    <w:rsid w:val="411452A8"/>
    <w:rsid w:val="426363F0"/>
    <w:rsid w:val="42896697"/>
    <w:rsid w:val="45641B44"/>
    <w:rsid w:val="45C0642B"/>
    <w:rsid w:val="46E8530B"/>
    <w:rsid w:val="47E2253B"/>
    <w:rsid w:val="47F832E5"/>
    <w:rsid w:val="48AA5457"/>
    <w:rsid w:val="49A9735D"/>
    <w:rsid w:val="4B056B82"/>
    <w:rsid w:val="4B255F12"/>
    <w:rsid w:val="4B67337F"/>
    <w:rsid w:val="4C063713"/>
    <w:rsid w:val="4C3351B9"/>
    <w:rsid w:val="4C847E3A"/>
    <w:rsid w:val="4CA1392D"/>
    <w:rsid w:val="4D997EAA"/>
    <w:rsid w:val="4FDE4F1D"/>
    <w:rsid w:val="5177580F"/>
    <w:rsid w:val="51E10FEF"/>
    <w:rsid w:val="53A74FCC"/>
    <w:rsid w:val="5401095F"/>
    <w:rsid w:val="54115DEF"/>
    <w:rsid w:val="55A83B5E"/>
    <w:rsid w:val="55F3161D"/>
    <w:rsid w:val="56E64CE1"/>
    <w:rsid w:val="57F04B07"/>
    <w:rsid w:val="5A0813C5"/>
    <w:rsid w:val="5A310367"/>
    <w:rsid w:val="5A782AE5"/>
    <w:rsid w:val="5A893F8E"/>
    <w:rsid w:val="5EE30549"/>
    <w:rsid w:val="60B52FCC"/>
    <w:rsid w:val="61BB4823"/>
    <w:rsid w:val="62493EEF"/>
    <w:rsid w:val="62C13B19"/>
    <w:rsid w:val="630C1CAA"/>
    <w:rsid w:val="630C605F"/>
    <w:rsid w:val="63397F8E"/>
    <w:rsid w:val="660F14D1"/>
    <w:rsid w:val="679870DF"/>
    <w:rsid w:val="6A2B2431"/>
    <w:rsid w:val="6CFE19EF"/>
    <w:rsid w:val="6F874DBD"/>
    <w:rsid w:val="6FE503ED"/>
    <w:rsid w:val="7058696D"/>
    <w:rsid w:val="70764B35"/>
    <w:rsid w:val="71B30610"/>
    <w:rsid w:val="72A45091"/>
    <w:rsid w:val="72AD73C8"/>
    <w:rsid w:val="746A112F"/>
    <w:rsid w:val="752B3C17"/>
    <w:rsid w:val="754E0812"/>
    <w:rsid w:val="7698440A"/>
    <w:rsid w:val="7795707D"/>
    <w:rsid w:val="791C5E4A"/>
    <w:rsid w:val="793B5A72"/>
    <w:rsid w:val="799A4258"/>
    <w:rsid w:val="7A4970E8"/>
    <w:rsid w:val="7B6B36D4"/>
    <w:rsid w:val="7BDC7207"/>
    <w:rsid w:val="7C8952E7"/>
    <w:rsid w:val="7CB01558"/>
    <w:rsid w:val="7E3938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20"/>
    <w:qFormat/>
    <w:uiPriority w:val="9"/>
    <w:pPr>
      <w:widowControl/>
      <w:jc w:val="left"/>
      <w:outlineLvl w:val="1"/>
    </w:pPr>
    <w:rPr>
      <w:rFonts w:ascii="inherit" w:hAnsi="inherit" w:eastAsia="宋体" w:cs="宋体"/>
      <w:kern w:val="0"/>
      <w:sz w:val="24"/>
      <w:szCs w:val="24"/>
    </w:rPr>
  </w:style>
  <w:style w:type="paragraph" w:styleId="3">
    <w:name w:val="heading 4"/>
    <w:basedOn w:val="1"/>
    <w:next w:val="1"/>
    <w:semiHidden/>
    <w:unhideWhenUsed/>
    <w:qFormat/>
    <w:uiPriority w:val="9"/>
    <w:pPr>
      <w:spacing w:line="17" w:lineRule="atLeast"/>
      <w:jc w:val="left"/>
      <w:outlineLvl w:val="3"/>
    </w:pPr>
    <w:rPr>
      <w:rFonts w:hint="eastAsia" w:ascii="宋体" w:hAnsi="宋体" w:eastAsia="宋体" w:cs="Times New Roman"/>
      <w:kern w:val="0"/>
      <w:sz w:val="27"/>
      <w:szCs w:val="27"/>
    </w:rPr>
  </w:style>
  <w:style w:type="paragraph" w:styleId="4">
    <w:name w:val="heading 6"/>
    <w:basedOn w:val="1"/>
    <w:next w:val="1"/>
    <w:link w:val="21"/>
    <w:qFormat/>
    <w:uiPriority w:val="9"/>
    <w:pPr>
      <w:widowControl/>
      <w:jc w:val="left"/>
      <w:outlineLvl w:val="5"/>
    </w:pPr>
    <w:rPr>
      <w:rFonts w:ascii="inherit" w:hAnsi="inherit" w:eastAsia="宋体" w:cs="宋体"/>
      <w:kern w:val="0"/>
      <w:sz w:val="24"/>
      <w:szCs w:val="2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31"/>
    <w:semiHidden/>
    <w:unhideWhenUsed/>
    <w:qFormat/>
    <w:uiPriority w:val="99"/>
    <w:pPr>
      <w:jc w:val="left"/>
    </w:pPr>
  </w:style>
  <w:style w:type="paragraph" w:styleId="6">
    <w:name w:val="Balloon Text"/>
    <w:basedOn w:val="1"/>
    <w:link w:val="22"/>
    <w:semiHidden/>
    <w:unhideWhenUsed/>
    <w:qFormat/>
    <w:uiPriority w:val="99"/>
    <w:rPr>
      <w:sz w:val="18"/>
      <w:szCs w:val="18"/>
    </w:rPr>
  </w:style>
  <w:style w:type="paragraph" w:styleId="7">
    <w:name w:val="Normal (Web)"/>
    <w:basedOn w:val="1"/>
    <w:semiHidden/>
    <w:unhideWhenUsed/>
    <w:qFormat/>
    <w:uiPriority w:val="99"/>
    <w:pPr>
      <w:widowControl/>
      <w:jc w:val="left"/>
    </w:pPr>
    <w:rPr>
      <w:rFonts w:ascii="宋体" w:hAnsi="宋体" w:eastAsia="宋体" w:cs="宋体"/>
      <w:kern w:val="0"/>
      <w:sz w:val="24"/>
      <w:szCs w:val="24"/>
    </w:rPr>
  </w:style>
  <w:style w:type="paragraph" w:styleId="8">
    <w:name w:val="annotation subject"/>
    <w:basedOn w:val="5"/>
    <w:next w:val="5"/>
    <w:link w:val="32"/>
    <w:semiHidden/>
    <w:unhideWhenUsed/>
    <w:qFormat/>
    <w:uiPriority w:val="99"/>
    <w:rPr>
      <w:b/>
      <w:bCs/>
    </w:rPr>
  </w:style>
  <w:style w:type="character" w:styleId="11">
    <w:name w:val="Strong"/>
    <w:basedOn w:val="10"/>
    <w:qFormat/>
    <w:uiPriority w:val="22"/>
    <w:rPr>
      <w:b/>
      <w:bCs/>
    </w:rPr>
  </w:style>
  <w:style w:type="character" w:styleId="12">
    <w:name w:val="FollowedHyperlink"/>
    <w:basedOn w:val="10"/>
    <w:semiHidden/>
    <w:unhideWhenUsed/>
    <w:qFormat/>
    <w:uiPriority w:val="99"/>
    <w:rPr>
      <w:color w:val="333333"/>
      <w:u w:val="none"/>
    </w:rPr>
  </w:style>
  <w:style w:type="character" w:styleId="13">
    <w:name w:val="Emphasis"/>
    <w:basedOn w:val="10"/>
    <w:qFormat/>
    <w:uiPriority w:val="20"/>
  </w:style>
  <w:style w:type="character" w:styleId="14">
    <w:name w:val="HTML Definition"/>
    <w:basedOn w:val="10"/>
    <w:semiHidden/>
    <w:unhideWhenUsed/>
    <w:qFormat/>
    <w:uiPriority w:val="99"/>
    <w:rPr>
      <w:i/>
      <w:iCs/>
    </w:rPr>
  </w:style>
  <w:style w:type="character" w:styleId="15">
    <w:name w:val="Hyperlink"/>
    <w:basedOn w:val="10"/>
    <w:semiHidden/>
    <w:unhideWhenUsed/>
    <w:qFormat/>
    <w:uiPriority w:val="99"/>
    <w:rPr>
      <w:color w:val="333333"/>
      <w:u w:val="none"/>
      <w:shd w:val="clear" w:color="auto" w:fill="auto"/>
    </w:rPr>
  </w:style>
  <w:style w:type="character" w:styleId="16">
    <w:name w:val="HTML Code"/>
    <w:basedOn w:val="10"/>
    <w:semiHidden/>
    <w:unhideWhenUsed/>
    <w:qFormat/>
    <w:uiPriority w:val="99"/>
    <w:rPr>
      <w:rFonts w:ascii="Consolas" w:hAnsi="Consolas" w:eastAsia="Consolas" w:cs="Consolas"/>
      <w:color w:val="C7254E"/>
      <w:sz w:val="21"/>
      <w:szCs w:val="21"/>
      <w:shd w:val="clear" w:color="auto" w:fill="F9F2F4"/>
    </w:rPr>
  </w:style>
  <w:style w:type="character" w:styleId="17">
    <w:name w:val="annotation reference"/>
    <w:basedOn w:val="10"/>
    <w:semiHidden/>
    <w:unhideWhenUsed/>
    <w:qFormat/>
    <w:uiPriority w:val="99"/>
    <w:rPr>
      <w:sz w:val="21"/>
      <w:szCs w:val="21"/>
    </w:rPr>
  </w:style>
  <w:style w:type="character" w:styleId="18">
    <w:name w:val="HTML Keyboard"/>
    <w:basedOn w:val="10"/>
    <w:semiHidden/>
    <w:unhideWhenUsed/>
    <w:qFormat/>
    <w:uiPriority w:val="99"/>
    <w:rPr>
      <w:rFonts w:hint="default" w:ascii="Consolas" w:hAnsi="Consolas" w:eastAsia="Consolas" w:cs="Consolas"/>
      <w:color w:val="FFFFFF"/>
      <w:sz w:val="21"/>
      <w:szCs w:val="21"/>
      <w:shd w:val="clear" w:color="auto" w:fill="333333"/>
    </w:rPr>
  </w:style>
  <w:style w:type="character" w:styleId="19">
    <w:name w:val="HTML Sample"/>
    <w:basedOn w:val="10"/>
    <w:semiHidden/>
    <w:unhideWhenUsed/>
    <w:qFormat/>
    <w:uiPriority w:val="99"/>
    <w:rPr>
      <w:rFonts w:hint="default" w:ascii="Consolas" w:hAnsi="Consolas" w:eastAsia="Consolas" w:cs="Consolas"/>
      <w:sz w:val="21"/>
      <w:szCs w:val="21"/>
    </w:rPr>
  </w:style>
  <w:style w:type="character" w:customStyle="1" w:styleId="20">
    <w:name w:val="标题 2 Char"/>
    <w:basedOn w:val="10"/>
    <w:link w:val="2"/>
    <w:qFormat/>
    <w:uiPriority w:val="9"/>
    <w:rPr>
      <w:rFonts w:ascii="inherit" w:hAnsi="inherit" w:eastAsia="宋体" w:cs="宋体"/>
      <w:kern w:val="0"/>
      <w:sz w:val="24"/>
      <w:szCs w:val="24"/>
    </w:rPr>
  </w:style>
  <w:style w:type="character" w:customStyle="1" w:styleId="21">
    <w:name w:val="标题 6 Char"/>
    <w:basedOn w:val="10"/>
    <w:link w:val="4"/>
    <w:qFormat/>
    <w:uiPriority w:val="9"/>
    <w:rPr>
      <w:rFonts w:ascii="inherit" w:hAnsi="inherit" w:eastAsia="宋体" w:cs="宋体"/>
      <w:kern w:val="0"/>
      <w:sz w:val="24"/>
      <w:szCs w:val="24"/>
    </w:rPr>
  </w:style>
  <w:style w:type="character" w:customStyle="1" w:styleId="22">
    <w:name w:val="批注框文本 Char"/>
    <w:basedOn w:val="10"/>
    <w:link w:val="6"/>
    <w:semiHidden/>
    <w:qFormat/>
    <w:uiPriority w:val="99"/>
    <w:rPr>
      <w:sz w:val="18"/>
      <w:szCs w:val="18"/>
    </w:rPr>
  </w:style>
  <w:style w:type="character" w:customStyle="1" w:styleId="23">
    <w:name w:val="time"/>
    <w:basedOn w:val="10"/>
    <w:qFormat/>
    <w:uiPriority w:val="0"/>
    <w:rPr>
      <w:rFonts w:ascii="Arial" w:hAnsi="Arial" w:cs="Arial"/>
    </w:rPr>
  </w:style>
  <w:style w:type="character" w:customStyle="1" w:styleId="24">
    <w:name w:val="zjj"/>
    <w:basedOn w:val="10"/>
    <w:qFormat/>
    <w:uiPriority w:val="0"/>
  </w:style>
  <w:style w:type="character" w:customStyle="1" w:styleId="25">
    <w:name w:val="zjj1"/>
    <w:basedOn w:val="10"/>
    <w:qFormat/>
    <w:uiPriority w:val="0"/>
  </w:style>
  <w:style w:type="character" w:customStyle="1" w:styleId="26">
    <w:name w:val="wx-space"/>
    <w:basedOn w:val="10"/>
    <w:qFormat/>
    <w:uiPriority w:val="0"/>
  </w:style>
  <w:style w:type="character" w:customStyle="1" w:styleId="27">
    <w:name w:val="wx-space1"/>
    <w:basedOn w:val="10"/>
    <w:qFormat/>
    <w:uiPriority w:val="0"/>
  </w:style>
  <w:style w:type="character" w:customStyle="1" w:styleId="28">
    <w:name w:val="select2-selection__rendered"/>
    <w:basedOn w:val="10"/>
    <w:qFormat/>
    <w:uiPriority w:val="0"/>
    <w:rPr>
      <w:sz w:val="18"/>
      <w:szCs w:val="18"/>
    </w:rPr>
  </w:style>
  <w:style w:type="character" w:customStyle="1" w:styleId="29">
    <w:name w:val="hover17"/>
    <w:basedOn w:val="10"/>
    <w:qFormat/>
    <w:uiPriority w:val="0"/>
    <w:rPr>
      <w:color w:val="000000"/>
      <w:shd w:val="clear" w:color="auto" w:fill="FFFFFF"/>
    </w:rPr>
  </w:style>
  <w:style w:type="character" w:customStyle="1" w:styleId="30">
    <w:name w:val="bsharetext"/>
    <w:basedOn w:val="10"/>
    <w:qFormat/>
    <w:uiPriority w:val="0"/>
  </w:style>
  <w:style w:type="character" w:customStyle="1" w:styleId="31">
    <w:name w:val="批注文字 Char"/>
    <w:basedOn w:val="10"/>
    <w:link w:val="5"/>
    <w:semiHidden/>
    <w:qFormat/>
    <w:uiPriority w:val="99"/>
    <w:rPr>
      <w:rFonts w:asciiTheme="minorHAnsi" w:hAnsiTheme="minorHAnsi" w:eastAsiaTheme="minorEastAsia" w:cstheme="minorBidi"/>
      <w:kern w:val="2"/>
      <w:sz w:val="21"/>
      <w:szCs w:val="22"/>
    </w:rPr>
  </w:style>
  <w:style w:type="character" w:customStyle="1" w:styleId="32">
    <w:name w:val="批注主题 Char"/>
    <w:basedOn w:val="31"/>
    <w:link w:val="8"/>
    <w:semiHidden/>
    <w:qFormat/>
    <w:uiPriority w:val="99"/>
    <w:rPr>
      <w:b/>
      <w:bCs/>
    </w:rPr>
  </w:style>
  <w:style w:type="character" w:customStyle="1" w:styleId="33">
    <w:name w:val="hover8"/>
    <w:basedOn w:val="10"/>
    <w:qFormat/>
    <w:uiPriority w:val="0"/>
    <w:rPr>
      <w:color w:val="015293"/>
      <w:u w:val="none"/>
    </w:rPr>
  </w:style>
  <w:style w:type="character" w:customStyle="1" w:styleId="34">
    <w:name w:val="hover9"/>
    <w:basedOn w:val="10"/>
    <w:qFormat/>
    <w:uiPriority w:val="0"/>
    <w:rPr>
      <w:color w:val="015293"/>
      <w:u w:val="none"/>
    </w:rPr>
  </w:style>
  <w:style w:type="character" w:customStyle="1" w:styleId="35">
    <w:name w:val="hover10"/>
    <w:basedOn w:val="10"/>
    <w:qFormat/>
    <w:uiPriority w:val="0"/>
    <w:rPr>
      <w:color w:val="015293"/>
      <w:u w:val="none"/>
    </w:rPr>
  </w:style>
  <w:style w:type="character" w:customStyle="1" w:styleId="36">
    <w:name w:val="hover11"/>
    <w:basedOn w:val="10"/>
    <w:qFormat/>
    <w:uiPriority w:val="0"/>
    <w:rPr>
      <w:color w:val="015293"/>
      <w:u w:val="none"/>
    </w:rPr>
  </w:style>
  <w:style w:type="character" w:customStyle="1" w:styleId="37">
    <w:name w:val="hover12"/>
    <w:basedOn w:val="10"/>
    <w:qFormat/>
    <w:uiPriority w:val="0"/>
    <w:rPr>
      <w:color w:val="015293"/>
      <w:u w:val="none"/>
    </w:rPr>
  </w:style>
  <w:style w:type="character" w:customStyle="1" w:styleId="38">
    <w:name w:val="on27"/>
    <w:basedOn w:val="10"/>
    <w:qFormat/>
    <w:uiPriority w:val="0"/>
    <w:rPr>
      <w:b/>
      <w:bCs/>
      <w:color w:val="015293"/>
      <w:sz w:val="24"/>
      <w:szCs w:val="24"/>
      <w:u w:val="none"/>
    </w:rPr>
  </w:style>
  <w:style w:type="character" w:customStyle="1" w:styleId="39">
    <w:name w:val="on28"/>
    <w:basedOn w:val="10"/>
    <w:qFormat/>
    <w:uiPriority w:val="0"/>
    <w:rPr>
      <w:b/>
      <w:bCs/>
      <w:color w:val="015293"/>
      <w:sz w:val="24"/>
      <w:szCs w:val="24"/>
      <w:u w:val="none"/>
    </w:rPr>
  </w:style>
  <w:style w:type="character" w:customStyle="1" w:styleId="40">
    <w:name w:val="on29"/>
    <w:basedOn w:val="10"/>
    <w:qFormat/>
    <w:uiPriority w:val="0"/>
    <w:rPr>
      <w:b/>
      <w:bCs/>
      <w:color w:val="015293"/>
      <w:sz w:val="24"/>
      <w:szCs w:val="24"/>
      <w:u w:val="none"/>
    </w:rPr>
  </w:style>
  <w:style w:type="character" w:customStyle="1" w:styleId="41">
    <w:name w:val="on30"/>
    <w:basedOn w:val="10"/>
    <w:qFormat/>
    <w:uiPriority w:val="0"/>
    <w:rPr>
      <w:b/>
      <w:bCs/>
      <w:color w:val="015293"/>
      <w:sz w:val="24"/>
      <w:szCs w:val="24"/>
      <w:u w:val="none"/>
    </w:rPr>
  </w:style>
  <w:style w:type="character" w:customStyle="1" w:styleId="42">
    <w:name w:val="on31"/>
    <w:basedOn w:val="10"/>
    <w:qFormat/>
    <w:uiPriority w:val="0"/>
    <w:rPr>
      <w:b/>
      <w:bCs/>
      <w:color w:val="015293"/>
      <w:sz w:val="24"/>
      <w:szCs w:val="24"/>
      <w:u w:val="none"/>
    </w:rPr>
  </w:style>
  <w:style w:type="character" w:customStyle="1" w:styleId="43">
    <w:name w:val="emai2"/>
    <w:basedOn w:val="10"/>
    <w:qFormat/>
    <w:uiPriority w:val="0"/>
  </w:style>
  <w:style w:type="character" w:customStyle="1" w:styleId="44">
    <w:name w:val="end"/>
    <w:basedOn w:val="10"/>
    <w:qFormat/>
    <w:uiPriority w:val="0"/>
    <w:rPr>
      <w:shd w:val="clear" w:color="auto" w:fill="AAAAAA"/>
    </w:rPr>
  </w:style>
  <w:style w:type="character" w:customStyle="1" w:styleId="45">
    <w:name w:val="pink2"/>
    <w:basedOn w:val="10"/>
    <w:qFormat/>
    <w:uiPriority w:val="0"/>
    <w:rPr>
      <w:shd w:val="clear" w:color="auto" w:fill="CD0000"/>
    </w:rPr>
  </w:style>
  <w:style w:type="paragraph" w:customStyle="1" w:styleId="46">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10067</Words>
  <Characters>11060</Characters>
  <Lines>82</Lines>
  <Paragraphs>23</Paragraphs>
  <TotalTime>16</TotalTime>
  <ScaleCrop>false</ScaleCrop>
  <LinksUpToDate>false</LinksUpToDate>
  <CharactersWithSpaces>11795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2021-06-22T09:37:00Z</dcterms:created>
  <dc:creator>Administrator</dc:creator>
  <cp:lastModifiedBy>Administrator</cp:lastModifiedBy>
  <cp:lastPrinted>2021-07-01T08:42:00Z</cp:lastPrinted>
  <dcterms:modified xsi:type="dcterms:W3CDTF">2023-03-29T07:19:53Z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9FF49E68C2A54F65AD8CF03A3EC1CB58</vt:lpwstr>
  </property>
</Properties>
</file>