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both"/>
        <w:rPr>
          <w:sz w:val="32"/>
          <w:szCs w:val="32"/>
        </w:rPr>
      </w:pPr>
    </w:p>
    <w:p>
      <w:pPr>
        <w:widowControl/>
        <w:spacing w:line="600" w:lineRule="exact"/>
        <w:jc w:val="center"/>
        <w:rPr>
          <w:b/>
          <w:sz w:val="36"/>
          <w:szCs w:val="28"/>
        </w:rPr>
      </w:pPr>
      <w:r>
        <w:rPr>
          <w:rFonts w:hint="eastAsia" w:ascii="黑体" w:hAnsi="黑体" w:eastAsia="黑体" w:cs="黑体"/>
          <w:b/>
          <w:bCs w:val="0"/>
          <w:kern w:val="0"/>
          <w:sz w:val="44"/>
          <w:szCs w:val="44"/>
          <w:lang w:val="en-US" w:eastAsia="zh-CN"/>
        </w:rPr>
        <w:t>2020</w:t>
      </w:r>
      <w:r>
        <w:rPr>
          <w:rFonts w:hint="eastAsia" w:ascii="黑体" w:hAnsi="黑体" w:eastAsia="黑体" w:cs="黑体"/>
          <w:b/>
          <w:bCs w:val="0"/>
          <w:kern w:val="0"/>
          <w:sz w:val="44"/>
          <w:szCs w:val="44"/>
        </w:rPr>
        <w:t>年</w:t>
      </w:r>
      <w:r>
        <w:rPr>
          <w:rFonts w:hint="eastAsia" w:ascii="黑体" w:hAnsi="黑体" w:eastAsia="黑体" w:cs="黑体"/>
          <w:b/>
          <w:bCs w:val="0"/>
          <w:kern w:val="0"/>
          <w:sz w:val="44"/>
          <w:szCs w:val="44"/>
          <w:lang w:val="en-US" w:eastAsia="zh-CN"/>
        </w:rPr>
        <w:t>谭家山镇人民政府</w:t>
      </w:r>
      <w:r>
        <w:rPr>
          <w:rFonts w:hint="eastAsia" w:ascii="黑体" w:hAnsi="黑体" w:eastAsia="黑体" w:cs="黑体"/>
          <w:b/>
          <w:bCs w:val="0"/>
          <w:kern w:val="0"/>
          <w:sz w:val="44"/>
          <w:szCs w:val="44"/>
        </w:rPr>
        <w:t>部门决算</w:t>
      </w:r>
      <w:r>
        <w:rPr>
          <w:rFonts w:hint="eastAsia" w:ascii="黑体" w:hAnsi="黑体" w:eastAsia="黑体" w:cs="黑体"/>
          <w:b/>
          <w:bCs w:val="0"/>
          <w:kern w:val="0"/>
          <w:sz w:val="44"/>
          <w:szCs w:val="44"/>
          <w:lang w:val="en-US" w:eastAsia="zh-CN"/>
        </w:rPr>
        <w:t>公开</w:t>
      </w:r>
    </w:p>
    <w:p>
      <w:pPr>
        <w:pStyle w:val="13"/>
        <w:spacing w:line="500" w:lineRule="exact"/>
        <w:jc w:val="center"/>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ind w:firstLine="843" w:firstLineChars="300"/>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lang w:eastAsia="zh-CN"/>
        </w:rPr>
        <w:t>谭家山镇人民政府</w:t>
      </w:r>
      <w:r>
        <w:rPr>
          <w:rFonts w:hint="eastAsia"/>
          <w:b/>
          <w:sz w:val="28"/>
          <w:szCs w:val="28"/>
        </w:rPr>
        <w:t>概况</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3"/>
        <w:spacing w:line="500" w:lineRule="exact"/>
        <w:ind w:firstLine="843" w:firstLineChars="300"/>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20年度部门决算表</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3"/>
        <w:spacing w:line="500" w:lineRule="exact"/>
        <w:ind w:firstLine="980" w:firstLineChars="3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3"/>
        <w:spacing w:line="500" w:lineRule="exact"/>
        <w:ind w:firstLine="980" w:firstLineChars="3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3"/>
        <w:spacing w:line="500" w:lineRule="exact"/>
        <w:ind w:firstLine="843" w:firstLineChars="300"/>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20年度部门决算情况说明</w:t>
      </w:r>
    </w:p>
    <w:p>
      <w:pPr>
        <w:pStyle w:val="13"/>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pPr>
        <w:autoSpaceDE w:val="0"/>
        <w:autoSpaceDN w:val="0"/>
        <w:adjustRightInd w:val="0"/>
        <w:spacing w:line="500" w:lineRule="exact"/>
        <w:ind w:firstLine="843" w:firstLineChars="300"/>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ind w:firstLine="843" w:firstLineChars="300"/>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both"/>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widowControl/>
        <w:spacing w:line="600" w:lineRule="exact"/>
        <w:ind w:firstLine="1325" w:firstLineChars="300"/>
        <w:jc w:val="both"/>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 xml:space="preserve">第一部分 </w:t>
      </w:r>
      <w:r>
        <w:rPr>
          <w:rFonts w:hint="eastAsia" w:ascii="黑体" w:hAnsi="黑体" w:eastAsia="黑体" w:cs="黑体"/>
          <w:b/>
          <w:bCs w:val="0"/>
          <w:kern w:val="0"/>
          <w:sz w:val="44"/>
          <w:szCs w:val="44"/>
          <w:lang w:val="en-US" w:eastAsia="zh-CN"/>
        </w:rPr>
        <w:t>谭家山镇人民政府</w:t>
      </w:r>
      <w:r>
        <w:rPr>
          <w:rFonts w:hint="eastAsia" w:ascii="黑体" w:hAnsi="黑体" w:eastAsia="黑体" w:cs="黑体"/>
          <w:b/>
          <w:bCs w:val="0"/>
          <w:kern w:val="0"/>
          <w:sz w:val="44"/>
          <w:szCs w:val="44"/>
        </w:rPr>
        <w:t>部门概况</w:t>
      </w:r>
    </w:p>
    <w:p>
      <w:pPr>
        <w:pStyle w:val="14"/>
        <w:ind w:left="720" w:firstLine="0" w:firstLineChars="0"/>
        <w:jc w:val="left"/>
        <w:rPr>
          <w:rFonts w:hint="default" w:ascii="黑体" w:hAnsi="黑体" w:eastAsia="黑体"/>
          <w:sz w:val="32"/>
          <w:szCs w:val="32"/>
          <w:lang w:val="en-US" w:eastAsia="zh-CN"/>
        </w:rPr>
      </w:pPr>
    </w:p>
    <w:p>
      <w:pPr>
        <w:pStyle w:val="14"/>
        <w:ind w:left="720" w:firstLine="0" w:firstLineChars="0"/>
        <w:jc w:val="left"/>
        <w:rPr>
          <w:rFonts w:ascii="黑体" w:hAnsi="黑体" w:eastAsia="黑体"/>
          <w:sz w:val="32"/>
          <w:szCs w:val="32"/>
        </w:rPr>
      </w:pPr>
    </w:p>
    <w:p>
      <w:pPr>
        <w:pStyle w:val="14"/>
        <w:numPr>
          <w:ilvl w:val="0"/>
          <w:numId w:val="1"/>
        </w:numPr>
        <w:ind w:firstLineChars="0"/>
        <w:jc w:val="left"/>
        <w:rPr>
          <w:rFonts w:ascii="黑体" w:hAnsi="黑体" w:eastAsia="黑体"/>
          <w:sz w:val="32"/>
          <w:szCs w:val="32"/>
        </w:rPr>
      </w:pPr>
      <w:r>
        <w:rPr>
          <w:rFonts w:hint="eastAsia" w:ascii="黑体" w:hAnsi="黑体" w:eastAsia="黑体"/>
          <w:sz w:val="32"/>
          <w:szCs w:val="32"/>
          <w:lang w:val="en-US" w:eastAsia="zh-CN"/>
        </w:rPr>
        <w:t xml:space="preserve"> </w:t>
      </w:r>
      <w:r>
        <w:rPr>
          <w:rFonts w:ascii="黑体" w:hAnsi="黑体" w:eastAsia="黑体"/>
          <w:sz w:val="32"/>
          <w:szCs w:val="32"/>
        </w:rPr>
        <w:t>部门职责</w:t>
      </w:r>
    </w:p>
    <w:p>
      <w:pPr>
        <w:pStyle w:val="14"/>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sz w:val="28"/>
          <w:szCs w:val="32"/>
          <w:lang w:val="en-US" w:eastAsia="zh-CN"/>
        </w:rPr>
        <w:t xml:space="preserve"> </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t>制定和组织实施经济、科技和社会发展计划，制定</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矿区综合治理</w:t>
      </w:r>
      <w:r>
        <w:rPr>
          <w:rFonts w:hint="eastAsia" w:asciiTheme="minorEastAsia" w:hAnsiTheme="minorEastAsia" w:eastAsiaTheme="minorEastAsia" w:cstheme="minorEastAsia"/>
          <w:color w:val="000000" w:themeColor="text1"/>
          <w:sz w:val="32"/>
          <w:szCs w:val="32"/>
          <w14:textFill>
            <w14:solidFill>
              <w14:schemeClr w14:val="tx1"/>
            </w14:solidFill>
          </w14:textFill>
        </w:rPr>
        <w:t>改造和产业结构调整方案，组织指导好各业生产，搞好商品流通，协调好本镇与外地区的经济交流与合作，抓好招商引资，人才引进项目开发，不断培育市场体系，组织经济运行，促进经济发展。</w:t>
      </w:r>
    </w:p>
    <w:p>
      <w:pPr>
        <w:pStyle w:val="14"/>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32"/>
          <w:szCs w:val="32"/>
          <w14:textFill>
            <w14:solidFill>
              <w14:schemeClr w14:val="tx1"/>
            </w14:solidFill>
          </w14:textFill>
        </w:rPr>
        <w:t>制定并组织实施村镇建设规划，部署重点工程建设，地方道路建设及公共设施，水利设施的管理，负责土地、林木、水等自然资源和生态环境的保护，做好护林防火工作。</w:t>
      </w:r>
    </w:p>
    <w:p>
      <w:pPr>
        <w:pStyle w:val="14"/>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32"/>
          <w:szCs w:val="32"/>
          <w14:textFill>
            <w14:solidFill>
              <w14:schemeClr w14:val="tx1"/>
            </w14:solidFill>
          </w14:textFill>
        </w:rPr>
        <w:t>负责本行政区域内的民政、计划生育、文化教育、卫生、体育等社会公益事业的综合性工作，维护一切经济单位和个人的正当经济权益，取缔非法经济活动，调解和处理民事纠纷，打击刑事犯罪维护社会稳定。</w:t>
      </w:r>
    </w:p>
    <w:p>
      <w:pPr>
        <w:ind w:firstLine="640" w:firstLineChars="200"/>
        <w:jc w:val="left"/>
        <w:rPr>
          <w:rFonts w:hint="eastAsia" w:asciiTheme="minorEastAsia" w:hAnsiTheme="minorEastAsia" w:eastAsiaTheme="minorEastAsia" w:cstheme="minorEastAsia"/>
          <w:sz w:val="28"/>
          <w:szCs w:val="32"/>
          <w:lang w:val="en-US" w:eastAsia="zh-CN"/>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32"/>
          <w:szCs w:val="32"/>
          <w14:textFill>
            <w14:solidFill>
              <w14:schemeClr w14:val="tx1"/>
            </w14:solidFill>
          </w14:textFill>
        </w:rPr>
        <w:t>按计划组织本级财政收入和地方税的征收，完成国家财政计划，不断培植税源，管好财政资金，增强财政实力。</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p>
    <w:p>
      <w:pPr>
        <w:widowControl/>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Theme="minorEastAsia" w:hAnsiTheme="minorEastAsia" w:eastAsiaTheme="minorEastAsia" w:cstheme="minorEastAsia"/>
          <w:bCs/>
          <w:kern w:val="0"/>
          <w:sz w:val="32"/>
          <w:szCs w:val="32"/>
          <w:lang w:eastAsia="zh-CN"/>
        </w:rPr>
        <w:t>我镇</w:t>
      </w:r>
      <w:r>
        <w:rPr>
          <w:rFonts w:hint="eastAsia" w:asciiTheme="minorEastAsia" w:hAnsiTheme="minorEastAsia" w:eastAsiaTheme="minorEastAsia" w:cstheme="minorEastAsia"/>
          <w:bCs/>
          <w:kern w:val="0"/>
          <w:sz w:val="32"/>
          <w:szCs w:val="32"/>
        </w:rPr>
        <w:t>内设机构包括：</w:t>
      </w:r>
      <w:r>
        <w:rPr>
          <w:rFonts w:hint="eastAsia" w:asciiTheme="minorEastAsia" w:hAnsiTheme="minorEastAsia" w:eastAsiaTheme="minorEastAsia" w:cstheme="minorEastAsia"/>
          <w:b w:val="0"/>
          <w:bCs w:val="0"/>
          <w:sz w:val="28"/>
          <w:szCs w:val="28"/>
        </w:rPr>
        <w:t>14个行政村 ， 3个</w:t>
      </w:r>
      <w:r>
        <w:rPr>
          <w:rFonts w:hint="eastAsia" w:asciiTheme="minorEastAsia" w:hAnsiTheme="minorEastAsia" w:eastAsiaTheme="minorEastAsia" w:cstheme="minorEastAsia"/>
          <w:b w:val="0"/>
          <w:bCs w:val="0"/>
          <w:sz w:val="28"/>
          <w:szCs w:val="28"/>
          <w:lang w:eastAsia="zh-CN"/>
        </w:rPr>
        <w:t>社区</w:t>
      </w:r>
      <w:r>
        <w:rPr>
          <w:rFonts w:hint="eastAsia" w:asciiTheme="minorEastAsia" w:hAnsiTheme="minorEastAsia" w:eastAsiaTheme="minorEastAsia" w:cstheme="minorEastAsia"/>
          <w:b w:val="0"/>
          <w:bCs w:val="0"/>
          <w:sz w:val="28"/>
          <w:szCs w:val="28"/>
        </w:rPr>
        <w:t>，独立核算站办所 11个</w:t>
      </w:r>
      <w:r>
        <w:rPr>
          <w:rFonts w:hint="eastAsia" w:asciiTheme="minorEastAsia" w:hAnsiTheme="minorEastAsia" w:eastAsiaTheme="minorEastAsia" w:cstheme="minorEastAsia"/>
          <w:b w:val="0"/>
          <w:bCs w:val="0"/>
          <w:sz w:val="28"/>
          <w:szCs w:val="28"/>
          <w:lang w:eastAsia="zh-CN"/>
        </w:rPr>
        <w:t>（党政综合办、财政所、经济发展办、社会治安和应急管理办、社会事务办、</w:t>
      </w:r>
      <w:r>
        <w:rPr>
          <w:rFonts w:hint="eastAsia" w:asciiTheme="minorEastAsia" w:hAnsiTheme="minorEastAsia" w:cstheme="minorEastAsia"/>
          <w:b w:val="0"/>
          <w:bCs w:val="0"/>
          <w:sz w:val="28"/>
          <w:szCs w:val="28"/>
          <w:lang w:eastAsia="zh-CN"/>
        </w:rPr>
        <w:t>自然</w:t>
      </w:r>
      <w:r>
        <w:rPr>
          <w:rFonts w:hint="eastAsia" w:asciiTheme="minorEastAsia" w:hAnsiTheme="minorEastAsia" w:eastAsiaTheme="minorEastAsia" w:cstheme="minorEastAsia"/>
          <w:b w:val="0"/>
          <w:bCs w:val="0"/>
          <w:sz w:val="28"/>
          <w:szCs w:val="28"/>
          <w:lang w:eastAsia="zh-CN"/>
        </w:rPr>
        <w:t>和生态环境办、农业综合服务中心、社会事务综合服务中心、政务服务中心、退役军人服务站、综合执法队），</w:t>
      </w:r>
      <w:r>
        <w:rPr>
          <w:rFonts w:hint="eastAsia" w:asciiTheme="minorEastAsia" w:hAnsiTheme="minorEastAsia" w:eastAsiaTheme="minorEastAsia" w:cstheme="minorEastAsia"/>
          <w:color w:val="000000" w:themeColor="text1"/>
          <w:sz w:val="32"/>
          <w:szCs w:val="32"/>
          <w14:textFill>
            <w14:solidFill>
              <w14:schemeClr w14:val="tx1"/>
            </w14:solidFill>
          </w14:textFill>
        </w:rPr>
        <w:t>其中行政单位5个，事业单位6个，实有人数</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144</w:t>
      </w:r>
      <w:r>
        <w:rPr>
          <w:rFonts w:hint="eastAsia" w:asciiTheme="minorEastAsia" w:hAnsiTheme="minorEastAsia" w:eastAsiaTheme="minorEastAsia" w:cstheme="minorEastAsia"/>
          <w:color w:val="000000" w:themeColor="text1"/>
          <w:sz w:val="32"/>
          <w:szCs w:val="32"/>
          <w14:textFill>
            <w14:solidFill>
              <w14:schemeClr w14:val="tx1"/>
            </w14:solidFill>
          </w14:textFill>
        </w:rPr>
        <w:t>人，其中在职</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144</w:t>
      </w:r>
      <w:r>
        <w:rPr>
          <w:rFonts w:hint="eastAsia" w:asciiTheme="minorEastAsia" w:hAnsiTheme="minorEastAsia" w:eastAsiaTheme="minorEastAsia" w:cstheme="minorEastAsia"/>
          <w:color w:val="000000" w:themeColor="text1"/>
          <w:sz w:val="32"/>
          <w:szCs w:val="32"/>
          <w14:textFill>
            <w14:solidFill>
              <w14:schemeClr w14:val="tx1"/>
            </w14:solidFill>
          </w14:textFill>
        </w:rPr>
        <w:t>人，在职行政人员</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43</w:t>
      </w:r>
      <w:r>
        <w:rPr>
          <w:rFonts w:hint="eastAsia" w:asciiTheme="minorEastAsia" w:hAnsiTheme="minorEastAsia" w:eastAsiaTheme="minorEastAsia" w:cstheme="minorEastAsia"/>
          <w:color w:val="000000" w:themeColor="text1"/>
          <w:sz w:val="32"/>
          <w:szCs w:val="32"/>
          <w14:textFill>
            <w14:solidFill>
              <w14:schemeClr w14:val="tx1"/>
            </w14:solidFill>
          </w14:textFill>
        </w:rPr>
        <w:t>人，事业人员</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100</w:t>
      </w:r>
      <w:r>
        <w:rPr>
          <w:rFonts w:hint="eastAsia" w:asciiTheme="minorEastAsia" w:hAnsiTheme="minorEastAsia" w:eastAsiaTheme="minorEastAsia" w:cstheme="minorEastAsia"/>
          <w:color w:val="000000" w:themeColor="text1"/>
          <w:sz w:val="32"/>
          <w:szCs w:val="32"/>
          <w14:textFill>
            <w14:solidFill>
              <w14:schemeClr w14:val="tx1"/>
            </w14:solidFill>
          </w14:textFill>
        </w:rPr>
        <w:t>人，其中</w:t>
      </w:r>
      <w:r>
        <w:rPr>
          <w:rFonts w:hint="eastAsia" w:asciiTheme="minorEastAsia" w:hAnsiTheme="minorEastAsia" w:eastAsiaTheme="minorEastAsia" w:cstheme="minorEastAsia"/>
          <w:b w:val="0"/>
          <w:bCs w:val="0"/>
          <w:sz w:val="28"/>
          <w:szCs w:val="28"/>
          <w:lang w:eastAsia="zh-CN"/>
        </w:rPr>
        <w:t>党政综合办</w:t>
      </w:r>
      <w:r>
        <w:rPr>
          <w:rFonts w:hint="eastAsia" w:asciiTheme="minorEastAsia" w:hAnsiTheme="minorEastAsia" w:eastAsiaTheme="minorEastAsia" w:cstheme="minorEastAsia"/>
          <w:b w:val="0"/>
          <w:bCs w:val="0"/>
          <w:sz w:val="28"/>
          <w:szCs w:val="28"/>
          <w:lang w:val="en-US" w:eastAsia="zh-CN"/>
        </w:rPr>
        <w:t>48</w:t>
      </w:r>
      <w:r>
        <w:rPr>
          <w:rFonts w:hint="eastAsia" w:asciiTheme="minorEastAsia" w:hAnsiTheme="minorEastAsia" w:eastAsiaTheme="minorEastAsia" w:cstheme="minorEastAsia"/>
          <w:color w:val="000000" w:themeColor="text1"/>
          <w:sz w:val="32"/>
          <w:szCs w:val="32"/>
          <w14:textFill>
            <w14:solidFill>
              <w14:schemeClr w14:val="tx1"/>
            </w14:solidFill>
          </w14:textFill>
        </w:rPr>
        <w:t>人、</w:t>
      </w:r>
      <w:r>
        <w:rPr>
          <w:rFonts w:hint="eastAsia" w:asciiTheme="minorEastAsia" w:hAnsiTheme="minorEastAsia" w:eastAsiaTheme="minorEastAsia" w:cstheme="minorEastAsia"/>
          <w:b w:val="0"/>
          <w:bCs w:val="0"/>
          <w:sz w:val="28"/>
          <w:szCs w:val="28"/>
          <w:lang w:eastAsia="zh-CN"/>
        </w:rPr>
        <w:t>财政所</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32"/>
          <w:szCs w:val="32"/>
          <w14:textFill>
            <w14:solidFill>
              <w14:schemeClr w14:val="tx1"/>
            </w14:solidFill>
          </w14:textFill>
        </w:rPr>
        <w:t>人、</w:t>
      </w:r>
      <w:r>
        <w:rPr>
          <w:rFonts w:hint="eastAsia" w:asciiTheme="minorEastAsia" w:hAnsiTheme="minorEastAsia" w:eastAsiaTheme="minorEastAsia" w:cstheme="minorEastAsia"/>
          <w:b w:val="0"/>
          <w:bCs w:val="0"/>
          <w:sz w:val="28"/>
          <w:szCs w:val="28"/>
          <w:lang w:eastAsia="zh-CN"/>
        </w:rPr>
        <w:t>经济发展办</w:t>
      </w:r>
      <w:r>
        <w:rPr>
          <w:rFonts w:hint="eastAsia" w:asciiTheme="minorEastAsia" w:hAnsiTheme="minorEastAsia" w:eastAsiaTheme="minorEastAsia" w:cstheme="minorEastAsia"/>
          <w:b w:val="0"/>
          <w:bCs w:val="0"/>
          <w:sz w:val="28"/>
          <w:szCs w:val="28"/>
          <w:lang w:val="en-US" w:eastAsia="zh-CN"/>
        </w:rPr>
        <w:t>7人</w:t>
      </w:r>
      <w:r>
        <w:rPr>
          <w:rFonts w:hint="eastAsia" w:asciiTheme="minorEastAsia" w:hAnsiTheme="minorEastAsia" w:eastAsiaTheme="minorEastAsia" w:cstheme="minorEastAsia"/>
          <w:b w:val="0"/>
          <w:bCs w:val="0"/>
          <w:sz w:val="28"/>
          <w:szCs w:val="28"/>
          <w:lang w:eastAsia="zh-CN"/>
        </w:rPr>
        <w:t>、社会治安和应急管理办</w:t>
      </w:r>
      <w:r>
        <w:rPr>
          <w:rFonts w:hint="eastAsia" w:asciiTheme="minorEastAsia" w:hAnsiTheme="minorEastAsia" w:eastAsiaTheme="minorEastAsia" w:cstheme="minorEastAsia"/>
          <w:b w:val="0"/>
          <w:bCs w:val="0"/>
          <w:sz w:val="28"/>
          <w:szCs w:val="28"/>
          <w:lang w:val="en-US" w:eastAsia="zh-CN"/>
        </w:rPr>
        <w:t>9人</w:t>
      </w:r>
      <w:r>
        <w:rPr>
          <w:rFonts w:hint="eastAsia" w:asciiTheme="minorEastAsia" w:hAnsiTheme="minorEastAsia" w:eastAsiaTheme="minorEastAsia" w:cstheme="minorEastAsia"/>
          <w:b w:val="0"/>
          <w:bCs w:val="0"/>
          <w:sz w:val="28"/>
          <w:szCs w:val="28"/>
          <w:lang w:eastAsia="zh-CN"/>
        </w:rPr>
        <w:t>、社会事务办</w:t>
      </w:r>
      <w:r>
        <w:rPr>
          <w:rFonts w:hint="eastAsia" w:asciiTheme="minorEastAsia" w:hAnsiTheme="minorEastAsia" w:eastAsiaTheme="minorEastAsia" w:cstheme="minorEastAsia"/>
          <w:b w:val="0"/>
          <w:bCs w:val="0"/>
          <w:sz w:val="28"/>
          <w:szCs w:val="28"/>
          <w:lang w:val="en-US" w:eastAsia="zh-CN"/>
        </w:rPr>
        <w:t>10人</w:t>
      </w:r>
      <w:r>
        <w:rPr>
          <w:rFonts w:hint="eastAsia" w:asciiTheme="minorEastAsia" w:hAnsiTheme="minorEastAsia" w:eastAsiaTheme="minorEastAsia" w:cstheme="minorEastAsia"/>
          <w:b w:val="0"/>
          <w:bCs w:val="0"/>
          <w:sz w:val="28"/>
          <w:szCs w:val="28"/>
          <w:lang w:eastAsia="zh-CN"/>
        </w:rPr>
        <w:t>、</w:t>
      </w:r>
      <w:r>
        <w:rPr>
          <w:rFonts w:hint="eastAsia" w:asciiTheme="minorEastAsia" w:hAnsiTheme="minorEastAsia" w:cstheme="minorEastAsia"/>
          <w:b w:val="0"/>
          <w:bCs w:val="0"/>
          <w:sz w:val="28"/>
          <w:szCs w:val="28"/>
          <w:lang w:eastAsia="zh-CN"/>
        </w:rPr>
        <w:t>自然</w:t>
      </w:r>
      <w:r>
        <w:rPr>
          <w:rFonts w:hint="eastAsia" w:asciiTheme="minorEastAsia" w:hAnsiTheme="minorEastAsia" w:eastAsiaTheme="minorEastAsia" w:cstheme="minorEastAsia"/>
          <w:b w:val="0"/>
          <w:bCs w:val="0"/>
          <w:sz w:val="28"/>
          <w:szCs w:val="28"/>
          <w:lang w:eastAsia="zh-CN"/>
        </w:rPr>
        <w:t>和生态环境办</w:t>
      </w:r>
      <w:r>
        <w:rPr>
          <w:rFonts w:hint="eastAsia" w:asciiTheme="minorEastAsia" w:hAnsiTheme="minorEastAsia" w:eastAsiaTheme="minorEastAsia" w:cstheme="minorEastAsia"/>
          <w:b w:val="0"/>
          <w:bCs w:val="0"/>
          <w:sz w:val="28"/>
          <w:szCs w:val="28"/>
          <w:lang w:val="en-US" w:eastAsia="zh-CN"/>
        </w:rPr>
        <w:t>8人</w:t>
      </w:r>
      <w:r>
        <w:rPr>
          <w:rFonts w:hint="eastAsia" w:asciiTheme="minorEastAsia" w:hAnsiTheme="minorEastAsia" w:eastAsiaTheme="minorEastAsia" w:cstheme="minorEastAsia"/>
          <w:b w:val="0"/>
          <w:bCs w:val="0"/>
          <w:sz w:val="28"/>
          <w:szCs w:val="28"/>
          <w:lang w:eastAsia="zh-CN"/>
        </w:rPr>
        <w:t>、农业综合服务中心</w:t>
      </w:r>
      <w:r>
        <w:rPr>
          <w:rFonts w:hint="eastAsia" w:asciiTheme="minorEastAsia" w:hAnsiTheme="minorEastAsia" w:eastAsiaTheme="minorEastAsia" w:cstheme="minorEastAsia"/>
          <w:b w:val="0"/>
          <w:bCs w:val="0"/>
          <w:sz w:val="28"/>
          <w:szCs w:val="28"/>
          <w:lang w:val="en-US" w:eastAsia="zh-CN"/>
        </w:rPr>
        <w:t>16人</w:t>
      </w:r>
      <w:r>
        <w:rPr>
          <w:rFonts w:hint="eastAsia" w:asciiTheme="minorEastAsia" w:hAnsiTheme="minorEastAsia" w:eastAsiaTheme="minorEastAsia" w:cstheme="minorEastAsia"/>
          <w:b w:val="0"/>
          <w:bCs w:val="0"/>
          <w:sz w:val="28"/>
          <w:szCs w:val="28"/>
          <w:lang w:eastAsia="zh-CN"/>
        </w:rPr>
        <w:t>、社会事务综合服务中心</w:t>
      </w:r>
      <w:r>
        <w:rPr>
          <w:rFonts w:hint="eastAsia" w:asciiTheme="minorEastAsia" w:hAnsiTheme="minorEastAsia" w:eastAsiaTheme="minorEastAsia" w:cstheme="minorEastAsia"/>
          <w:b w:val="0"/>
          <w:bCs w:val="0"/>
          <w:sz w:val="28"/>
          <w:szCs w:val="28"/>
          <w:lang w:val="en-US" w:eastAsia="zh-CN"/>
        </w:rPr>
        <w:t>10人</w:t>
      </w:r>
      <w:r>
        <w:rPr>
          <w:rFonts w:hint="eastAsia" w:asciiTheme="minorEastAsia" w:hAnsiTheme="minorEastAsia" w:eastAsiaTheme="minorEastAsia" w:cstheme="minorEastAsia"/>
          <w:b w:val="0"/>
          <w:bCs w:val="0"/>
          <w:sz w:val="28"/>
          <w:szCs w:val="28"/>
          <w:lang w:eastAsia="zh-CN"/>
        </w:rPr>
        <w:t>、政务服务中心</w:t>
      </w:r>
      <w:r>
        <w:rPr>
          <w:rFonts w:hint="eastAsia" w:asciiTheme="minorEastAsia" w:hAnsiTheme="minorEastAsia" w:eastAsiaTheme="minorEastAsia" w:cstheme="minorEastAsia"/>
          <w:b w:val="0"/>
          <w:bCs w:val="0"/>
          <w:sz w:val="28"/>
          <w:szCs w:val="28"/>
          <w:lang w:val="en-US" w:eastAsia="zh-CN"/>
        </w:rPr>
        <w:t>10人</w:t>
      </w:r>
      <w:r>
        <w:rPr>
          <w:rFonts w:hint="eastAsia" w:asciiTheme="minorEastAsia" w:hAnsiTheme="minorEastAsia" w:eastAsiaTheme="minorEastAsia" w:cstheme="minorEastAsia"/>
          <w:b w:val="0"/>
          <w:bCs w:val="0"/>
          <w:sz w:val="28"/>
          <w:szCs w:val="28"/>
          <w:lang w:eastAsia="zh-CN"/>
        </w:rPr>
        <w:t>、退役军人服务站</w:t>
      </w:r>
      <w:r>
        <w:rPr>
          <w:rFonts w:hint="eastAsia" w:asciiTheme="minorEastAsia" w:hAnsiTheme="minorEastAsia" w:eastAsiaTheme="minorEastAsia" w:cstheme="minorEastAsia"/>
          <w:b w:val="0"/>
          <w:bCs w:val="0"/>
          <w:sz w:val="28"/>
          <w:szCs w:val="28"/>
          <w:lang w:val="en-US" w:eastAsia="zh-CN"/>
        </w:rPr>
        <w:t>7人</w:t>
      </w:r>
      <w:r>
        <w:rPr>
          <w:rFonts w:hint="eastAsia" w:asciiTheme="minorEastAsia" w:hAnsiTheme="minorEastAsia" w:eastAsiaTheme="minorEastAsia" w:cstheme="minorEastAsia"/>
          <w:b w:val="0"/>
          <w:bCs w:val="0"/>
          <w:sz w:val="28"/>
          <w:szCs w:val="28"/>
          <w:lang w:eastAsia="zh-CN"/>
        </w:rPr>
        <w:t>、综合执法队</w:t>
      </w:r>
      <w:r>
        <w:rPr>
          <w:rFonts w:hint="eastAsia" w:asciiTheme="minorEastAsia" w:hAnsiTheme="minorEastAsia" w:eastAsiaTheme="minorEastAsia" w:cstheme="minorEastAsia"/>
          <w:b w:val="0"/>
          <w:bCs w:val="0"/>
          <w:sz w:val="28"/>
          <w:szCs w:val="28"/>
          <w:lang w:val="en-US" w:eastAsia="zh-CN"/>
        </w:rPr>
        <w:t>7人</w:t>
      </w:r>
      <w:r>
        <w:rPr>
          <w:rFonts w:hint="eastAsia" w:ascii="仿宋" w:hAnsi="仿宋" w:eastAsia="仿宋"/>
          <w:color w:val="000000" w:themeColor="text1"/>
          <w:sz w:val="32"/>
          <w:szCs w:val="32"/>
          <w14:textFill>
            <w14:solidFill>
              <w14:schemeClr w14:val="tx1"/>
            </w14:solidFill>
          </w14:textFill>
        </w:rPr>
        <w:t>。</w:t>
      </w:r>
    </w:p>
    <w:p>
      <w:pPr>
        <w:widowControl/>
        <w:numPr>
          <w:ilvl w:val="0"/>
          <w:numId w:val="2"/>
        </w:numPr>
        <w:spacing w:line="600" w:lineRule="exact"/>
        <w:rPr>
          <w:rFonts w:asciiTheme="minorEastAsia" w:hAnsiTheme="minorEastAsia"/>
          <w:bCs/>
          <w:kern w:val="0"/>
          <w:sz w:val="32"/>
          <w:szCs w:val="32"/>
        </w:rPr>
      </w:pPr>
      <w:r>
        <w:rPr>
          <w:rFonts w:hint="eastAsia" w:asciiTheme="minorEastAsia" w:hAnsiTheme="minorEastAsia"/>
          <w:bCs/>
          <w:kern w:val="0"/>
          <w:sz w:val="32"/>
          <w:szCs w:val="32"/>
        </w:rPr>
        <w:t>决算单位构成。</w:t>
      </w:r>
    </w:p>
    <w:p>
      <w:pPr>
        <w:widowControl/>
        <w:numPr>
          <w:ilvl w:val="0"/>
          <w:numId w:val="0"/>
        </w:numPr>
        <w:spacing w:line="600" w:lineRule="exact"/>
        <w:ind w:firstLine="960" w:firstLineChars="300"/>
        <w:rPr>
          <w:rFonts w:hint="eastAsia" w:asciiTheme="minorEastAsia" w:hAnsiTheme="minorEastAsia" w:eastAsiaTheme="minorEastAsia" w:cstheme="minorEastAsia"/>
          <w:bCs/>
          <w:kern w:val="0"/>
          <w:sz w:val="32"/>
          <w:szCs w:val="32"/>
          <w:lang w:val="en-US"/>
        </w:rPr>
      </w:pPr>
      <w:r>
        <w:rPr>
          <w:rFonts w:hint="eastAsia" w:asciiTheme="minorEastAsia" w:hAnsiTheme="minorEastAsia" w:eastAsiaTheme="minorEastAsia" w:cstheme="minorEastAsia"/>
          <w:bCs/>
          <w:kern w:val="0"/>
          <w:sz w:val="32"/>
          <w:szCs w:val="32"/>
          <w:lang w:eastAsia="zh-CN"/>
        </w:rPr>
        <w:t>我镇</w:t>
      </w:r>
      <w:r>
        <w:rPr>
          <w:rFonts w:hint="eastAsia" w:asciiTheme="minorEastAsia" w:hAnsiTheme="minorEastAsia" w:eastAsiaTheme="minorEastAsia" w:cstheme="minorEastAsia"/>
          <w:bCs/>
          <w:kern w:val="0"/>
          <w:sz w:val="32"/>
          <w:szCs w:val="32"/>
        </w:rPr>
        <w:t>2020年部门决算汇总公开单位构成包括：</w:t>
      </w:r>
      <w:r>
        <w:rPr>
          <w:rFonts w:hint="eastAsia" w:asciiTheme="minorEastAsia" w:hAnsiTheme="minorEastAsia" w:eastAsiaTheme="minorEastAsia" w:cstheme="minorEastAsia"/>
          <w:b w:val="0"/>
          <w:bCs w:val="0"/>
          <w:sz w:val="28"/>
          <w:szCs w:val="28"/>
          <w:lang w:eastAsia="zh-CN"/>
        </w:rPr>
        <w:t>党政综合办、财政所、经济发展办、社会治安和应急管理办、社会事务办、自然和生态环境办、农业综合服务中心、社会事务综合服务中心、政务服务中心、退役军人服务站、综合执法队</w:t>
      </w:r>
      <w:r>
        <w:rPr>
          <w:rFonts w:hint="eastAsia" w:asciiTheme="minorEastAsia" w:hAnsiTheme="minorEastAsia" w:eastAsiaTheme="minorEastAsia" w:cstheme="minorEastAsia"/>
          <w:b w:val="0"/>
          <w:bCs w:val="0"/>
          <w:sz w:val="28"/>
          <w:szCs w:val="28"/>
          <w:lang w:val="en-US" w:eastAsia="zh-CN"/>
        </w:rPr>
        <w:t>11个单位。</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both"/>
        <w:rPr>
          <w:rFonts w:hint="eastAsia"/>
          <w:sz w:val="72"/>
          <w:szCs w:val="72"/>
        </w:rPr>
      </w:pPr>
    </w:p>
    <w:p>
      <w:pPr>
        <w:widowControl/>
        <w:spacing w:line="600" w:lineRule="exact"/>
        <w:jc w:val="center"/>
        <w:outlineLvl w:val="0"/>
        <w:rPr>
          <w:rFonts w:hint="eastAsia" w:ascii="黑体" w:hAnsi="黑体" w:eastAsia="黑体" w:cs="黑体"/>
          <w:bCs/>
          <w:kern w:val="0"/>
          <w:sz w:val="44"/>
          <w:szCs w:val="44"/>
        </w:rPr>
      </w:pPr>
      <w:r>
        <w:rPr>
          <w:rFonts w:hint="eastAsia" w:ascii="黑体" w:hAnsi="黑体" w:eastAsia="黑体" w:cs="黑体"/>
          <w:bCs/>
          <w:kern w:val="0"/>
          <w:sz w:val="44"/>
          <w:szCs w:val="44"/>
        </w:rPr>
        <w:t xml:space="preserve">第二部分 </w:t>
      </w:r>
      <w:r>
        <w:rPr>
          <w:rFonts w:hint="eastAsia" w:ascii="黑体" w:hAnsi="黑体" w:eastAsia="黑体" w:cs="黑体"/>
          <w:bCs/>
          <w:kern w:val="0"/>
          <w:sz w:val="44"/>
          <w:szCs w:val="44"/>
          <w:lang w:val="en-US" w:eastAsia="zh-CN"/>
        </w:rPr>
        <w:t>2020</w:t>
      </w:r>
      <w:r>
        <w:rPr>
          <w:rFonts w:hint="eastAsia" w:ascii="黑体" w:hAnsi="黑体" w:eastAsia="黑体" w:cs="黑体"/>
          <w:bCs/>
          <w:kern w:val="0"/>
          <w:sz w:val="44"/>
          <w:szCs w:val="44"/>
        </w:rPr>
        <w:t>年部门决算表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3071.26</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2923.61</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53</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3.9</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2179.4</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41.54</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144.34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66.17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九、卫生健康支出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73.18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kern w:val="0"/>
                <w:sz w:val="22"/>
              </w:rPr>
            </w:pPr>
            <w:r>
              <w:rPr>
                <w:rFonts w:hint="eastAsia" w:ascii="宋体" w:hAnsi="宋体" w:eastAsia="宋体" w:cs="宋体"/>
                <w:b w:val="0"/>
                <w:bCs w:val="0"/>
                <w:kern w:val="0"/>
                <w:sz w:val="22"/>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kern w:val="0"/>
                <w:sz w:val="22"/>
              </w:rPr>
            </w:pPr>
            <w:r>
              <w:rPr>
                <w:rFonts w:hint="eastAsia" w:ascii="宋体" w:hAnsi="宋体" w:eastAsia="宋体" w:cs="宋体"/>
                <w:b w:val="0"/>
                <w:bCs w:val="0"/>
                <w:kern w:val="0"/>
                <w:sz w:val="22"/>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592.03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kern w:val="0"/>
                <w:sz w:val="22"/>
              </w:rPr>
            </w:pPr>
            <w:r>
              <w:rPr>
                <w:rFonts w:hint="eastAsia" w:ascii="宋体" w:hAnsi="宋体" w:eastAsia="宋体" w:cs="宋体"/>
                <w:b w:val="0"/>
                <w:bCs w:val="0"/>
                <w:kern w:val="0"/>
                <w:sz w:val="22"/>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1,188.99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kern w:val="0"/>
                <w:sz w:val="22"/>
              </w:rPr>
            </w:pPr>
            <w:r>
              <w:rPr>
                <w:rFonts w:hint="eastAsia" w:ascii="宋体" w:hAnsi="宋体" w:eastAsia="宋体" w:cs="宋体"/>
                <w:b w:val="0"/>
                <w:bCs w:val="0"/>
                <w:kern w:val="0"/>
                <w:sz w:val="22"/>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kern w:val="0"/>
                <w:sz w:val="22"/>
              </w:rPr>
            </w:pPr>
            <w:r>
              <w:rPr>
                <w:rFonts w:hint="eastAsia" w:ascii="宋体" w:hAnsi="宋体" w:eastAsia="宋体" w:cs="宋体"/>
                <w:b w:val="0"/>
                <w:bCs w:val="0"/>
                <w:kern w:val="0"/>
                <w:sz w:val="22"/>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kern w:val="0"/>
                <w:sz w:val="22"/>
                <w:lang w:eastAsia="zh-CN"/>
              </w:rPr>
            </w:pPr>
            <w:r>
              <w:rPr>
                <w:rFonts w:hint="eastAsia" w:ascii="宋体" w:hAnsi="宋体" w:eastAsia="宋体" w:cs="宋体"/>
                <w:i w:val="0"/>
                <w:iCs w:val="0"/>
                <w:color w:val="000000"/>
                <w:kern w:val="0"/>
                <w:sz w:val="22"/>
                <w:szCs w:val="22"/>
                <w:u w:val="none"/>
                <w:lang w:val="en-US" w:eastAsia="zh-CN" w:bidi="ar"/>
              </w:rPr>
              <w:t>十五、灾害防治及应急管理支出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kern w:val="0"/>
                <w:sz w:val="22"/>
              </w:rPr>
            </w:pPr>
            <w:r>
              <w:rPr>
                <w:rFonts w:hint="eastAsia" w:ascii="宋体" w:hAnsi="宋体" w:eastAsia="宋体" w:cs="宋体"/>
                <w:b w:val="0"/>
                <w:bCs w:val="0"/>
                <w:kern w:val="0"/>
                <w:sz w:val="22"/>
                <w:lang w:eastAsia="zh-CN"/>
              </w:rPr>
              <w:t>十</w:t>
            </w:r>
            <w:r>
              <w:rPr>
                <w:rFonts w:hint="eastAsia" w:ascii="宋体" w:hAnsi="宋体" w:eastAsia="宋体" w:cs="宋体"/>
                <w:b w:val="0"/>
                <w:bCs w:val="0"/>
                <w:kern w:val="0"/>
                <w:sz w:val="22"/>
                <w:lang w:val="en-US" w:eastAsia="zh-CN"/>
              </w:rPr>
              <w:t>六</w:t>
            </w:r>
            <w:r>
              <w:rPr>
                <w:rFonts w:hint="eastAsia" w:ascii="宋体" w:hAnsi="宋体" w:eastAsia="宋体" w:cs="宋体"/>
                <w:b w:val="0"/>
                <w:bCs w:val="0"/>
                <w:kern w:val="0"/>
                <w:sz w:val="22"/>
              </w:rPr>
              <w:t>、其他支出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kern w:val="0"/>
                <w:sz w:val="22"/>
              </w:rPr>
            </w:pPr>
            <w:r>
              <w:rPr>
                <w:rFonts w:hint="eastAsia" w:ascii="宋体" w:hAnsi="宋体" w:eastAsia="宋体" w:cs="宋体"/>
                <w:b w:val="0"/>
                <w:bCs w:val="0"/>
                <w:kern w:val="0"/>
                <w:sz w:val="22"/>
              </w:rPr>
              <w:t>十</w:t>
            </w:r>
            <w:r>
              <w:rPr>
                <w:rFonts w:hint="eastAsia" w:ascii="宋体" w:hAnsi="宋体" w:eastAsia="宋体" w:cs="宋体"/>
                <w:b w:val="0"/>
                <w:bCs w:val="0"/>
                <w:kern w:val="0"/>
                <w:sz w:val="22"/>
                <w:lang w:val="en-US" w:eastAsia="zh-CN"/>
              </w:rPr>
              <w:t>七</w:t>
            </w:r>
            <w:r>
              <w:rPr>
                <w:rFonts w:hint="eastAsia" w:ascii="宋体" w:hAnsi="宋体" w:eastAsia="宋体" w:cs="宋体"/>
                <w:b w:val="0"/>
                <w:bCs w:val="0"/>
                <w:kern w:val="0"/>
                <w:sz w:val="22"/>
              </w:rPr>
              <w:t>、抗疫特别国债安排的支出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5303.66</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5,303.66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5303.66</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5,303.66</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W w:w="15428" w:type="dxa"/>
        <w:tblInd w:w="0" w:type="dxa"/>
        <w:tblLayout w:type="fixed"/>
        <w:tblCellMar>
          <w:top w:w="0" w:type="dxa"/>
          <w:left w:w="0" w:type="dxa"/>
          <w:bottom w:w="0" w:type="dxa"/>
          <w:right w:w="0" w:type="dxa"/>
        </w:tblCellMar>
      </w:tblPr>
      <w:tblGrid>
        <w:gridCol w:w="305"/>
        <w:gridCol w:w="775"/>
        <w:gridCol w:w="4528"/>
        <w:gridCol w:w="1449"/>
        <w:gridCol w:w="1330"/>
        <w:gridCol w:w="2126"/>
        <w:gridCol w:w="823"/>
        <w:gridCol w:w="824"/>
        <w:gridCol w:w="824"/>
        <w:gridCol w:w="2444"/>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0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7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52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12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4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108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452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126"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82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4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560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4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3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212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8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82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82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44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08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452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4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12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2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2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4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0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4528"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12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2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2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82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4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60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44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212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8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82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82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4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560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5,303.66</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ind w:left="-420" w:leftChars="-200" w:firstLine="20" w:firstLineChars="9"/>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3,124.26</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2,179.40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76"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2,923.61</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2,123.47</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800.13</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lang w:val="en-US" w:eastAsia="zh-CN"/>
              </w:rPr>
            </w:pPr>
            <w:r>
              <w:rPr>
                <w:rFonts w:hint="eastAsia"/>
                <w:lang w:val="en-US" w:eastAsia="zh-CN"/>
              </w:rPr>
              <w:t>20103</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2,789.11</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1,998.14</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790.97</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41"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2010301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1,895.03</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1,277.18</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617.85</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2010302</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536.04</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536.04</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2010308</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223.12</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lang w:val="en-US" w:eastAsia="zh-CN"/>
              </w:rPr>
            </w:pPr>
            <w:r>
              <w:rPr>
                <w:rFonts w:hint="eastAsia"/>
                <w:lang w:val="en-US" w:eastAsia="zh-CN"/>
              </w:rPr>
              <w:t>173.12</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2010399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134.92</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134.92</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37.39</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28.23</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9.17</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2010499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37.39</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28.23</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9.17</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20106</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财政事务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97.11</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97.11</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2010601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60.11</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60.11</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2010699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203</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国防支出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20306</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国防动员</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2030601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兵役征集</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41.54</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41.54</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20402</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公安</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14.09</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14.09</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2040219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11.09</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11.09</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2040299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其他公安支出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20499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27.46</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27.46</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2049901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27.46</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27.46</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207</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144.34</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79.66</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64.68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20799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144.34</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79.66</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64.68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2079999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144.34</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79.66</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64.68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208</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66.17</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21.70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44.48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20806</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企业改革补助</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2080601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企业关闭破产补助</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20810</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社会福利</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2081002</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老年福利</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20828</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61.17</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2082899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61.17</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77"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210</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73.18</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73.18</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21001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24.78</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24.78</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2100199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24.78</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24.78</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21007</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计划生育事务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45.02</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45.02</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2100717</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45.02</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45.02</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21099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其他卫生健康支出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3.38</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3.38</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2109901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3.38</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3.38</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211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3.03</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3.03</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21104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2110402</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212</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592.03</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61.91</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530.12</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21201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34.02</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2120104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34.02</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21203</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城乡社区公共设施</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167.77</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5.49</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162.28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2120303</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167.77</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5.49</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162.28</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21205</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377.96</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22.41</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355.55</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2120501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377.96</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22.41</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355.55</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213</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农林水支出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1,188.99</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449.00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739.99</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21303</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水利</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2130314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21305</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扶贫</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2130599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其他扶贫支出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21307</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941.05</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280.49</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660.56</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2130701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对村级一事一议的补助</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365.56</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360.56</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2130705</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553.49</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253.49</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300.00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2130799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221.63</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142.21</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79.43</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2139999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221.63</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142.21</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79.43</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214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交通运输支出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200.00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21401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公路水路运输</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2140104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215</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ascii="宋体" w:hAnsi="宋体" w:eastAsia="宋体" w:cs="宋体"/>
                <w:i w:val="0"/>
                <w:iCs w:val="0"/>
                <w:color w:val="000000"/>
                <w:kern w:val="0"/>
                <w:sz w:val="22"/>
                <w:szCs w:val="22"/>
                <w:u w:val="none"/>
                <w:lang w:val="en-US" w:eastAsia="zh-CN" w:bidi="ar"/>
              </w:rPr>
              <w:t>5.00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21508</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lang w:val="en-US" w:eastAsia="zh-CN"/>
              </w:rPr>
            </w:pPr>
            <w:r>
              <w:rPr>
                <w:rFonts w:hint="eastAsia"/>
                <w:lang w:val="en-US" w:eastAsia="zh-CN"/>
              </w:rPr>
              <w:t>2150899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其他支持中小企业发展和管理支出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224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rPr>
            </w:pPr>
            <w:r>
              <w:rPr>
                <w:rFonts w:hint="eastAsia"/>
              </w:rPr>
              <w:t>22499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rPr>
            </w:pPr>
            <w:r>
              <w:rPr>
                <w:rFonts w:hint="eastAsia"/>
              </w:rPr>
              <w:t>2249900</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其他灾害防治及应急管理支出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229</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16.00</w:t>
            </w:r>
            <w:r>
              <w:rPr>
                <w:rFonts w:hint="eastAsia"/>
              </w:rPr>
              <w:t>　</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r>
              <w:rPr>
                <w:rFonts w:hint="eastAsia"/>
              </w:rPr>
              <w:t>　</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rPr>
            </w:pPr>
            <w:r>
              <w:rPr>
                <w:rFonts w:hint="eastAsia"/>
              </w:rPr>
              <w:t>22960</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rPr>
            </w:pPr>
            <w:r>
              <w:rPr>
                <w:rFonts w:hint="eastAsia"/>
              </w:rPr>
              <w:t>2296002</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rPr>
              <w:t>　</w:t>
            </w:r>
            <w:r>
              <w:rPr>
                <w:rFonts w:hint="eastAsia"/>
                <w:lang w:val="en-US" w:eastAsia="zh-CN"/>
              </w:rPr>
              <w:t>234</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37.00</w:t>
            </w:r>
            <w:r>
              <w:rPr>
                <w:rFonts w:hint="eastAsia"/>
              </w:rPr>
              <w:t>　</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r>
              <w:rPr>
                <w:rFonts w:hint="eastAsia"/>
              </w:rPr>
              <w:t>　</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rPr>
            </w:pPr>
            <w:r>
              <w:rPr>
                <w:rFonts w:hint="eastAsia"/>
              </w:rPr>
              <w:t>23401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基础设施建设</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08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rPr>
            </w:pPr>
            <w:r>
              <w:rPr>
                <w:rFonts w:hint="eastAsia"/>
              </w:rPr>
              <w:t>2340101</w:t>
            </w:r>
          </w:p>
        </w:tc>
        <w:tc>
          <w:tcPr>
            <w:tcW w:w="452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公共卫生体系建设</w:t>
            </w:r>
          </w:p>
        </w:tc>
        <w:tc>
          <w:tcPr>
            <w:tcW w:w="14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37.00</w:t>
            </w:r>
          </w:p>
        </w:tc>
        <w:tc>
          <w:tcPr>
            <w:tcW w:w="13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37.00</w:t>
            </w:r>
          </w:p>
        </w:tc>
        <w:tc>
          <w:tcPr>
            <w:tcW w:w="212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82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8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4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9"/>
        <w:tblW w:w="14807" w:type="dxa"/>
        <w:tblInd w:w="93" w:type="dxa"/>
        <w:tblLayout w:type="autofit"/>
        <w:tblCellMar>
          <w:top w:w="0" w:type="dxa"/>
          <w:left w:w="108" w:type="dxa"/>
          <w:bottom w:w="0" w:type="dxa"/>
          <w:right w:w="108" w:type="dxa"/>
        </w:tblCellMar>
      </w:tblPr>
      <w:tblGrid>
        <w:gridCol w:w="1042"/>
        <w:gridCol w:w="222"/>
        <w:gridCol w:w="2873"/>
        <w:gridCol w:w="1646"/>
        <w:gridCol w:w="1679"/>
        <w:gridCol w:w="1679"/>
        <w:gridCol w:w="1679"/>
        <w:gridCol w:w="1679"/>
        <w:gridCol w:w="684"/>
        <w:gridCol w:w="1624"/>
      </w:tblGrid>
      <w:tr>
        <w:tblPrEx>
          <w:tblCellMar>
            <w:top w:w="0" w:type="dxa"/>
            <w:left w:w="108" w:type="dxa"/>
            <w:bottom w:w="0" w:type="dxa"/>
            <w:right w:w="108" w:type="dxa"/>
          </w:tblCellMar>
        </w:tblPrEx>
        <w:trPr>
          <w:gridAfter w:val="1"/>
          <w:wAfter w:w="1624" w:type="dxa"/>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13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87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87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13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13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5303.66</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4767.62</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536.04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2,923.61</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2387.57</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536.04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20103</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2,789.11</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2253.07</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536.04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2010301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1,895.03</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1895.03</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2010302</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536.04</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536.04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2010308</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223.12</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223.12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2010399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134.92</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134.92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37.39</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37.39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2010499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37.39</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37.39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20106</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财政事务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97.11</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97.11</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2010601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60.11</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60.11</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2010699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37.00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203</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国防支出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3.90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20306</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国防动员</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3.90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2030601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兵役征集</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3.90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41.54</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41.54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20402</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公安</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14.09</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14.09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2040219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11.09</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11.09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2040299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其他公安支出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27.46</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27.46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2049901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27.46</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27.46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207</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144.34</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144.34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20799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144.34</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144.34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i/>
                <w:iCs/>
                <w:kern w:val="0"/>
                <w:sz w:val="24"/>
                <w:szCs w:val="24"/>
                <w:lang w:val="en-US"/>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i/>
                <w:iCs/>
                <w:kern w:val="0"/>
                <w:sz w:val="24"/>
                <w:szCs w:val="24"/>
                <w:lang w:val="en-US"/>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i/>
                <w:iCs/>
                <w:kern w:val="0"/>
                <w:sz w:val="24"/>
                <w:szCs w:val="24"/>
                <w:lang w:val="en-US"/>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i/>
                <w:iCs/>
                <w:kern w:val="0"/>
                <w:sz w:val="24"/>
                <w:szCs w:val="24"/>
                <w:lang w:val="en-US"/>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2079999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144.34</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144.34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66.17</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66.17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20806</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企业改革补助</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2080601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企业关闭破产补助</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2.00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20810</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社会福利</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2081002</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老年福利</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3.00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20828</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61.17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61.17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2082899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61.17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61.17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73.18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73.18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24.78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24.78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2100199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24.78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24.78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21007</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计划生育事务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45.02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2100717</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45.02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其他卫生健康支出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3.38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2109901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3.38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3.03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21104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3.03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2110402</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3.03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592.03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592.03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46.3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2120104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46.3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21203</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城乡社区公共设施</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167.77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167.77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2120303</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167.77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167.77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21205</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377.96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377.96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2120501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377.96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377.96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农林水支出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1,188.99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1188.99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21303</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水利</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11.30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2130314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11.30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21305</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扶贫</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2130599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其他扶贫支出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21307</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941.05</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941.05</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2130701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对村级一事一议的补助</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365.56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365.56</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2130705</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553.49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553.49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2130799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221.63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221.63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2139999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221.63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221.63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交通运输支出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21401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公路水路运输</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2140104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215</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2"/>
                <w:szCs w:val="22"/>
                <w:u w:val="none"/>
                <w:lang w:val="en-US" w:eastAsia="zh-CN" w:bidi="ar"/>
              </w:rPr>
              <w:t>5.00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21508</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2150899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其他支持中小企业发展和管理支出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224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8.87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rPr>
              <w:t>22499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8.87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rPr>
              <w:t>2249900</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其他灾害防治及应急管理支出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8.87</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8.87</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229</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rPr>
              <w:t>22960</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rPr>
              <w:t>2296002</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234</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rPr>
              <w:t>23401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基础设施建设</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rPr>
              <w:t>2340101</w:t>
            </w:r>
          </w:p>
        </w:tc>
        <w:tc>
          <w:tcPr>
            <w:tcW w:w="28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公共卫生体系建设</w:t>
            </w:r>
          </w:p>
        </w:tc>
        <w:tc>
          <w:tcPr>
            <w:tcW w:w="16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37.00</w:t>
            </w:r>
          </w:p>
        </w:tc>
        <w:tc>
          <w:tcPr>
            <w:tcW w:w="167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i w:val="0"/>
                <w:iCs w:val="0"/>
                <w:color w:val="000000"/>
                <w:kern w:val="2"/>
                <w:sz w:val="22"/>
                <w:szCs w:val="22"/>
                <w:u w:val="none"/>
                <w:lang w:val="en-US" w:eastAsia="zh-CN" w:bidi="ar-SA"/>
              </w:rPr>
              <w:t>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3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gridAfter w:val="1"/>
          <w:wAfter w:w="1624" w:type="dxa"/>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3071.26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2123.47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2123.47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53.00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9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3.90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41.54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41.54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9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79.66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79.66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21.70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21.70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lang w:val="en-US" w:eastAsia="zh-CN" w:bidi="ar-SA"/>
              </w:rPr>
            </w:pPr>
            <w:r>
              <w:rPr>
                <w:rFonts w:hint="eastAsia" w:ascii="宋体" w:hAnsi="宋体" w:eastAsia="宋体" w:cs="宋体"/>
                <w:i w:val="0"/>
                <w:iCs w:val="0"/>
                <w:color w:val="000000"/>
                <w:kern w:val="0"/>
                <w:sz w:val="22"/>
                <w:szCs w:val="22"/>
                <w:u w:val="none"/>
                <w:lang w:val="en-US" w:eastAsia="zh-CN" w:bidi="ar"/>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73.18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73.18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3.03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61.91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61.91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449.00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449.00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200.00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5.00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1"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91"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8.87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8.87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r>
              <w:rPr>
                <w:rFonts w:hint="eastAsia" w:ascii="宋体" w:hAnsi="宋体" w:eastAsia="宋体" w:cs="宋体"/>
                <w:kern w:val="0"/>
                <w:sz w:val="22"/>
              </w:rPr>
              <w:t>二十六、抗疫特别国债安排的支出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3124.26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3124.26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3071.26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53.00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3124.26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64</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3124.26</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3071.26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53.00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585" w:hRule="atLeast"/>
        </w:trPr>
        <w:tc>
          <w:tcPr>
            <w:tcW w:w="0" w:type="auto"/>
            <w:gridSpan w:val="11"/>
            <w:vAlign w:val="center"/>
          </w:tcPr>
          <w:p>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　</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3071.26</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2535.22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536.04</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2123.47</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1587.43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536.04</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20103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1998.14</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1462.10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536.04</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2010301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1277.18</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1277.18</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2010302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536.04</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536.04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2010308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50.00</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50.00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2010399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134.92</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134.92</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20104</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28.22</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28.22</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2010499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28.22</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28.22</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20106</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财政事务</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97.11</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97.11</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2010601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60.11</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60.11</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2010699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其他财政事务支出</w:t>
            </w: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37.00</w:t>
            </w: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37.00</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国防支出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3.90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3.90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20306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国防动员</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3.90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3.90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2030601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兵役征集</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3.90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3.90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41.54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41.54</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公安</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14.09</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14.09</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2040219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11.09</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11.09</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2040299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其他公安支出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27.46</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27.46</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2049901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27.46</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27.46</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207</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79.66</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79.66</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20799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79.66</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79.66</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2079999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79.66</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79.66</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21.70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21.70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企业改革补助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2080601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企业关闭破产补助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20810</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社会福利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2081002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老年福利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20828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16.70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2082899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16.70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210</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73.18</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73.18</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24.78</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24.78</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2100199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24.78</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24.78</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21007</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计划生育事务</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45.02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45.02</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2100717</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45.02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45.02</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其他卫生健康支出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3.38</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3.38</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2109901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3.38</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3.38</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3.03</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3.03</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21104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3.03</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3.03</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2110402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3.03</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3.03</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61.91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61.91</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34.02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34.02</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2120104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34.02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34.02</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城乡社区公共设施</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5.49</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5.49</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2120303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5.49</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5.49</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22.41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22.41</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2120501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22.41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22.41</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449.00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449.00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水利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11.30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11.30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2130314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11.30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11.30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扶贫</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15.00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2130599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其他扶贫支出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15.00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21307</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280.49</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280.49</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2130701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对村级一事一议的补助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2130705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253.49</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253.49</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2130799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142.21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142.21</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2139999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142.21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142.21</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交通运输支出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200.00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200.00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21401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公路水路运输</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200.00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200.00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2140104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200.00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200.00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21508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支持中小企业发展和管理支出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2150899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其他支持中小企业发展和管理支出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5.00</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224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8.87</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8.87</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22499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8.87</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8.87</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2249900</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其他灾害防治及应急管理支出</w:t>
            </w: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8.87</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8.87</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15651" w:type="dxa"/>
        <w:tblInd w:w="0" w:type="dxa"/>
        <w:tblLayout w:type="fixed"/>
        <w:tblCellMar>
          <w:top w:w="0" w:type="dxa"/>
          <w:left w:w="108" w:type="dxa"/>
          <w:bottom w:w="0" w:type="dxa"/>
          <w:right w:w="108" w:type="dxa"/>
        </w:tblCellMar>
      </w:tblPr>
      <w:tblGrid>
        <w:gridCol w:w="1325"/>
        <w:gridCol w:w="3330"/>
        <w:gridCol w:w="1472"/>
        <w:gridCol w:w="424"/>
        <w:gridCol w:w="2307"/>
        <w:gridCol w:w="1053"/>
        <w:gridCol w:w="739"/>
        <w:gridCol w:w="3545"/>
        <w:gridCol w:w="1456"/>
      </w:tblGrid>
      <w:tr>
        <w:tblPrEx>
          <w:tblCellMar>
            <w:top w:w="0" w:type="dxa"/>
            <w:left w:w="108" w:type="dxa"/>
            <w:bottom w:w="0" w:type="dxa"/>
            <w:right w:w="108" w:type="dxa"/>
          </w:tblCellMar>
        </w:tblPrEx>
        <w:trPr>
          <w:trHeight w:val="113" w:hRule="atLeast"/>
        </w:trPr>
        <w:tc>
          <w:tcPr>
            <w:tcW w:w="15651"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4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0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5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2023.08</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411.35</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762.77</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52.16</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247.18</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62.68</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276.43</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3.15</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56" w:type="dxa"/>
            <w:tcBorders>
              <w:top w:val="nil"/>
              <w:left w:val="nil"/>
              <w:bottom w:val="single" w:color="auto" w:sz="4" w:space="0"/>
              <w:right w:val="single" w:color="auto" w:sz="4" w:space="0"/>
            </w:tcBorders>
            <w:shd w:val="clear" w:color="auto" w:fill="auto"/>
            <w:noWrap/>
            <w:vAlign w:val="center"/>
          </w:tcPr>
          <w:p>
            <w:pPr>
              <w:widowControl/>
              <w:ind w:firstLine="210" w:firstLineChars="100"/>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79.01</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278.52</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3.71</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234.10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2.60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33.51</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6.78</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82.91</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15.74</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12.91</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0.19</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21.71</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0.76</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91.40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0.41</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0.13</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0.62</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11.01</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0.07</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35.16</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5.18</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2.21</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14.58</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16.92</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214.02</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3.25</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13.44</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0.03</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11.69</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19.70</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0.00</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2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4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5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0.59</w:t>
            </w:r>
          </w:p>
        </w:tc>
        <w:tc>
          <w:tcPr>
            <w:tcW w:w="73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54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6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4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2114.48</w:t>
            </w:r>
          </w:p>
        </w:tc>
        <w:tc>
          <w:tcPr>
            <w:tcW w:w="8068"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5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411.35</w:t>
            </w:r>
          </w:p>
        </w:tc>
      </w:tr>
      <w:tr>
        <w:tblPrEx>
          <w:tblCellMar>
            <w:top w:w="0" w:type="dxa"/>
            <w:left w:w="108" w:type="dxa"/>
            <w:bottom w:w="0" w:type="dxa"/>
            <w:right w:w="108" w:type="dxa"/>
          </w:tblCellMar>
        </w:tblPrEx>
        <w:trPr>
          <w:trHeight w:val="284" w:hRule="exact"/>
        </w:trPr>
        <w:tc>
          <w:tcPr>
            <w:tcW w:w="15651"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both"/>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both"/>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无</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无</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政府性基金预算财政拨款收支决算表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53.00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53.00</w:t>
            </w:r>
          </w:p>
        </w:tc>
        <w:tc>
          <w:tcPr>
            <w:tcW w:w="2000" w:type="dxa"/>
            <w:shd w:val="clear" w:color="auto" w:fill="auto"/>
            <w:vAlign w:val="center"/>
          </w:tcPr>
          <w:p>
            <w:pPr>
              <w:widowControl/>
              <w:jc w:val="center"/>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53.00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229</w:t>
            </w:r>
          </w:p>
        </w:tc>
        <w:tc>
          <w:tcPr>
            <w:tcW w:w="13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22960</w:t>
            </w:r>
          </w:p>
        </w:tc>
        <w:tc>
          <w:tcPr>
            <w:tcW w:w="13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2296002</w:t>
            </w:r>
          </w:p>
        </w:tc>
        <w:tc>
          <w:tcPr>
            <w:tcW w:w="13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16.00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234</w:t>
            </w:r>
          </w:p>
        </w:tc>
        <w:tc>
          <w:tcPr>
            <w:tcW w:w="13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23401</w:t>
            </w:r>
          </w:p>
        </w:tc>
        <w:tc>
          <w:tcPr>
            <w:tcW w:w="13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基础设施建设</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rPr>
              <w:t>2340101</w:t>
            </w:r>
          </w:p>
        </w:tc>
        <w:tc>
          <w:tcPr>
            <w:tcW w:w="13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公共卫生体系建设</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37.00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tbl>
      <w:tblPr>
        <w:tblStyle w:val="9"/>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hint="eastAsia" w:ascii="华文中宋" w:hAnsi="华文中宋" w:eastAsia="华文中宋" w:cs="宋体"/>
                <w:kern w:val="0"/>
                <w:sz w:val="32"/>
                <w:szCs w:val="32"/>
              </w:rPr>
            </w:pPr>
          </w:p>
          <w:p>
            <w:pPr>
              <w:widowControl/>
              <w:jc w:val="center"/>
              <w:rPr>
                <w:rFonts w:hint="eastAsia" w:ascii="华文中宋" w:hAnsi="华文中宋" w:eastAsia="华文中宋" w:cs="宋体"/>
                <w:kern w:val="0"/>
                <w:sz w:val="32"/>
                <w:szCs w:val="32"/>
              </w:rPr>
            </w:pPr>
          </w:p>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eastAsia="zh-CN"/>
              </w:rPr>
              <w:t>无</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eastAsia="zh-CN"/>
              </w:rPr>
              <w:t>无</w:t>
            </w: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eastAsia="zh-CN"/>
              </w:rPr>
              <w:t>无</w:t>
            </w: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eastAsia="zh-CN"/>
              </w:rPr>
              <w:t>无</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eastAsia="zh-CN"/>
              </w:rPr>
              <w:t>无</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3"/>
        <w:rPr>
          <w:sz w:val="72"/>
          <w:szCs w:val="72"/>
        </w:rPr>
        <w:sectPr>
          <w:pgSz w:w="16838" w:h="11906" w:orient="landscape"/>
          <w:pgMar w:top="720" w:right="720" w:bottom="720" w:left="720" w:header="851" w:footer="992" w:gutter="0"/>
          <w:cols w:space="425" w:num="1"/>
          <w:docGrid w:type="lines" w:linePitch="312" w:charSpace="0"/>
        </w:sectPr>
      </w:pPr>
    </w:p>
    <w:p>
      <w:pPr>
        <w:widowControl/>
        <w:spacing w:line="600" w:lineRule="exact"/>
        <w:ind w:firstLine="1760" w:firstLineChars="400"/>
        <w:jc w:val="both"/>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 xml:space="preserve">第三部分 </w:t>
      </w:r>
      <w:r>
        <w:rPr>
          <w:rFonts w:hint="eastAsia" w:ascii="黑体" w:hAnsi="黑体" w:eastAsia="黑体" w:cs="黑体"/>
          <w:b/>
          <w:bCs w:val="0"/>
          <w:kern w:val="0"/>
          <w:sz w:val="44"/>
          <w:szCs w:val="44"/>
          <w:lang w:val="en-US" w:eastAsia="zh-CN"/>
        </w:rPr>
        <w:t>2020</w:t>
      </w:r>
      <w:r>
        <w:rPr>
          <w:rFonts w:hint="eastAsia" w:ascii="黑体" w:hAnsi="黑体" w:eastAsia="黑体" w:cs="黑体"/>
          <w:b/>
          <w:bCs w:val="0"/>
          <w:kern w:val="0"/>
          <w:sz w:val="44"/>
          <w:szCs w:val="44"/>
        </w:rPr>
        <w:t>年度部门决算情况说明</w:t>
      </w:r>
    </w:p>
    <w:p>
      <w:pPr>
        <w:widowControl/>
        <w:jc w:val="left"/>
        <w:rPr>
          <w:rFonts w:hint="eastAsia" w:hAnsi="黑体"/>
          <w:b/>
          <w:sz w:val="32"/>
          <w:szCs w:val="32"/>
        </w:rPr>
      </w:pPr>
    </w:p>
    <w:p>
      <w:pPr>
        <w:widowControl/>
        <w:jc w:val="left"/>
        <w:rPr>
          <w:rFonts w:hAnsi="黑体"/>
          <w:b/>
          <w:sz w:val="32"/>
          <w:szCs w:val="32"/>
        </w:rPr>
      </w:pPr>
      <w:r>
        <w:rPr>
          <w:rFonts w:hint="eastAsia" w:hAnsi="黑体"/>
          <w:b/>
          <w:sz w:val="32"/>
          <w:szCs w:val="32"/>
        </w:rPr>
        <w:t>一、收入支出决算总体情况说明</w:t>
      </w:r>
    </w:p>
    <w:p>
      <w:pPr>
        <w:pStyle w:val="13"/>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2020年度收、支总计</w:t>
      </w:r>
      <w:r>
        <w:rPr>
          <w:rFonts w:hint="eastAsia" w:asciiTheme="minorEastAsia" w:hAnsiTheme="minorEastAsia" w:eastAsiaTheme="minorEastAsia"/>
          <w:sz w:val="32"/>
          <w:szCs w:val="32"/>
          <w:lang w:val="en-US" w:eastAsia="zh-CN"/>
        </w:rPr>
        <w:t>5303.66</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62.18</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疫情防控工作的支出。</w:t>
      </w:r>
    </w:p>
    <w:p>
      <w:pPr>
        <w:pStyle w:val="13"/>
        <w:rPr>
          <w:rFonts w:hAnsi="黑体"/>
          <w:b/>
          <w:sz w:val="32"/>
          <w:szCs w:val="32"/>
        </w:rPr>
      </w:pPr>
      <w:r>
        <w:rPr>
          <w:rFonts w:hint="eastAsia" w:hAnsi="黑体"/>
          <w:b/>
          <w:sz w:val="32"/>
          <w:szCs w:val="32"/>
        </w:rPr>
        <w:t>二、收入决算情况说明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5303.66</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3124.26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58.9</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2179.4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41.1</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三、支出决算情况说明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5303.66</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4767.62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89.9</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536.04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10.1</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四、财政拨款收入支出决算总体情况说明</w:t>
      </w:r>
    </w:p>
    <w:p>
      <w:pPr>
        <w:pStyle w:val="13"/>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2020年度财政拨款收、支总计</w:t>
      </w:r>
      <w:r>
        <w:rPr>
          <w:rFonts w:hint="eastAsia" w:asciiTheme="minorEastAsia" w:hAnsiTheme="minorEastAsia" w:eastAsiaTheme="minorEastAsia"/>
          <w:sz w:val="32"/>
          <w:szCs w:val="32"/>
          <w:lang w:val="en-US" w:eastAsia="zh-CN"/>
        </w:rPr>
        <w:t>3124.26</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382.22</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10.9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压缩非生产性开支。</w:t>
      </w:r>
    </w:p>
    <w:p>
      <w:pPr>
        <w:pStyle w:val="13"/>
        <w:rPr>
          <w:rFonts w:hAnsi="黑体"/>
          <w:b/>
          <w:sz w:val="32"/>
          <w:szCs w:val="32"/>
        </w:rPr>
      </w:pPr>
      <w:r>
        <w:rPr>
          <w:rFonts w:hint="eastAsia" w:hAnsi="黑体"/>
          <w:b/>
          <w:sz w:val="32"/>
          <w:szCs w:val="32"/>
        </w:rPr>
        <w:t>五、一般公共预算财政拨款支出决算情况说明</w:t>
      </w:r>
    </w:p>
    <w:p>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3071.26</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57.9</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425.22</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12.16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压缩非生产性开支。</w:t>
      </w:r>
    </w:p>
    <w:p>
      <w:pPr>
        <w:pStyle w:val="13"/>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2"/>
        <w:ind w:firstLine="640" w:firstLineChars="200"/>
        <w:rPr>
          <w:rFonts w:asciiTheme="minorEastAsia" w:hAnsiTheme="minorEastAsia" w:eastAsiaTheme="minorEastAsia"/>
          <w:sz w:val="32"/>
          <w:szCs w:val="32"/>
        </w:rPr>
      </w:pPr>
      <w:r>
        <w:rPr>
          <w:rFonts w:hint="eastAsia" w:cs="黑体" w:asciiTheme="minorEastAsia" w:hAnsiTheme="minorEastAsia" w:eastAsiaTheme="minorEastAsia"/>
          <w:b w:val="0"/>
          <w:bCs w:val="0"/>
          <w:color w:val="000000"/>
          <w:kern w:val="0"/>
          <w:sz w:val="32"/>
          <w:szCs w:val="32"/>
          <w:lang w:val="en-US" w:eastAsia="zh-CN" w:bidi="ar-SA"/>
        </w:rPr>
        <w:t>2020年度财政拨款支出3071.26万元，主要用于以下方面：一般公共服务支出2123.47万元，占69%；教育支出0.00万元，占0.00%;国防支出（民兵武装）3.9万元，占0.13%；公共安全支出41.54万元，占1.3%；文化旅游体育与传媒支出79.66万；占2.6%；社会保障和就业支出21.7万元，占0.7%；卫生健康支出73.18万元，占2.3%；节能环保支出 3.03万元，占0.98%；城乡社区支出61.91万元；占2%；农林水支出449万元，占14.15%；交通运输支出200万元，占6.4%； 资源勘探工业信息等支出5万元，占0.16% ；灾害防治及应急管理支出8.87万元，占0.28%。</w:t>
      </w:r>
      <w:r>
        <w:rPr>
          <w:rFonts w:hint="eastAsia" w:ascii="仿宋_GB2312" w:eastAsia="仿宋_GB2312" w:cs="仿宋_GB2312"/>
          <w:b w:val="0"/>
          <w:bCs w:val="0"/>
          <w:lang w:val="en-US" w:eastAsia="zh-CN"/>
        </w:rPr>
        <w:t xml:space="preserve"> </w:t>
      </w:r>
    </w:p>
    <w:p>
      <w:pPr>
        <w:pStyle w:val="13"/>
        <w:ind w:firstLine="800" w:firstLineChars="250"/>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（三）财政拨款支出决算具体情况</w:t>
      </w:r>
    </w:p>
    <w:p>
      <w:pPr>
        <w:pStyle w:val="13"/>
        <w:spacing w:line="576"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2181</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3071.26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143</w:t>
      </w:r>
      <w:r>
        <w:rPr>
          <w:rFonts w:hint="eastAsia" w:asciiTheme="minorEastAsia" w:hAnsiTheme="minorEastAsia" w:eastAsiaTheme="minorEastAsia"/>
          <w:sz w:val="32"/>
          <w:szCs w:val="32"/>
        </w:rPr>
        <w:t>%，其中：</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1、一般公共服务（类）政府办公厅及相关机构事务（款）行政运行（项）。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980</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1277.18</w:t>
      </w:r>
      <w:r>
        <w:rPr>
          <w:rFonts w:hint="eastAsia" w:ascii="仿宋" w:hAnsi="仿宋" w:eastAsia="仿宋"/>
          <w:color w:val="auto"/>
          <w:sz w:val="32"/>
          <w:szCs w:val="32"/>
        </w:rPr>
        <w:t>万元，完成年初预算的</w:t>
      </w:r>
      <w:r>
        <w:rPr>
          <w:rFonts w:hint="eastAsia" w:ascii="仿宋" w:hAnsi="仿宋" w:eastAsia="仿宋"/>
          <w:color w:val="auto"/>
          <w:sz w:val="32"/>
          <w:szCs w:val="32"/>
          <w:highlight w:val="none"/>
          <w:lang w:val="en-US" w:eastAsia="zh-CN"/>
        </w:rPr>
        <w:t>130</w:t>
      </w:r>
      <w:r>
        <w:rPr>
          <w:rFonts w:hint="eastAsia" w:ascii="仿宋" w:hAnsi="仿宋" w:eastAsia="仿宋"/>
          <w:color w:val="auto"/>
          <w:sz w:val="32"/>
          <w:szCs w:val="32"/>
        </w:rPr>
        <w:t>%，决算数大于年初预算数的主要原因是：行政运行支出有所增加。</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2、一般公共服务（类）政府办公厅及相关机构事务（款）一般行政管理事务（项）。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255.64</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536.04</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209</w:t>
      </w:r>
      <w:r>
        <w:rPr>
          <w:rFonts w:hint="eastAsia" w:ascii="仿宋" w:hAnsi="仿宋" w:eastAsia="仿宋"/>
          <w:color w:val="auto"/>
          <w:sz w:val="32"/>
          <w:szCs w:val="32"/>
        </w:rPr>
        <w:t>%</w:t>
      </w:r>
      <w:r>
        <w:rPr>
          <w:rFonts w:hint="eastAsia" w:ascii="仿宋" w:hAnsi="仿宋" w:eastAsia="仿宋"/>
          <w:color w:val="auto"/>
          <w:sz w:val="32"/>
          <w:szCs w:val="32"/>
          <w:lang w:eastAsia="zh-CN"/>
        </w:rPr>
        <w:t>，</w:t>
      </w:r>
      <w:r>
        <w:rPr>
          <w:rFonts w:hint="eastAsia" w:ascii="仿宋" w:hAnsi="仿宋" w:eastAsia="仿宋"/>
          <w:color w:val="auto"/>
          <w:sz w:val="32"/>
          <w:szCs w:val="32"/>
        </w:rPr>
        <w:t>决算数大于年初预算数的主要原因是：</w:t>
      </w:r>
      <w:r>
        <w:rPr>
          <w:rFonts w:hint="eastAsia" w:ascii="仿宋" w:hAnsi="仿宋" w:eastAsia="仿宋"/>
          <w:color w:val="auto"/>
          <w:sz w:val="32"/>
          <w:szCs w:val="32"/>
          <w:lang w:val="en-US" w:eastAsia="zh-CN"/>
        </w:rPr>
        <w:t>一般行政管理事务支出</w:t>
      </w:r>
      <w:r>
        <w:rPr>
          <w:rFonts w:hint="eastAsia" w:ascii="仿宋" w:hAnsi="仿宋" w:eastAsia="仿宋"/>
          <w:color w:val="auto"/>
          <w:sz w:val="32"/>
          <w:szCs w:val="32"/>
        </w:rPr>
        <w:t>有所增加。</w:t>
      </w:r>
    </w:p>
    <w:p>
      <w:pPr>
        <w:pStyle w:val="13"/>
        <w:spacing w:line="576" w:lineRule="exact"/>
        <w:ind w:firstLine="800" w:firstLineChars="250"/>
        <w:rPr>
          <w:rFonts w:ascii="仿宋" w:hAnsi="仿宋" w:eastAsia="仿宋"/>
          <w:color w:val="auto"/>
          <w:sz w:val="32"/>
          <w:szCs w:val="32"/>
        </w:rPr>
      </w:pPr>
      <w:r>
        <w:rPr>
          <w:rFonts w:hint="eastAsia" w:ascii="仿宋" w:hAnsi="仿宋" w:eastAsia="仿宋"/>
          <w:color w:val="auto"/>
          <w:sz w:val="32"/>
          <w:szCs w:val="32"/>
        </w:rPr>
        <w:t>3、一般公共服务（类）政府办公厅及相关机构事务（款）</w:t>
      </w:r>
      <w:r>
        <w:rPr>
          <w:rFonts w:hint="eastAsia" w:ascii="仿宋" w:hAnsi="仿宋" w:eastAsia="仿宋"/>
          <w:color w:val="auto"/>
          <w:sz w:val="32"/>
          <w:szCs w:val="32"/>
          <w:lang w:val="en-US" w:eastAsia="zh-CN"/>
        </w:rPr>
        <w:t>信访事务</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50</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50</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ascii="仿宋" w:hAnsi="仿宋" w:eastAsia="仿宋"/>
          <w:color w:val="auto"/>
          <w:sz w:val="32"/>
          <w:szCs w:val="32"/>
        </w:rPr>
      </w:pPr>
      <w:r>
        <w:rPr>
          <w:rFonts w:hint="eastAsia" w:ascii="仿宋" w:hAnsi="仿宋" w:eastAsia="仿宋"/>
          <w:color w:val="auto"/>
          <w:sz w:val="32"/>
          <w:szCs w:val="32"/>
        </w:rPr>
        <w:t>4、一般公共服务（类）政府办公厅及相关机构事务（款）</w:t>
      </w:r>
      <w:r>
        <w:rPr>
          <w:rFonts w:hint="eastAsia" w:ascii="仿宋" w:hAnsi="仿宋" w:eastAsia="仿宋"/>
          <w:color w:val="auto"/>
          <w:sz w:val="32"/>
          <w:szCs w:val="32"/>
          <w:lang w:val="en-US" w:eastAsia="zh-CN"/>
        </w:rPr>
        <w:t>其他政府办公厅（室）及相关机构事务支出</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134.92</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134.92</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5、</w:t>
      </w:r>
      <w:r>
        <w:rPr>
          <w:rFonts w:hint="eastAsia" w:ascii="仿宋" w:hAnsi="仿宋" w:eastAsia="仿宋"/>
          <w:color w:val="auto"/>
          <w:sz w:val="32"/>
          <w:szCs w:val="32"/>
        </w:rPr>
        <w:t>一般公共服务（类）发展与改革事务（款）其他发展与改革事务支出（项）。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28.22</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28.22</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numPr>
          <w:ilvl w:val="0"/>
          <w:numId w:val="3"/>
        </w:numPr>
        <w:spacing w:line="576" w:lineRule="exact"/>
        <w:ind w:left="-170" w:leftChars="0" w:firstLine="800" w:firstLineChars="0"/>
        <w:rPr>
          <w:rFonts w:hint="eastAsia" w:ascii="仿宋" w:hAnsi="仿宋" w:eastAsia="仿宋"/>
          <w:color w:val="auto"/>
          <w:sz w:val="32"/>
          <w:szCs w:val="32"/>
        </w:rPr>
      </w:pPr>
      <w:r>
        <w:rPr>
          <w:rFonts w:hint="eastAsia" w:ascii="仿宋" w:hAnsi="仿宋" w:eastAsia="仿宋"/>
          <w:color w:val="auto"/>
          <w:sz w:val="32"/>
          <w:szCs w:val="32"/>
        </w:rPr>
        <w:t>一般公共服务（类）财政事务（款）行政运行（项）。</w:t>
      </w:r>
    </w:p>
    <w:p>
      <w:pPr>
        <w:pStyle w:val="13"/>
        <w:numPr>
          <w:ilvl w:val="0"/>
          <w:numId w:val="0"/>
        </w:numPr>
        <w:spacing w:line="576"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年初预算为</w:t>
      </w:r>
      <w:r>
        <w:rPr>
          <w:rFonts w:ascii="仿宋" w:hAnsi="仿宋" w:eastAsia="仿宋"/>
          <w:color w:val="auto"/>
          <w:sz w:val="32"/>
          <w:szCs w:val="32"/>
        </w:rPr>
        <w:t>47</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60.11</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127</w:t>
      </w:r>
      <w:r>
        <w:rPr>
          <w:rFonts w:hint="eastAsia" w:ascii="仿宋" w:hAnsi="仿宋" w:eastAsia="仿宋"/>
          <w:color w:val="auto"/>
          <w:sz w:val="32"/>
          <w:szCs w:val="32"/>
        </w:rPr>
        <w:t>%，决算数大于年初预算数的主要原因是：财政事务行政运行支出有所增加。</w:t>
      </w:r>
    </w:p>
    <w:p>
      <w:pPr>
        <w:pStyle w:val="13"/>
        <w:numPr>
          <w:ilvl w:val="0"/>
          <w:numId w:val="3"/>
        </w:numPr>
        <w:spacing w:line="576" w:lineRule="exact"/>
        <w:ind w:left="-170" w:leftChars="0" w:firstLine="800" w:firstLineChars="0"/>
        <w:rPr>
          <w:rFonts w:hint="eastAsia" w:ascii="仿宋" w:hAnsi="仿宋" w:eastAsia="仿宋"/>
          <w:color w:val="auto"/>
          <w:sz w:val="32"/>
          <w:szCs w:val="32"/>
        </w:rPr>
      </w:pPr>
      <w:r>
        <w:rPr>
          <w:rFonts w:hint="eastAsia" w:ascii="仿宋" w:hAnsi="仿宋" w:eastAsia="仿宋"/>
          <w:color w:val="auto"/>
          <w:sz w:val="32"/>
          <w:szCs w:val="32"/>
        </w:rPr>
        <w:t>一般公共服务（类）财政事务（款）</w:t>
      </w:r>
      <w:r>
        <w:rPr>
          <w:rFonts w:hint="eastAsia" w:ascii="仿宋" w:hAnsi="仿宋" w:eastAsia="仿宋"/>
          <w:color w:val="auto"/>
          <w:sz w:val="32"/>
          <w:szCs w:val="32"/>
          <w:lang w:val="en-US" w:eastAsia="zh-CN"/>
        </w:rPr>
        <w:t>其他财政事务支出</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30</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37</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123</w:t>
      </w:r>
      <w:r>
        <w:rPr>
          <w:rFonts w:hint="eastAsia" w:ascii="仿宋" w:hAnsi="仿宋" w:eastAsia="仿宋"/>
          <w:color w:val="auto"/>
          <w:sz w:val="32"/>
          <w:szCs w:val="32"/>
        </w:rPr>
        <w:t>%，决算数大于年初预算数的主要原因是：财政事务行政运行支出有所增加。</w:t>
      </w:r>
    </w:p>
    <w:p>
      <w:pPr>
        <w:pStyle w:val="13"/>
        <w:spacing w:line="576"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lang w:val="en-US" w:eastAsia="zh-CN"/>
        </w:rPr>
        <w:t>8、国防支出</w:t>
      </w:r>
      <w:r>
        <w:rPr>
          <w:rFonts w:hint="eastAsia" w:ascii="仿宋" w:hAnsi="仿宋" w:eastAsia="仿宋"/>
          <w:color w:val="auto"/>
          <w:sz w:val="32"/>
          <w:szCs w:val="32"/>
        </w:rPr>
        <w:t>（类）</w:t>
      </w:r>
      <w:r>
        <w:rPr>
          <w:rFonts w:hint="eastAsia" w:ascii="仿宋" w:hAnsi="仿宋" w:eastAsia="仿宋"/>
          <w:color w:val="auto"/>
          <w:sz w:val="32"/>
          <w:szCs w:val="32"/>
          <w:lang w:val="en-US" w:eastAsia="zh-CN"/>
        </w:rPr>
        <w:t>国防动员</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兵役征集</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3.9</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3.9</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lang w:val="en-US" w:eastAsia="zh-CN"/>
        </w:rPr>
        <w:t>9、公共安全支出</w:t>
      </w:r>
      <w:r>
        <w:rPr>
          <w:rFonts w:hint="eastAsia" w:ascii="仿宋" w:hAnsi="仿宋" w:eastAsia="仿宋"/>
          <w:color w:val="auto"/>
          <w:sz w:val="32"/>
          <w:szCs w:val="32"/>
        </w:rPr>
        <w:t>（类）</w:t>
      </w:r>
      <w:r>
        <w:rPr>
          <w:rFonts w:hint="eastAsia" w:ascii="仿宋" w:hAnsi="仿宋" w:eastAsia="仿宋"/>
          <w:color w:val="auto"/>
          <w:sz w:val="32"/>
          <w:szCs w:val="32"/>
          <w:lang w:val="en-US" w:eastAsia="zh-CN"/>
        </w:rPr>
        <w:t>公安</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信息化建设</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11.09</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11.09</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lang w:val="en-US" w:eastAsia="zh-CN"/>
        </w:rPr>
        <w:t>10、公共安全支出</w:t>
      </w:r>
      <w:r>
        <w:rPr>
          <w:rFonts w:hint="eastAsia" w:ascii="仿宋" w:hAnsi="仿宋" w:eastAsia="仿宋"/>
          <w:color w:val="auto"/>
          <w:sz w:val="32"/>
          <w:szCs w:val="32"/>
        </w:rPr>
        <w:t>（类）</w:t>
      </w:r>
      <w:r>
        <w:rPr>
          <w:rFonts w:hint="eastAsia" w:ascii="仿宋" w:hAnsi="仿宋" w:eastAsia="仿宋"/>
          <w:color w:val="auto"/>
          <w:sz w:val="32"/>
          <w:szCs w:val="32"/>
          <w:lang w:val="en-US" w:eastAsia="zh-CN"/>
        </w:rPr>
        <w:t>公安</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其他公安支出</w:t>
      </w:r>
      <w:r>
        <w:rPr>
          <w:rFonts w:hint="eastAsia" w:ascii="仿宋" w:hAnsi="仿宋" w:eastAsia="仿宋"/>
          <w:color w:val="auto"/>
          <w:sz w:val="32"/>
          <w:szCs w:val="32"/>
        </w:rPr>
        <w:t>（项）。</w:t>
      </w:r>
    </w:p>
    <w:p>
      <w:pPr>
        <w:pStyle w:val="13"/>
        <w:spacing w:line="576"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lang w:val="en-US" w:eastAsia="zh-CN"/>
        </w:rPr>
        <w:t>11、公共安全支出</w:t>
      </w:r>
      <w:r>
        <w:rPr>
          <w:rFonts w:hint="eastAsia" w:ascii="仿宋" w:hAnsi="仿宋" w:eastAsia="仿宋"/>
          <w:color w:val="auto"/>
          <w:sz w:val="32"/>
          <w:szCs w:val="32"/>
        </w:rPr>
        <w:t>（类）</w:t>
      </w:r>
      <w:r>
        <w:rPr>
          <w:rFonts w:hint="eastAsia" w:ascii="仿宋" w:hAnsi="仿宋" w:eastAsia="仿宋"/>
          <w:color w:val="auto"/>
          <w:sz w:val="32"/>
          <w:szCs w:val="32"/>
          <w:lang w:val="en-US" w:eastAsia="zh-CN"/>
        </w:rPr>
        <w:t>其他公共安全支出</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其他公共安全支出</w:t>
      </w:r>
      <w:r>
        <w:rPr>
          <w:rFonts w:hint="eastAsia" w:ascii="仿宋" w:hAnsi="仿宋" w:eastAsia="仿宋"/>
          <w:color w:val="auto"/>
          <w:sz w:val="32"/>
          <w:szCs w:val="32"/>
        </w:rPr>
        <w:t>（项）。</w:t>
      </w:r>
    </w:p>
    <w:p>
      <w:pPr>
        <w:pStyle w:val="13"/>
        <w:spacing w:line="576"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27.46</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27.46</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12</w:t>
      </w:r>
      <w:r>
        <w:rPr>
          <w:rFonts w:hint="eastAsia" w:ascii="仿宋" w:hAnsi="仿宋" w:eastAsia="仿宋"/>
          <w:color w:val="auto"/>
          <w:sz w:val="32"/>
          <w:szCs w:val="32"/>
        </w:rPr>
        <w:t>、文化旅游体育与传媒支出（类）其他文化旅游体育与传媒支出（款）其他文化旅游体育与传媒支出（项）。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79.66</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79.66</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13</w:t>
      </w:r>
      <w:r>
        <w:rPr>
          <w:rFonts w:hint="eastAsia" w:ascii="仿宋" w:hAnsi="仿宋" w:eastAsia="仿宋"/>
          <w:color w:val="auto"/>
          <w:sz w:val="32"/>
          <w:szCs w:val="32"/>
        </w:rPr>
        <w:t>、社会保障和就业支出（类）</w:t>
      </w:r>
      <w:r>
        <w:rPr>
          <w:rFonts w:hint="eastAsia" w:ascii="仿宋" w:hAnsi="仿宋" w:eastAsia="仿宋"/>
          <w:color w:val="auto"/>
          <w:sz w:val="32"/>
          <w:szCs w:val="32"/>
          <w:lang w:val="en-US" w:eastAsia="zh-CN"/>
        </w:rPr>
        <w:t>企业改革补助</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企业关闭破产补助</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2</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2</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14</w:t>
      </w:r>
      <w:r>
        <w:rPr>
          <w:rFonts w:hint="eastAsia" w:ascii="仿宋" w:hAnsi="仿宋" w:eastAsia="仿宋"/>
          <w:color w:val="auto"/>
          <w:sz w:val="32"/>
          <w:szCs w:val="32"/>
        </w:rPr>
        <w:t>、社会保障和就业支出（类）</w:t>
      </w:r>
      <w:r>
        <w:rPr>
          <w:rFonts w:hint="eastAsia" w:ascii="仿宋" w:hAnsi="仿宋" w:eastAsia="仿宋"/>
          <w:color w:val="auto"/>
          <w:sz w:val="32"/>
          <w:szCs w:val="32"/>
          <w:lang w:val="en-US" w:eastAsia="zh-CN"/>
        </w:rPr>
        <w:t>社会福利</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老年福利</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15、</w:t>
      </w:r>
      <w:r>
        <w:rPr>
          <w:rFonts w:hint="eastAsia" w:ascii="仿宋" w:hAnsi="仿宋" w:eastAsia="仿宋"/>
          <w:color w:val="auto"/>
          <w:sz w:val="32"/>
          <w:szCs w:val="32"/>
        </w:rPr>
        <w:t>社会保障和就业支出（类）</w:t>
      </w:r>
      <w:r>
        <w:rPr>
          <w:rFonts w:hint="eastAsia" w:ascii="仿宋" w:hAnsi="仿宋" w:eastAsia="仿宋"/>
          <w:color w:val="auto"/>
          <w:sz w:val="32"/>
          <w:szCs w:val="32"/>
          <w:lang w:val="en-US" w:eastAsia="zh-CN"/>
        </w:rPr>
        <w:t>退役军人管理事务</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其他退役军人事务管理支出</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16.7</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16.7</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16、</w:t>
      </w:r>
      <w:r>
        <w:rPr>
          <w:rFonts w:hint="eastAsia" w:ascii="仿宋" w:hAnsi="仿宋" w:eastAsia="仿宋"/>
          <w:color w:val="auto"/>
          <w:sz w:val="32"/>
          <w:szCs w:val="32"/>
        </w:rPr>
        <w:t>卫生健康支出（类）卫生健康管理事务（款）其他卫生健康管理事务支出（项）。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24.78</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24.78</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17、</w:t>
      </w:r>
      <w:r>
        <w:rPr>
          <w:rFonts w:hint="eastAsia" w:ascii="仿宋" w:hAnsi="仿宋" w:eastAsia="仿宋"/>
          <w:color w:val="auto"/>
          <w:sz w:val="32"/>
          <w:szCs w:val="32"/>
        </w:rPr>
        <w:t>卫生健康支出（类）</w:t>
      </w:r>
      <w:r>
        <w:rPr>
          <w:rFonts w:hint="eastAsia" w:ascii="仿宋" w:hAnsi="仿宋" w:eastAsia="仿宋"/>
          <w:color w:val="auto"/>
          <w:sz w:val="32"/>
          <w:szCs w:val="32"/>
          <w:lang w:val="en-US" w:eastAsia="zh-CN"/>
        </w:rPr>
        <w:t>计划生育事务</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计划生育服务</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45.02</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45.02</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18、</w:t>
      </w:r>
      <w:r>
        <w:rPr>
          <w:rFonts w:hint="eastAsia" w:ascii="仿宋" w:hAnsi="仿宋" w:eastAsia="仿宋"/>
          <w:color w:val="auto"/>
          <w:sz w:val="32"/>
          <w:szCs w:val="32"/>
        </w:rPr>
        <w:t>卫生健康支出（类）</w:t>
      </w:r>
      <w:r>
        <w:rPr>
          <w:rFonts w:hint="eastAsia" w:ascii="仿宋" w:hAnsi="仿宋" w:eastAsia="仿宋"/>
          <w:color w:val="auto"/>
          <w:sz w:val="32"/>
          <w:szCs w:val="32"/>
          <w:lang w:val="en-US" w:eastAsia="zh-CN"/>
        </w:rPr>
        <w:t>其他卫生健康支出</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其他卫生健康支出</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3.38</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3.38</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19</w:t>
      </w:r>
      <w:r>
        <w:rPr>
          <w:rFonts w:hint="eastAsia" w:ascii="仿宋" w:hAnsi="仿宋" w:eastAsia="仿宋"/>
          <w:color w:val="auto"/>
          <w:sz w:val="32"/>
          <w:szCs w:val="32"/>
        </w:rPr>
        <w:t>、</w:t>
      </w:r>
      <w:r>
        <w:rPr>
          <w:rFonts w:hint="eastAsia" w:ascii="仿宋" w:hAnsi="仿宋" w:eastAsia="仿宋"/>
          <w:color w:val="auto"/>
          <w:sz w:val="32"/>
          <w:szCs w:val="32"/>
          <w:lang w:val="en-US" w:eastAsia="zh-CN"/>
        </w:rPr>
        <w:t>节能环保支出</w:t>
      </w:r>
      <w:r>
        <w:rPr>
          <w:rFonts w:hint="eastAsia" w:ascii="仿宋" w:hAnsi="仿宋" w:eastAsia="仿宋"/>
          <w:color w:val="auto"/>
          <w:sz w:val="32"/>
          <w:szCs w:val="32"/>
        </w:rPr>
        <w:t>（类）</w:t>
      </w:r>
      <w:r>
        <w:rPr>
          <w:rFonts w:hint="eastAsia" w:ascii="仿宋" w:hAnsi="仿宋" w:eastAsia="仿宋"/>
          <w:color w:val="auto"/>
          <w:sz w:val="32"/>
          <w:szCs w:val="32"/>
          <w:lang w:val="en-US" w:eastAsia="zh-CN"/>
        </w:rPr>
        <w:t>自然生态保护</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农村环境保护</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3.03</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3.03</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20、</w:t>
      </w:r>
      <w:r>
        <w:rPr>
          <w:rFonts w:hint="eastAsia" w:ascii="仿宋" w:hAnsi="仿宋" w:eastAsia="仿宋"/>
          <w:color w:val="auto"/>
          <w:sz w:val="32"/>
          <w:szCs w:val="32"/>
        </w:rPr>
        <w:t>城乡社区支出（类）城乡社区管理事务（款）城管执法（项）。</w:t>
      </w:r>
    </w:p>
    <w:p>
      <w:pPr>
        <w:pStyle w:val="13"/>
        <w:spacing w:line="576" w:lineRule="exact"/>
        <w:ind w:firstLine="800" w:firstLineChars="250"/>
        <w:rPr>
          <w:rFonts w:ascii="仿宋" w:hAnsi="仿宋" w:eastAsia="仿宋"/>
          <w:color w:val="auto"/>
          <w:sz w:val="32"/>
          <w:szCs w:val="32"/>
        </w:rPr>
      </w:pPr>
      <w:r>
        <w:rPr>
          <w:rFonts w:hint="eastAsia" w:ascii="仿宋" w:hAnsi="仿宋" w:eastAsia="仿宋"/>
          <w:color w:val="auto"/>
          <w:sz w:val="32"/>
          <w:szCs w:val="32"/>
        </w:rPr>
        <w:t>年初预算为</w:t>
      </w:r>
      <w:r>
        <w:rPr>
          <w:rFonts w:ascii="仿宋" w:hAnsi="仿宋" w:eastAsia="仿宋"/>
          <w:color w:val="auto"/>
          <w:sz w:val="32"/>
          <w:szCs w:val="32"/>
        </w:rPr>
        <w:t>32</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34.02</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106</w:t>
      </w:r>
      <w:r>
        <w:rPr>
          <w:rFonts w:hint="eastAsia" w:ascii="仿宋" w:hAnsi="仿宋" w:eastAsia="仿宋"/>
          <w:color w:val="auto"/>
          <w:sz w:val="32"/>
          <w:szCs w:val="32"/>
        </w:rPr>
        <w:t>%，决算数大于年初预算数的主要原因是：城管执法支出增加。</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21、</w:t>
      </w:r>
      <w:r>
        <w:rPr>
          <w:rFonts w:hint="eastAsia" w:ascii="仿宋" w:hAnsi="仿宋" w:eastAsia="仿宋"/>
          <w:color w:val="auto"/>
          <w:sz w:val="32"/>
          <w:szCs w:val="32"/>
        </w:rPr>
        <w:t>城乡社区支出（类）</w:t>
      </w:r>
      <w:r>
        <w:rPr>
          <w:rFonts w:hint="eastAsia" w:ascii="仿宋" w:hAnsi="仿宋" w:eastAsia="仿宋"/>
          <w:color w:val="auto"/>
          <w:sz w:val="32"/>
          <w:szCs w:val="32"/>
          <w:lang w:val="en-US" w:eastAsia="zh-CN"/>
        </w:rPr>
        <w:t>城乡社区公共设施</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小城镇基础设施建设</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5.49</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5.49</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22</w:t>
      </w:r>
      <w:r>
        <w:rPr>
          <w:rFonts w:hint="eastAsia" w:ascii="仿宋" w:hAnsi="仿宋" w:eastAsia="仿宋"/>
          <w:color w:val="auto"/>
          <w:sz w:val="32"/>
          <w:szCs w:val="32"/>
        </w:rPr>
        <w:t>、城乡社区支出（类）城乡社区环境卫生（款）城乡社区环境卫生（项）。</w:t>
      </w:r>
    </w:p>
    <w:p>
      <w:pPr>
        <w:pStyle w:val="13"/>
        <w:spacing w:line="576" w:lineRule="exact"/>
        <w:ind w:firstLine="800" w:firstLineChars="250"/>
        <w:rPr>
          <w:rFonts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highlight w:val="none"/>
          <w:lang w:val="en-US" w:eastAsia="zh-CN"/>
        </w:rPr>
        <w:t>22.41</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22.41</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23</w:t>
      </w:r>
      <w:r>
        <w:rPr>
          <w:rFonts w:hint="eastAsia" w:ascii="仿宋" w:hAnsi="仿宋" w:eastAsia="仿宋"/>
          <w:color w:val="auto"/>
          <w:sz w:val="32"/>
          <w:szCs w:val="32"/>
        </w:rPr>
        <w:t>、农林水支出（类）</w:t>
      </w:r>
      <w:r>
        <w:rPr>
          <w:rFonts w:hint="eastAsia" w:ascii="仿宋" w:hAnsi="仿宋" w:eastAsia="仿宋"/>
          <w:color w:val="auto"/>
          <w:sz w:val="32"/>
          <w:szCs w:val="32"/>
          <w:lang w:val="en-US" w:eastAsia="zh-CN"/>
        </w:rPr>
        <w:t>水利</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防汛</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11.3</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11.3</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24、</w:t>
      </w:r>
      <w:r>
        <w:rPr>
          <w:rFonts w:hint="eastAsia" w:ascii="仿宋" w:hAnsi="仿宋" w:eastAsia="仿宋"/>
          <w:color w:val="auto"/>
          <w:sz w:val="32"/>
          <w:szCs w:val="32"/>
        </w:rPr>
        <w:t>农林水支出（类）</w:t>
      </w:r>
      <w:r>
        <w:rPr>
          <w:rFonts w:hint="eastAsia" w:ascii="仿宋" w:hAnsi="仿宋" w:eastAsia="仿宋"/>
          <w:color w:val="auto"/>
          <w:sz w:val="32"/>
          <w:szCs w:val="32"/>
          <w:lang w:val="en-US" w:eastAsia="zh-CN"/>
        </w:rPr>
        <w:t>扶贫</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其他扶贫支出</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15</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15</w:t>
      </w:r>
      <w:r>
        <w:rPr>
          <w:rFonts w:hint="eastAsia" w:ascii="仿宋" w:hAnsi="仿宋" w:eastAsia="仿宋"/>
          <w:color w:val="auto"/>
          <w:sz w:val="32"/>
          <w:szCs w:val="32"/>
        </w:rPr>
        <w:t>万元，完成年初预算的</w:t>
      </w:r>
      <w:r>
        <w:rPr>
          <w:rFonts w:ascii="仿宋" w:hAnsi="仿宋" w:eastAsia="仿宋"/>
          <w:color w:val="auto"/>
          <w:sz w:val="32"/>
          <w:szCs w:val="32"/>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25</w:t>
      </w:r>
      <w:r>
        <w:rPr>
          <w:rFonts w:hint="eastAsia" w:ascii="仿宋" w:hAnsi="仿宋" w:eastAsia="仿宋"/>
          <w:color w:val="auto"/>
          <w:sz w:val="32"/>
          <w:szCs w:val="32"/>
        </w:rPr>
        <w:t>、农林水支出（类）农村综合改革（款）对村级一事一议的补助（项）。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年初预算为0万元，支出决算为</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万元，决算数大于年初预算数的主要原因是：完成了对村级一事一议的补助支出。</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26</w:t>
      </w:r>
      <w:r>
        <w:rPr>
          <w:rFonts w:hint="eastAsia" w:ascii="仿宋" w:hAnsi="仿宋" w:eastAsia="仿宋"/>
          <w:color w:val="auto"/>
          <w:sz w:val="32"/>
          <w:szCs w:val="32"/>
        </w:rPr>
        <w:t>、农林水支出（类）农村综合改革（款）对村民委员会和村党支部的补助（项）。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210</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253.49</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120</w:t>
      </w:r>
      <w:r>
        <w:rPr>
          <w:rFonts w:hint="eastAsia" w:ascii="仿宋" w:hAnsi="仿宋" w:eastAsia="仿宋"/>
          <w:color w:val="auto"/>
          <w:sz w:val="32"/>
          <w:szCs w:val="32"/>
        </w:rPr>
        <w:t>%，决算数大于年初预算数的主要原因是：对村民委员会和村党支部的补助有所增加。</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27、</w:t>
      </w:r>
      <w:r>
        <w:rPr>
          <w:rFonts w:hint="eastAsia" w:ascii="仿宋" w:hAnsi="仿宋" w:eastAsia="仿宋"/>
          <w:color w:val="auto"/>
          <w:sz w:val="32"/>
          <w:szCs w:val="32"/>
        </w:rPr>
        <w:t>农林水支出（类）农村综合改革（款）</w:t>
      </w:r>
      <w:r>
        <w:rPr>
          <w:rFonts w:hint="eastAsia" w:ascii="仿宋" w:hAnsi="仿宋" w:eastAsia="仿宋"/>
          <w:color w:val="auto"/>
          <w:sz w:val="32"/>
          <w:szCs w:val="32"/>
          <w:lang w:val="en-US" w:eastAsia="zh-CN"/>
        </w:rPr>
        <w:t>其他农村综合改革支出（</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22</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22</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100</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28</w:t>
      </w:r>
      <w:r>
        <w:rPr>
          <w:rFonts w:hint="eastAsia" w:ascii="仿宋" w:hAnsi="仿宋" w:eastAsia="仿宋"/>
          <w:color w:val="auto"/>
          <w:sz w:val="32"/>
          <w:szCs w:val="32"/>
        </w:rPr>
        <w:t>、农林水支出（类）其他农林水支出（款）其他农林水支出（项）。</w:t>
      </w:r>
    </w:p>
    <w:p>
      <w:pPr>
        <w:pStyle w:val="13"/>
        <w:spacing w:line="576" w:lineRule="exact"/>
        <w:ind w:firstLine="800" w:firstLineChars="250"/>
        <w:rPr>
          <w:rFonts w:ascii="仿宋" w:hAnsi="仿宋" w:eastAsia="仿宋"/>
          <w:color w:val="auto"/>
          <w:sz w:val="32"/>
          <w:szCs w:val="32"/>
        </w:rPr>
      </w:pPr>
      <w:r>
        <w:rPr>
          <w:rFonts w:hint="eastAsia" w:ascii="仿宋" w:hAnsi="仿宋" w:eastAsia="仿宋"/>
          <w:color w:val="auto"/>
          <w:sz w:val="32"/>
          <w:szCs w:val="32"/>
        </w:rPr>
        <w:t>年初预算为</w:t>
      </w:r>
      <w:r>
        <w:rPr>
          <w:rFonts w:ascii="仿宋" w:hAnsi="仿宋" w:eastAsia="仿宋"/>
          <w:color w:val="auto"/>
          <w:sz w:val="32"/>
          <w:szCs w:val="32"/>
        </w:rPr>
        <w:t>109</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142.21</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130</w:t>
      </w:r>
      <w:r>
        <w:rPr>
          <w:rFonts w:ascii="仿宋" w:hAnsi="仿宋" w:eastAsia="仿宋"/>
          <w:color w:val="auto"/>
          <w:sz w:val="32"/>
          <w:szCs w:val="32"/>
        </w:rPr>
        <w:t xml:space="preserve"> </w:t>
      </w:r>
      <w:r>
        <w:rPr>
          <w:rFonts w:hint="eastAsia" w:ascii="仿宋" w:hAnsi="仿宋" w:eastAsia="仿宋"/>
          <w:color w:val="auto"/>
          <w:sz w:val="32"/>
          <w:szCs w:val="32"/>
        </w:rPr>
        <w:t>%，决算数大于年初预算数的主要原因是：其他农林水支出有所增加。</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29</w:t>
      </w:r>
      <w:r>
        <w:rPr>
          <w:rFonts w:hint="eastAsia" w:ascii="仿宋" w:hAnsi="仿宋" w:eastAsia="仿宋"/>
          <w:color w:val="auto"/>
          <w:sz w:val="32"/>
          <w:szCs w:val="32"/>
        </w:rPr>
        <w:t>、</w:t>
      </w:r>
      <w:r>
        <w:rPr>
          <w:rFonts w:hint="eastAsia" w:ascii="仿宋" w:hAnsi="仿宋" w:eastAsia="仿宋"/>
          <w:color w:val="auto"/>
          <w:sz w:val="32"/>
          <w:szCs w:val="32"/>
          <w:lang w:val="en-US" w:eastAsia="zh-CN"/>
        </w:rPr>
        <w:t>交通运输支出</w:t>
      </w:r>
      <w:r>
        <w:rPr>
          <w:rFonts w:hint="eastAsia" w:ascii="仿宋" w:hAnsi="仿宋" w:eastAsia="仿宋"/>
          <w:color w:val="auto"/>
          <w:sz w:val="32"/>
          <w:szCs w:val="32"/>
        </w:rPr>
        <w:t>（类）</w:t>
      </w:r>
      <w:r>
        <w:rPr>
          <w:rFonts w:hint="eastAsia" w:ascii="仿宋" w:hAnsi="仿宋" w:eastAsia="仿宋"/>
          <w:color w:val="auto"/>
          <w:sz w:val="32"/>
          <w:szCs w:val="32"/>
          <w:lang w:val="en-US" w:eastAsia="zh-CN"/>
        </w:rPr>
        <w:t>公路水利运输</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公路建设</w:t>
      </w:r>
      <w:r>
        <w:rPr>
          <w:rFonts w:hint="eastAsia" w:ascii="仿宋" w:hAnsi="仿宋" w:eastAsia="仿宋"/>
          <w:color w:val="auto"/>
          <w:sz w:val="32"/>
          <w:szCs w:val="32"/>
        </w:rPr>
        <w:t>（项）。</w:t>
      </w:r>
    </w:p>
    <w:p>
      <w:pPr>
        <w:pStyle w:val="13"/>
        <w:spacing w:line="576" w:lineRule="exact"/>
        <w:ind w:firstLine="800" w:firstLineChars="250"/>
        <w:rPr>
          <w:rFonts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200</w:t>
      </w:r>
      <w:r>
        <w:rPr>
          <w:rFonts w:hint="eastAsia" w:ascii="仿宋" w:hAnsi="仿宋" w:eastAsia="仿宋"/>
          <w:color w:val="auto"/>
          <w:sz w:val="32"/>
          <w:szCs w:val="32"/>
        </w:rPr>
        <w:t>万元，决算数大于年初预算数的主要原因是：</w:t>
      </w:r>
      <w:r>
        <w:rPr>
          <w:rFonts w:hint="eastAsia" w:ascii="仿宋" w:hAnsi="仿宋" w:eastAsia="仿宋"/>
          <w:color w:val="auto"/>
          <w:sz w:val="32"/>
          <w:szCs w:val="32"/>
          <w:lang w:val="en-US" w:eastAsia="zh-CN"/>
        </w:rPr>
        <w:t>指标追加</w:t>
      </w:r>
      <w:r>
        <w:rPr>
          <w:rFonts w:hint="eastAsia" w:ascii="仿宋" w:hAnsi="仿宋" w:eastAsia="仿宋"/>
          <w:color w:val="auto"/>
          <w:sz w:val="32"/>
          <w:szCs w:val="32"/>
        </w:rPr>
        <w:t>。</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lang w:val="en-US" w:eastAsia="zh-CN"/>
        </w:rPr>
        <w:t>30</w:t>
      </w:r>
      <w:r>
        <w:rPr>
          <w:rFonts w:hint="eastAsia" w:ascii="仿宋" w:hAnsi="仿宋" w:eastAsia="仿宋"/>
          <w:color w:val="auto"/>
          <w:sz w:val="32"/>
          <w:szCs w:val="32"/>
        </w:rPr>
        <w:t>、</w:t>
      </w:r>
      <w:r>
        <w:rPr>
          <w:rFonts w:hint="eastAsia" w:ascii="仿宋" w:hAnsi="仿宋" w:eastAsia="仿宋"/>
          <w:color w:val="auto"/>
          <w:sz w:val="32"/>
          <w:szCs w:val="32"/>
          <w:lang w:val="en-US" w:eastAsia="zh-CN"/>
        </w:rPr>
        <w:t>资源勘探工业信息等支出</w:t>
      </w:r>
      <w:r>
        <w:rPr>
          <w:rFonts w:hint="eastAsia" w:ascii="仿宋" w:hAnsi="仿宋" w:eastAsia="仿宋"/>
          <w:color w:val="auto"/>
          <w:sz w:val="32"/>
          <w:szCs w:val="32"/>
        </w:rPr>
        <w:t>（类）</w:t>
      </w:r>
      <w:r>
        <w:rPr>
          <w:rFonts w:hint="eastAsia" w:ascii="仿宋" w:hAnsi="仿宋" w:eastAsia="仿宋"/>
          <w:color w:val="auto"/>
          <w:sz w:val="32"/>
          <w:szCs w:val="32"/>
          <w:lang w:val="en-US" w:eastAsia="zh-CN"/>
        </w:rPr>
        <w:t>支持中小企业发展和管理支出</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其他支持中小企业发展和管理支出</w:t>
      </w:r>
      <w:r>
        <w:rPr>
          <w:rFonts w:hint="eastAsia" w:ascii="仿宋" w:hAnsi="仿宋" w:eastAsia="仿宋"/>
          <w:color w:val="auto"/>
          <w:sz w:val="32"/>
          <w:szCs w:val="32"/>
        </w:rPr>
        <w:t>（项）。</w:t>
      </w:r>
    </w:p>
    <w:p>
      <w:pPr>
        <w:pStyle w:val="13"/>
        <w:spacing w:line="576" w:lineRule="exact"/>
        <w:ind w:firstLine="800" w:firstLineChars="250"/>
        <w:rPr>
          <w:rFonts w:ascii="仿宋" w:hAnsi="仿宋" w:eastAsia="仿宋"/>
          <w:color w:val="auto"/>
          <w:sz w:val="32"/>
          <w:szCs w:val="32"/>
        </w:rPr>
      </w:pPr>
      <w:r>
        <w:rPr>
          <w:rFonts w:hint="eastAsia" w:ascii="仿宋" w:hAnsi="仿宋" w:eastAsia="仿宋"/>
          <w:color w:val="auto"/>
          <w:sz w:val="32"/>
          <w:szCs w:val="32"/>
        </w:rPr>
        <w:t>年初预算为</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万元，完成年初预算的</w:t>
      </w:r>
      <w:r>
        <w:rPr>
          <w:rFonts w:hint="eastAsia" w:ascii="仿宋" w:hAnsi="仿宋" w:eastAsia="仿宋"/>
          <w:color w:val="auto"/>
          <w:sz w:val="32"/>
          <w:szCs w:val="32"/>
          <w:lang w:val="en-US" w:eastAsia="zh-CN"/>
        </w:rPr>
        <w:t>100</w:t>
      </w:r>
      <w:r>
        <w:rPr>
          <w:rFonts w:ascii="仿宋" w:hAnsi="仿宋" w:eastAsia="仿宋"/>
          <w:color w:val="auto"/>
          <w:sz w:val="32"/>
          <w:szCs w:val="32"/>
        </w:rPr>
        <w:t xml:space="preserve"> </w:t>
      </w:r>
      <w:r>
        <w:rPr>
          <w:rFonts w:hint="eastAsia" w:ascii="仿宋" w:hAnsi="仿宋" w:eastAsia="仿宋"/>
          <w:color w:val="auto"/>
          <w:sz w:val="32"/>
          <w:szCs w:val="32"/>
        </w:rPr>
        <w:t>%。</w:t>
      </w:r>
    </w:p>
    <w:p>
      <w:pPr>
        <w:pStyle w:val="13"/>
        <w:spacing w:line="576" w:lineRule="exact"/>
        <w:ind w:firstLine="800" w:firstLineChars="250"/>
        <w:rPr>
          <w:rFonts w:ascii="仿宋" w:hAnsi="仿宋" w:eastAsia="仿宋"/>
          <w:color w:val="auto"/>
          <w:sz w:val="32"/>
          <w:szCs w:val="32"/>
        </w:rPr>
      </w:pPr>
      <w:r>
        <w:rPr>
          <w:rFonts w:hint="eastAsia" w:ascii="仿宋" w:hAnsi="仿宋" w:eastAsia="仿宋"/>
          <w:color w:val="auto"/>
          <w:sz w:val="32"/>
          <w:szCs w:val="32"/>
          <w:lang w:val="en-US" w:eastAsia="zh-CN"/>
        </w:rPr>
        <w:t>31</w:t>
      </w:r>
      <w:r>
        <w:rPr>
          <w:rFonts w:hint="eastAsia" w:ascii="仿宋" w:hAnsi="仿宋" w:eastAsia="仿宋"/>
          <w:color w:val="auto"/>
          <w:sz w:val="32"/>
          <w:szCs w:val="32"/>
        </w:rPr>
        <w:t>、灾害防治和应急管理支出（类）</w:t>
      </w:r>
      <w:r>
        <w:rPr>
          <w:rFonts w:hint="eastAsia" w:ascii="仿宋" w:hAnsi="仿宋" w:eastAsia="仿宋"/>
          <w:color w:val="auto"/>
          <w:sz w:val="32"/>
          <w:szCs w:val="32"/>
          <w:lang w:val="en-US" w:eastAsia="zh-CN"/>
        </w:rPr>
        <w:t>其他灾害防治及应急管理支出</w:t>
      </w:r>
      <w:r>
        <w:rPr>
          <w:rFonts w:hint="eastAsia" w:ascii="仿宋" w:hAnsi="仿宋" w:eastAsia="仿宋"/>
          <w:color w:val="auto"/>
          <w:sz w:val="32"/>
          <w:szCs w:val="32"/>
        </w:rPr>
        <w:t>（款）</w:t>
      </w:r>
      <w:r>
        <w:rPr>
          <w:rFonts w:hint="eastAsia" w:ascii="仿宋" w:hAnsi="仿宋" w:eastAsia="仿宋"/>
          <w:color w:val="auto"/>
          <w:sz w:val="32"/>
          <w:szCs w:val="32"/>
          <w:lang w:val="en-US" w:eastAsia="zh-CN"/>
        </w:rPr>
        <w:t>其他灾害防治及应急管理支出</w:t>
      </w:r>
      <w:r>
        <w:rPr>
          <w:rFonts w:hint="eastAsia" w:ascii="仿宋" w:hAnsi="仿宋" w:eastAsia="仿宋"/>
          <w:color w:val="auto"/>
          <w:sz w:val="32"/>
          <w:szCs w:val="32"/>
        </w:rPr>
        <w:t>（项）。</w:t>
      </w:r>
    </w:p>
    <w:p>
      <w:pPr>
        <w:pStyle w:val="13"/>
        <w:spacing w:line="576" w:lineRule="exact"/>
        <w:ind w:firstLine="800" w:firstLineChars="250"/>
        <w:rPr>
          <w:rFonts w:hint="eastAsia" w:ascii="仿宋" w:hAnsi="仿宋" w:eastAsia="仿宋"/>
          <w:color w:val="auto"/>
          <w:sz w:val="32"/>
          <w:szCs w:val="32"/>
        </w:rPr>
      </w:pPr>
      <w:r>
        <w:rPr>
          <w:rFonts w:hint="eastAsia" w:ascii="仿宋" w:hAnsi="仿宋" w:eastAsia="仿宋"/>
          <w:color w:val="auto"/>
          <w:sz w:val="32"/>
          <w:szCs w:val="32"/>
        </w:rPr>
        <w:t>年初预算为</w:t>
      </w:r>
      <w:r>
        <w:rPr>
          <w:rFonts w:ascii="仿宋" w:hAnsi="仿宋" w:eastAsia="仿宋"/>
          <w:color w:val="auto"/>
          <w:sz w:val="32"/>
          <w:szCs w:val="32"/>
        </w:rPr>
        <w:t>0</w:t>
      </w:r>
      <w:r>
        <w:rPr>
          <w:rFonts w:hint="eastAsia" w:ascii="仿宋" w:hAnsi="仿宋" w:eastAsia="仿宋"/>
          <w:color w:val="auto"/>
          <w:sz w:val="32"/>
          <w:szCs w:val="32"/>
        </w:rPr>
        <w:t>万元，支出决算为</w:t>
      </w:r>
      <w:r>
        <w:rPr>
          <w:rFonts w:hint="eastAsia" w:ascii="仿宋" w:hAnsi="仿宋" w:eastAsia="仿宋"/>
          <w:color w:val="auto"/>
          <w:sz w:val="32"/>
          <w:szCs w:val="32"/>
          <w:lang w:val="en-US" w:eastAsia="zh-CN"/>
        </w:rPr>
        <w:t>8.87</w:t>
      </w:r>
      <w:r>
        <w:rPr>
          <w:rFonts w:hint="eastAsia" w:ascii="仿宋" w:hAnsi="仿宋" w:eastAsia="仿宋"/>
          <w:color w:val="auto"/>
          <w:sz w:val="32"/>
          <w:szCs w:val="32"/>
        </w:rPr>
        <w:t>元，决算数大于年初预算数的主要原因是：灾害类预算追加。</w:t>
      </w:r>
    </w:p>
    <w:p>
      <w:pPr>
        <w:pStyle w:val="13"/>
        <w:ind w:firstLine="800" w:firstLineChars="250"/>
        <w:rPr>
          <w:rFonts w:hint="eastAsia" w:asciiTheme="minorEastAsia" w:hAnsiTheme="minorEastAsia" w:eastAsiaTheme="minorEastAsia"/>
          <w:sz w:val="32"/>
          <w:szCs w:val="32"/>
        </w:rPr>
      </w:pPr>
    </w:p>
    <w:p>
      <w:pPr>
        <w:pStyle w:val="13"/>
        <w:ind w:firstLine="640" w:firstLineChars="200"/>
        <w:rPr>
          <w:rFonts w:hAnsi="黑体"/>
          <w:b/>
          <w:sz w:val="32"/>
          <w:szCs w:val="32"/>
        </w:rPr>
      </w:pPr>
      <w:r>
        <w:rPr>
          <w:rFonts w:hint="eastAsia" w:hAnsi="黑体"/>
          <w:b/>
          <w:sz w:val="32"/>
          <w:szCs w:val="32"/>
        </w:rPr>
        <w:t>六、一般公共预算财政拨款基本支出决算情况说明</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2525.83</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2114.48</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83.7</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、绩效工资、机关养老保险、医疗保险、职业年金、公务员医保补助、其他社会保障缴费、生活补助、救济费、医疗费补助、助学金、奖励金、对个人和家庭的补助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411.35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16.3</w:t>
      </w:r>
      <w:r>
        <w:rPr>
          <w:rFonts w:hint="eastAsia" w:asciiTheme="minorEastAsia" w:hAnsiTheme="minorEastAsia" w:eastAsiaTheme="minorEastAsia"/>
          <w:sz w:val="32"/>
          <w:szCs w:val="32"/>
        </w:rPr>
        <w:t>%，主要包括办公费、印刷费、咨询费、</w:t>
      </w:r>
      <w:r>
        <w:rPr>
          <w:rFonts w:hint="eastAsia" w:asciiTheme="minorEastAsia" w:hAnsiTheme="minorEastAsia" w:eastAsiaTheme="minorEastAsia"/>
          <w:sz w:val="32"/>
          <w:szCs w:val="32"/>
          <w:lang w:eastAsia="zh-CN"/>
        </w:rPr>
        <w:t>水费、电费、邮电费、差旅费、维修费、租赁费、培训费、专用材料费、专用燃料费、劳务费、委托业务费、其他交通费、其他商品和服务支出、办公设备购置费</w:t>
      </w:r>
      <w:r>
        <w:rPr>
          <w:rFonts w:hint="eastAsia" w:asciiTheme="minorEastAsia" w:hAnsiTheme="minorEastAsia" w:eastAsiaTheme="minorEastAsia"/>
          <w:sz w:val="32"/>
          <w:szCs w:val="32"/>
        </w:rPr>
        <w:t>。</w:t>
      </w:r>
    </w:p>
    <w:p>
      <w:pPr>
        <w:pStyle w:val="13"/>
        <w:rPr>
          <w:rFonts w:hAnsi="黑体"/>
          <w:b/>
          <w:sz w:val="32"/>
          <w:szCs w:val="32"/>
        </w:rPr>
      </w:pPr>
      <w:r>
        <w:rPr>
          <w:rFonts w:hint="eastAsia" w:hAnsi="黑体"/>
          <w:b/>
          <w:sz w:val="32"/>
          <w:szCs w:val="32"/>
        </w:rPr>
        <w:t>七、一般公共预算财政拨款三公经费支出决算情况说明</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3"/>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r>
        <w:rPr>
          <w:rFonts w:hint="eastAsia" w:asciiTheme="minorEastAsia" w:hAnsiTheme="minorEastAsia" w:eastAsiaTheme="minorEastAsia"/>
          <w:sz w:val="32"/>
          <w:szCs w:val="32"/>
          <w:lang w:eastAsia="zh-CN"/>
        </w:rPr>
        <w:t>无</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%，决算数大于（小于）预算数的主要原因是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%,减少（增长）的主要原因是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%，决算数大于（小于）预算数的主要原因是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%,减少（增长）的主要原因是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%，决算数大于（小于）预算数的主要原因是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，与上年相比减少（增加）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万元，减少（增长）</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%,减少（增长）的主要原因是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3"/>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r>
        <w:rPr>
          <w:rFonts w:hint="eastAsia" w:asciiTheme="minorEastAsia" w:hAnsiTheme="minorEastAsia" w:eastAsiaTheme="minorEastAsia"/>
          <w:sz w:val="32"/>
          <w:szCs w:val="32"/>
          <w:lang w:eastAsia="zh-CN"/>
        </w:rPr>
        <w:t>无</w:t>
      </w:r>
    </w:p>
    <w:p>
      <w:pPr>
        <w:pStyle w:val="13"/>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人次,开支内容包括：</w:t>
      </w:r>
      <w:r>
        <w:rPr>
          <w:rFonts w:hint="eastAsia" w:asciiTheme="minorEastAsia" w:hAnsiTheme="minorEastAsia" w:eastAsiaTheme="minorEastAsia"/>
          <w:sz w:val="32"/>
          <w:szCs w:val="32"/>
          <w:lang w:eastAsia="zh-CN"/>
        </w:rPr>
        <w:t>无</w:t>
      </w:r>
    </w:p>
    <w:p>
      <w:pPr>
        <w:pStyle w:val="13"/>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w:t>
      </w:r>
    </w:p>
    <w:p>
      <w:pPr>
        <w:ind w:firstLine="800" w:firstLineChars="250"/>
        <w:rPr>
          <w:rFonts w:hint="eastAsia" w:cs="黑体" w:asciiTheme="minorEastAsia" w:hAnsiTheme="minorEastAsia" w:eastAsiaTheme="minorEastAsia"/>
          <w:color w:val="000000"/>
          <w:kern w:val="0"/>
          <w:sz w:val="32"/>
          <w:szCs w:val="32"/>
          <w:lang w:val="en-US" w:eastAsia="zh-CN"/>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val="en-US" w:eastAsia="zh-CN"/>
        </w:rPr>
        <w:t>0</w:t>
      </w:r>
      <w:r>
        <w:rPr>
          <w:rFonts w:hint="eastAsia" w:asciiTheme="minorEastAsia" w:hAnsiTheme="minorEastAsia"/>
          <w:sz w:val="32"/>
          <w:szCs w:val="32"/>
        </w:rPr>
        <w:t>（单位本级或某二级机构）更新公务用车</w:t>
      </w:r>
      <w:r>
        <w:rPr>
          <w:rFonts w:hint="eastAsia" w:asciiTheme="minorEastAsia" w:hAnsiTheme="minorEastAsia"/>
          <w:sz w:val="32"/>
          <w:szCs w:val="32"/>
          <w:lang w:val="en-US" w:eastAsia="zh-CN"/>
        </w:rPr>
        <w:t>0</w:t>
      </w:r>
      <w:r>
        <w:rPr>
          <w:rFonts w:hint="eastAsia" w:asciiTheme="minorEastAsia" w:hAnsiTheme="minorEastAsia"/>
          <w:sz w:val="32"/>
          <w:szCs w:val="32"/>
        </w:rPr>
        <w:t>辆</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0</w:t>
      </w:r>
      <w:r>
        <w:rPr>
          <w:rFonts w:hint="eastAsia" w:asciiTheme="minorEastAsia" w:hAnsiTheme="minorEastAsia"/>
          <w:sz w:val="32"/>
          <w:szCs w:val="32"/>
        </w:rPr>
        <w:t>万元，主要是</w:t>
      </w:r>
      <w:r>
        <w:rPr>
          <w:rFonts w:hint="eastAsia" w:asciiTheme="minorEastAsia" w:hAnsiTheme="minorEastAsia"/>
          <w:sz w:val="32"/>
          <w:szCs w:val="32"/>
          <w:lang w:eastAsia="zh-CN"/>
        </w:rPr>
        <w:t>：无</w:t>
      </w:r>
      <w:r>
        <w:rPr>
          <w:rFonts w:hint="eastAsia" w:asciiTheme="minorEastAsia" w:hAnsiTheme="minorEastAsia"/>
          <w:sz w:val="32"/>
          <w:szCs w:val="32"/>
        </w:rPr>
        <w:t>，</w:t>
      </w:r>
      <w:r>
        <w:rPr>
          <w:rFonts w:hint="eastAsia" w:asciiTheme="minorEastAsia" w:hAnsiTheme="minorEastAsia"/>
          <w:sz w:val="32"/>
          <w:szCs w:val="32"/>
          <w:lang w:eastAsia="zh-CN"/>
        </w:rPr>
        <w:t>截至2020年</w:t>
      </w:r>
      <w:r>
        <w:rPr>
          <w:rFonts w:hint="eastAsia" w:asciiTheme="minorEastAsia" w:hAnsiTheme="minorEastAsia"/>
          <w:sz w:val="32"/>
          <w:szCs w:val="32"/>
        </w:rPr>
        <w:t>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13"/>
        <w:rPr>
          <w:rFonts w:hAnsi="黑体"/>
          <w:b/>
          <w:sz w:val="32"/>
          <w:szCs w:val="32"/>
        </w:rPr>
      </w:pPr>
      <w:r>
        <w:rPr>
          <w:rFonts w:hint="eastAsia" w:hAnsi="黑体"/>
          <w:b/>
          <w:sz w:val="32"/>
          <w:szCs w:val="32"/>
        </w:rPr>
        <w:t>八、政府性基金预算收入支出决算情况</w:t>
      </w:r>
    </w:p>
    <w:p>
      <w:pPr>
        <w:pStyle w:val="13"/>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2020年度政府性基金预算财政拨款收入</w:t>
      </w:r>
      <w:r>
        <w:rPr>
          <w:rFonts w:hint="eastAsia" w:asciiTheme="minorEastAsia" w:hAnsiTheme="minorEastAsia" w:eastAsiaTheme="minorEastAsia"/>
          <w:sz w:val="32"/>
          <w:szCs w:val="32"/>
          <w:lang w:val="en-US" w:eastAsia="zh-CN"/>
        </w:rPr>
        <w:t>53</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53</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3"/>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highlight w:val="none"/>
          <w:lang w:eastAsia="zh-CN"/>
        </w:rPr>
        <w:t>九</w:t>
      </w:r>
      <w:r>
        <w:rPr>
          <w:rFonts w:hAnsi="黑体" w:cs="Times New Roman"/>
          <w:color w:val="auto"/>
          <w:sz w:val="32"/>
          <w:szCs w:val="32"/>
          <w:highlight w:val="none"/>
        </w:rPr>
        <w:t>、</w:t>
      </w:r>
      <w:r>
        <w:rPr>
          <w:rFonts w:hint="eastAsia" w:hAnsi="黑体" w:cs="Times New Roman"/>
          <w:color w:val="auto"/>
          <w:sz w:val="32"/>
          <w:szCs w:val="32"/>
        </w:rPr>
        <w:t>国有资本经营预算财政拨款支出决算情况</w:t>
      </w:r>
    </w:p>
    <w:p>
      <w:pPr>
        <w:pStyle w:val="13"/>
        <w:spacing w:line="600" w:lineRule="exact"/>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2020</w:t>
      </w:r>
      <w:r>
        <w:rPr>
          <w:rFonts w:ascii="Times New Roman" w:hAnsi="Times New Roman" w:eastAsia="仿宋_GB2312" w:cs="Times New Roman"/>
          <w:color w:val="auto"/>
          <w:sz w:val="32"/>
          <w:szCs w:val="32"/>
        </w:rPr>
        <w:t>年度本单位无</w:t>
      </w:r>
      <w:r>
        <w:rPr>
          <w:rFonts w:hint="eastAsia" w:ascii="Times New Roman" w:hAnsi="Times New Roman" w:eastAsia="仿宋_GB2312" w:cs="Times New Roman"/>
          <w:color w:val="auto"/>
          <w:sz w:val="32"/>
          <w:szCs w:val="32"/>
          <w:lang w:eastAsia="zh-CN"/>
        </w:rPr>
        <w:t>国有资本经营预算支出</w:t>
      </w:r>
    </w:p>
    <w:p>
      <w:pPr>
        <w:pStyle w:val="13"/>
        <w:spacing w:line="600" w:lineRule="exact"/>
        <w:ind w:firstLine="640" w:firstLineChars="200"/>
        <w:rPr>
          <w:rFonts w:hAnsi="黑体" w:cs="Times New Roman"/>
          <w:color w:val="auto"/>
          <w:sz w:val="32"/>
          <w:szCs w:val="32"/>
        </w:rPr>
      </w:pPr>
      <w:r>
        <w:rPr>
          <w:rFonts w:hint="eastAsia" w:hAnsi="黑体" w:cs="Times New Roman"/>
          <w:color w:val="auto"/>
          <w:sz w:val="32"/>
          <w:szCs w:val="32"/>
          <w:highlight w:val="none"/>
          <w:lang w:eastAsia="zh-CN"/>
        </w:rPr>
        <w:t>十</w:t>
      </w:r>
      <w:r>
        <w:rPr>
          <w:rFonts w:hAnsi="黑体" w:cs="Times New Roman"/>
          <w:color w:val="auto"/>
          <w:sz w:val="32"/>
          <w:szCs w:val="32"/>
        </w:rPr>
        <w:t>、关于</w:t>
      </w:r>
      <w:r>
        <w:rPr>
          <w:rFonts w:hint="eastAsia" w:hAnsi="黑体" w:cs="Times New Roman"/>
          <w:color w:val="auto"/>
          <w:sz w:val="32"/>
          <w:szCs w:val="32"/>
          <w:lang w:val="en-US" w:eastAsia="zh-CN"/>
        </w:rPr>
        <w:t>2020</w:t>
      </w:r>
      <w:r>
        <w:rPr>
          <w:rFonts w:hAnsi="黑体" w:cs="Times New Roman"/>
          <w:color w:val="auto"/>
          <w:sz w:val="32"/>
          <w:szCs w:val="32"/>
        </w:rPr>
        <w:t>年度预算绩效情况说明</w:t>
      </w:r>
    </w:p>
    <w:p>
      <w:pPr>
        <w:spacing w:line="576"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2020年度我单位无重点绩效，</w:t>
      </w:r>
      <w:r>
        <w:rPr>
          <w:rFonts w:hint="eastAsia" w:asciiTheme="minorEastAsia" w:hAnsiTheme="minorEastAsia" w:eastAsiaTheme="minorEastAsia" w:cstheme="minorEastAsia"/>
          <w:sz w:val="32"/>
          <w:szCs w:val="32"/>
        </w:rPr>
        <w:t>所有项目资金符合国家政策需求，目标明确，组织管理到位，执行项目有力，在资金使用过程中</w:t>
      </w:r>
      <w:r>
        <w:rPr>
          <w:rFonts w:hint="eastAsia" w:asciiTheme="minorEastAsia" w:hAnsiTheme="minorEastAsia" w:cstheme="minorEastAsia"/>
          <w:sz w:val="32"/>
          <w:szCs w:val="32"/>
          <w:lang w:val="en-US" w:eastAsia="zh-CN"/>
        </w:rPr>
        <w:t>，</w:t>
      </w:r>
      <w:r>
        <w:rPr>
          <w:rFonts w:hint="eastAsia" w:asciiTheme="minorEastAsia" w:hAnsiTheme="minorEastAsia" w:eastAsiaTheme="minorEastAsia" w:cstheme="minorEastAsia"/>
          <w:sz w:val="32"/>
          <w:szCs w:val="32"/>
        </w:rPr>
        <w:t>实际支出与计划规定的用途一致，收支平衡，资金使用都能做到公开透明。本单位按照财政绩效管理股的要求对 20</w:t>
      </w: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eastAsiaTheme="minorEastAsia" w:cstheme="minorEastAsia"/>
          <w:sz w:val="32"/>
          <w:szCs w:val="32"/>
        </w:rPr>
        <w:t xml:space="preserve"> 年相关项目做了绩效评价并公开在政府门户网站。</w:t>
      </w:r>
      <w:r>
        <w:rPr>
          <w:rFonts w:hint="eastAsia" w:ascii="宋体" w:hAnsi="宋体" w:eastAsia="宋体" w:cs="宋体"/>
          <w:color w:val="auto"/>
          <w:sz w:val="32"/>
          <w:szCs w:val="32"/>
          <w:lang w:val="en-US" w:eastAsia="zh-CN"/>
        </w:rPr>
        <w:t>（见第五部分附件）</w:t>
      </w:r>
    </w:p>
    <w:p>
      <w:pPr>
        <w:pStyle w:val="13"/>
        <w:spacing w:line="600" w:lineRule="exact"/>
        <w:ind w:firstLine="640" w:firstLineChars="200"/>
        <w:outlineLvl w:val="1"/>
        <w:rPr>
          <w:rFonts w:hAnsi="黑体" w:cs="Times New Roman"/>
          <w:color w:val="auto"/>
          <w:sz w:val="32"/>
          <w:szCs w:val="32"/>
        </w:rPr>
      </w:pPr>
      <w:r>
        <w:rPr>
          <w:rFonts w:hAnsi="黑体" w:cs="Times New Roman"/>
          <w:color w:val="auto"/>
          <w:sz w:val="32"/>
          <w:szCs w:val="32"/>
          <w:highlight w:val="none"/>
        </w:rPr>
        <w:t>十</w:t>
      </w:r>
      <w:r>
        <w:rPr>
          <w:rFonts w:hint="eastAsia" w:hAnsi="黑体" w:cs="Times New Roman"/>
          <w:color w:val="auto"/>
          <w:sz w:val="32"/>
          <w:szCs w:val="32"/>
          <w:highlight w:val="none"/>
          <w:lang w:eastAsia="zh-CN"/>
        </w:rPr>
        <w:t>一</w:t>
      </w:r>
      <w:r>
        <w:rPr>
          <w:rFonts w:hAnsi="黑体" w:cs="Times New Roman"/>
          <w:color w:val="auto"/>
          <w:sz w:val="32"/>
          <w:szCs w:val="32"/>
        </w:rPr>
        <w:t>、其他重要事项情况说明</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pPr>
        <w:pStyle w:val="13"/>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411.35</w:t>
      </w:r>
      <w:r>
        <w:rPr>
          <w:rFonts w:hint="eastAsia" w:asciiTheme="minorEastAsia" w:hAnsiTheme="minorEastAsia" w:eastAsiaTheme="minorEastAsia"/>
          <w:sz w:val="32"/>
          <w:szCs w:val="32"/>
        </w:rPr>
        <w:t>万元，比上年决算数减少</w:t>
      </w:r>
      <w:r>
        <w:rPr>
          <w:rFonts w:hint="eastAsia" w:asciiTheme="minorEastAsia" w:hAnsiTheme="minorEastAsia" w:eastAsiaTheme="minorEastAsia"/>
          <w:sz w:val="32"/>
          <w:szCs w:val="32"/>
          <w:lang w:val="en-US" w:eastAsia="zh-CN"/>
        </w:rPr>
        <w:t>870.65</w:t>
      </w:r>
      <w:r>
        <w:rPr>
          <w:rFonts w:hint="eastAsia" w:asciiTheme="minorEastAsia" w:hAnsiTheme="minorEastAsia" w:eastAsiaTheme="minorEastAsia"/>
          <w:sz w:val="32"/>
          <w:szCs w:val="32"/>
        </w:rPr>
        <w:t xml:space="preserve"> 万元，降低</w:t>
      </w:r>
      <w:r>
        <w:rPr>
          <w:rFonts w:hint="eastAsia" w:asciiTheme="minorEastAsia" w:hAnsiTheme="minorEastAsia" w:eastAsiaTheme="minorEastAsia"/>
          <w:sz w:val="32"/>
          <w:szCs w:val="32"/>
          <w:lang w:val="en-US" w:eastAsia="zh-CN"/>
        </w:rPr>
        <w:t>32</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减少了办公费、印刷费、差旅费、委托业务费等支出。</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（二）一般性支出情况</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0.41</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eastAsia="zh-CN"/>
        </w:rPr>
        <w:t>疫情防控、防汛抗旱、信访维稳等</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400</w:t>
      </w:r>
      <w:r>
        <w:rPr>
          <w:rFonts w:hint="eastAsia" w:asciiTheme="minorEastAsia" w:hAnsiTheme="minorEastAsia" w:eastAsiaTheme="minorEastAsia"/>
          <w:sz w:val="32"/>
          <w:szCs w:val="32"/>
        </w:rPr>
        <w:t>人</w:t>
      </w:r>
      <w:r>
        <w:rPr>
          <w:rFonts w:hint="eastAsia" w:asciiTheme="minorEastAsia" w:hAnsiTheme="minorEastAsia" w:eastAsiaTheme="minorEastAsia"/>
          <w:sz w:val="32"/>
          <w:szCs w:val="32"/>
          <w:lang w:eastAsia="zh-CN"/>
        </w:rPr>
        <w:t>左右</w:t>
      </w:r>
      <w:r>
        <w:rPr>
          <w:rFonts w:hint="eastAsia" w:asciiTheme="minorEastAsia" w:hAnsiTheme="minorEastAsia" w:eastAsiaTheme="minorEastAsia"/>
          <w:sz w:val="32"/>
          <w:szCs w:val="32"/>
        </w:rPr>
        <w:t>，内容为</w:t>
      </w:r>
      <w:r>
        <w:rPr>
          <w:rFonts w:hint="eastAsia" w:asciiTheme="minorEastAsia" w:hAnsiTheme="minorEastAsia" w:eastAsiaTheme="minorEastAsia"/>
          <w:sz w:val="32"/>
          <w:szCs w:val="32"/>
          <w:lang w:eastAsia="zh-CN"/>
        </w:rPr>
        <w:t>部署镇村干部做好疫情防控、防汛抗旱、信访维稳等工作</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0.13</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eastAsia="zh-CN"/>
        </w:rPr>
        <w:t>农业综合服务中心</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60</w:t>
      </w:r>
      <w:r>
        <w:rPr>
          <w:rFonts w:hint="eastAsia" w:asciiTheme="minorEastAsia" w:hAnsiTheme="minorEastAsia" w:eastAsiaTheme="minorEastAsia"/>
          <w:sz w:val="32"/>
          <w:szCs w:val="32"/>
        </w:rPr>
        <w:t>人</w:t>
      </w:r>
      <w:r>
        <w:rPr>
          <w:rFonts w:hint="eastAsia" w:asciiTheme="minorEastAsia" w:hAnsiTheme="minorEastAsia" w:eastAsiaTheme="minorEastAsia"/>
          <w:sz w:val="32"/>
          <w:szCs w:val="32"/>
          <w:lang w:eastAsia="zh-CN"/>
        </w:rPr>
        <w:t>左右</w:t>
      </w:r>
      <w:r>
        <w:rPr>
          <w:rFonts w:hint="eastAsia" w:asciiTheme="minorEastAsia" w:hAnsiTheme="minorEastAsia" w:eastAsiaTheme="minorEastAsia"/>
          <w:sz w:val="32"/>
          <w:szCs w:val="32"/>
        </w:rPr>
        <w:t>，内容为</w:t>
      </w:r>
      <w:r>
        <w:rPr>
          <w:rFonts w:hint="eastAsia" w:asciiTheme="minorEastAsia" w:hAnsiTheme="minorEastAsia" w:eastAsiaTheme="minorEastAsia"/>
          <w:sz w:val="32"/>
          <w:szCs w:val="32"/>
          <w:lang w:eastAsia="zh-CN"/>
        </w:rPr>
        <w:t>农业技术培训等</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举办节庆、晚会、论坛、赛事活动，开支</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万元，主要是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pPr>
        <w:pStyle w:val="13"/>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40.27</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40.27</w:t>
      </w:r>
      <w:r>
        <w:rPr>
          <w:rFonts w:hint="eastAsia" w:asciiTheme="minorEastAsia" w:hAnsiTheme="minorEastAsia" w:eastAsiaTheme="minorEastAsia"/>
          <w:sz w:val="32"/>
          <w:szCs w:val="32"/>
        </w:rPr>
        <w:t xml:space="preserve"> 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24.16</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60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16.11</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40</w:t>
      </w:r>
      <w:r>
        <w:rPr>
          <w:rFonts w:hint="eastAsia" w:asciiTheme="minorEastAsia" w:hAnsiTheme="minorEastAsia" w:eastAsiaTheme="minorEastAsia"/>
          <w:sz w:val="32"/>
          <w:szCs w:val="32"/>
        </w:rPr>
        <w:t>%。</w:t>
      </w:r>
    </w:p>
    <w:p>
      <w:pPr>
        <w:spacing w:line="600" w:lineRule="exact"/>
        <w:ind w:firstLine="640"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pPr>
        <w:pStyle w:val="13"/>
        <w:ind w:firstLine="640" w:firstLineChars="200"/>
        <w:rPr>
          <w:sz w:val="72"/>
          <w:szCs w:val="7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辆，其他用车主要是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第四部分 名词解释</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Times New Roman" w:hAnsi="Times New Roman" w:eastAsia="仿宋_GB2312" w:cs="Times New Roman"/>
          <w:kern w:val="0"/>
          <w:sz w:val="32"/>
          <w:szCs w:val="32"/>
          <w:lang w:val="en-US" w:eastAsia="zh-CN" w:bidi="ar-SA"/>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1、机关运行经费：是指各部门的公用经费，包括办公费、印刷费、邮电费、差旅费、会议费、福利费、水电费、日常维修费、一般设备购置费、办公用房物理管理费、公务用车运行维护费及其他费用。</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3、基本支出：是指为保障机构正常运转、完成日常工作任务而发生的人员支出和公用支出。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sz w:val="72"/>
          <w:szCs w:val="72"/>
        </w:rPr>
      </w:pPr>
      <w:r>
        <w:rPr>
          <w:rFonts w:hint="eastAsia" w:ascii="宋体" w:hAnsi="宋体" w:eastAsia="宋体" w:cs="宋体"/>
          <w:kern w:val="0"/>
          <w:sz w:val="32"/>
          <w:szCs w:val="32"/>
          <w:lang w:val="en-US" w:eastAsia="zh-CN" w:bidi="ar-SA"/>
        </w:rPr>
        <w:t>4、项目支出：是指在基本支出之外为完成特定行政任务和事业发展目标所发生的支出。</w:t>
      </w:r>
    </w:p>
    <w:p>
      <w:pPr>
        <w:pStyle w:val="13"/>
        <w:ind w:firstLine="3520" w:firstLineChars="800"/>
        <w:jc w:val="both"/>
        <w:rPr>
          <w:rFonts w:hint="eastAsia"/>
          <w:sz w:val="44"/>
          <w:szCs w:val="44"/>
        </w:rPr>
      </w:pPr>
    </w:p>
    <w:p>
      <w:pPr>
        <w:pStyle w:val="13"/>
        <w:ind w:firstLine="3520" w:firstLineChars="800"/>
        <w:jc w:val="both"/>
        <w:rPr>
          <w:rFonts w:ascii="黑体" w:eastAsia="黑体" w:cs="黑体"/>
          <w:color w:val="000000"/>
          <w:kern w:val="0"/>
          <w:sz w:val="44"/>
          <w:szCs w:val="44"/>
        </w:rPr>
      </w:pPr>
      <w:r>
        <w:rPr>
          <w:rFonts w:hint="eastAsia"/>
          <w:sz w:val="44"/>
          <w:szCs w:val="44"/>
        </w:rPr>
        <w:t>第五部分</w:t>
      </w:r>
      <w:r>
        <w:rPr>
          <w:rFonts w:hint="eastAsia"/>
          <w:sz w:val="44"/>
          <w:szCs w:val="44"/>
          <w:lang w:val="en-US" w:eastAsia="zh-CN"/>
        </w:rPr>
        <w:t xml:space="preserve">   </w:t>
      </w:r>
      <w:r>
        <w:rPr>
          <w:rFonts w:hint="eastAsia" w:ascii="黑体" w:eastAsia="黑体" w:cs="黑体"/>
          <w:color w:val="000000"/>
          <w:kern w:val="0"/>
          <w:sz w:val="44"/>
          <w:szCs w:val="44"/>
        </w:rPr>
        <w:t>附件</w:t>
      </w:r>
    </w:p>
    <w:p>
      <w:pPr>
        <w:widowControl/>
        <w:ind w:firstLine="3240" w:firstLineChars="900"/>
        <w:jc w:val="left"/>
        <w:rPr>
          <w:rFonts w:hint="eastAsia" w:ascii="仿宋_GB2312" w:hAnsi="仿宋" w:eastAsia="仿宋_GB2312" w:cs="方正小标宋简体"/>
          <w:sz w:val="36"/>
          <w:szCs w:val="36"/>
        </w:rPr>
      </w:pPr>
    </w:p>
    <w:p>
      <w:pPr>
        <w:widowControl/>
        <w:ind w:firstLine="3240" w:firstLineChars="900"/>
        <w:jc w:val="left"/>
        <w:rPr>
          <w:rFonts w:hint="eastAsia" w:ascii="仿宋_GB2312" w:hAnsi="仿宋" w:eastAsia="仿宋_GB2312" w:cs="方正小标宋简体"/>
          <w:sz w:val="36"/>
          <w:szCs w:val="36"/>
        </w:rPr>
      </w:pPr>
    </w:p>
    <w:p>
      <w:pPr>
        <w:widowControl/>
        <w:ind w:firstLine="3240" w:firstLineChars="900"/>
        <w:jc w:val="left"/>
        <w:rPr>
          <w:rFonts w:hint="eastAsia" w:ascii="仿宋_GB2312" w:hAnsi="仿宋" w:eastAsia="仿宋_GB2312" w:cs="方正小标宋简体"/>
          <w:sz w:val="36"/>
          <w:szCs w:val="36"/>
        </w:rPr>
      </w:pPr>
      <w:r>
        <w:rPr>
          <w:rFonts w:hint="eastAsia" w:ascii="仿宋_GB2312" w:hAnsi="仿宋" w:eastAsia="仿宋_GB2312" w:cs="方正小标宋简体"/>
          <w:sz w:val="36"/>
          <w:szCs w:val="36"/>
        </w:rPr>
        <w:t>湘潭县谭家山镇人民政府</w:t>
      </w:r>
    </w:p>
    <w:p>
      <w:pPr>
        <w:spacing w:line="576" w:lineRule="exact"/>
        <w:jc w:val="center"/>
        <w:rPr>
          <w:rFonts w:hint="eastAsia" w:ascii="仿宋_GB2312" w:hAnsi="仿宋" w:eastAsia="仿宋_GB2312" w:cs="方正小标宋简体"/>
          <w:sz w:val="36"/>
          <w:szCs w:val="36"/>
        </w:rPr>
      </w:pPr>
      <w:r>
        <w:rPr>
          <w:rFonts w:hint="eastAsia" w:ascii="仿宋_GB2312" w:hAnsi="仿宋" w:eastAsia="仿宋_GB2312" w:cs="方正小标宋简体"/>
          <w:bCs/>
          <w:sz w:val="36"/>
          <w:szCs w:val="36"/>
        </w:rPr>
        <w:t>部门整体支出绩效评价报告</w:t>
      </w:r>
    </w:p>
    <w:tbl>
      <w:tblPr>
        <w:tblStyle w:val="9"/>
        <w:tblW w:w="10122"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76"/>
        <w:gridCol w:w="8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09" w:type="dxa"/>
            <w:vMerge w:val="restart"/>
            <w:noWrap w:val="0"/>
            <w:vAlign w:val="top"/>
          </w:tcPr>
          <w:p>
            <w:pPr>
              <w:spacing w:line="576" w:lineRule="exact"/>
              <w:jc w:val="center"/>
              <w:rPr>
                <w:rFonts w:hint="eastAsia" w:ascii="仿宋_GB2312" w:hAnsi="仿宋" w:eastAsia="仿宋_GB2312" w:cs="方正小标宋简体"/>
                <w:sz w:val="24"/>
              </w:rPr>
            </w:pPr>
          </w:p>
          <w:p>
            <w:pPr>
              <w:spacing w:line="576" w:lineRule="exact"/>
              <w:jc w:val="center"/>
              <w:rPr>
                <w:rFonts w:hint="eastAsia" w:ascii="仿宋_GB2312" w:hAnsi="仿宋" w:eastAsia="仿宋_GB2312" w:cs="方正小标宋简体"/>
                <w:sz w:val="24"/>
              </w:rPr>
            </w:pPr>
          </w:p>
          <w:p>
            <w:pPr>
              <w:spacing w:line="576" w:lineRule="exact"/>
              <w:jc w:val="center"/>
              <w:rPr>
                <w:rFonts w:hint="eastAsia" w:ascii="仿宋_GB2312" w:hAnsi="仿宋" w:eastAsia="仿宋_GB2312" w:cs="方正小标宋简体"/>
                <w:sz w:val="24"/>
              </w:rPr>
            </w:pPr>
          </w:p>
          <w:p>
            <w:pPr>
              <w:spacing w:line="576" w:lineRule="exact"/>
              <w:jc w:val="center"/>
              <w:rPr>
                <w:rFonts w:hint="eastAsia" w:ascii="仿宋_GB2312" w:hAnsi="仿宋" w:eastAsia="仿宋_GB2312" w:cs="方正小标宋简体"/>
                <w:sz w:val="24"/>
              </w:rPr>
            </w:pPr>
          </w:p>
          <w:p>
            <w:pPr>
              <w:spacing w:line="576" w:lineRule="exact"/>
              <w:jc w:val="center"/>
              <w:rPr>
                <w:rFonts w:hint="eastAsia" w:ascii="仿宋_GB2312" w:hAnsi="仿宋" w:eastAsia="仿宋_GB2312" w:cs="方正小标宋简体"/>
                <w:sz w:val="24"/>
              </w:rPr>
            </w:pPr>
            <w:r>
              <w:rPr>
                <w:rFonts w:hint="eastAsia" w:ascii="仿宋_GB2312" w:hAnsi="仿宋" w:eastAsia="仿宋_GB2312" w:cs="方正小标宋简体"/>
                <w:sz w:val="24"/>
              </w:rPr>
              <w:t>部门概况</w:t>
            </w:r>
          </w:p>
        </w:tc>
        <w:tc>
          <w:tcPr>
            <w:tcW w:w="1276" w:type="dxa"/>
            <w:noWrap w:val="0"/>
            <w:vAlign w:val="center"/>
          </w:tcPr>
          <w:p>
            <w:pPr>
              <w:spacing w:line="576" w:lineRule="exact"/>
              <w:jc w:val="center"/>
              <w:rPr>
                <w:rFonts w:hint="eastAsia" w:ascii="仿宋_GB2312" w:hAnsi="仿宋" w:eastAsia="仿宋_GB2312" w:cs="方正小标宋简体"/>
                <w:sz w:val="24"/>
              </w:rPr>
            </w:pPr>
            <w:r>
              <w:rPr>
                <w:rFonts w:hint="eastAsia" w:ascii="仿宋_GB2312" w:hAnsi="仿宋" w:eastAsia="仿宋_GB2312" w:cs="方正小标宋简体"/>
                <w:sz w:val="24"/>
              </w:rPr>
              <w:t>单位名称</w:t>
            </w:r>
          </w:p>
        </w:tc>
        <w:tc>
          <w:tcPr>
            <w:tcW w:w="8137" w:type="dxa"/>
            <w:noWrap w:val="0"/>
            <w:vAlign w:val="center"/>
          </w:tcPr>
          <w:p>
            <w:pPr>
              <w:spacing w:line="576" w:lineRule="exact"/>
              <w:jc w:val="center"/>
              <w:rPr>
                <w:rFonts w:hint="eastAsia" w:ascii="仿宋_GB2312" w:hAnsi="仿宋" w:eastAsia="仿宋_GB2312" w:cs="方正小标宋简体"/>
                <w:sz w:val="24"/>
              </w:rPr>
            </w:pPr>
            <w:r>
              <w:rPr>
                <w:rFonts w:hint="eastAsia" w:ascii="仿宋_GB2312" w:eastAsia="仿宋_GB2312"/>
                <w:sz w:val="24"/>
              </w:rPr>
              <w:t xml:space="preserve">湘潭县谭家山镇人民政府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9" w:type="dxa"/>
            <w:vMerge w:val="continue"/>
            <w:noWrap w:val="0"/>
            <w:vAlign w:val="top"/>
          </w:tcPr>
          <w:p>
            <w:pPr>
              <w:spacing w:line="576" w:lineRule="exact"/>
              <w:jc w:val="center"/>
              <w:rPr>
                <w:rFonts w:hint="eastAsia" w:ascii="仿宋_GB2312" w:hAnsi="仿宋" w:eastAsia="仿宋_GB2312" w:cs="方正小标宋简体"/>
                <w:sz w:val="24"/>
              </w:rPr>
            </w:pPr>
          </w:p>
        </w:tc>
        <w:tc>
          <w:tcPr>
            <w:tcW w:w="1276" w:type="dxa"/>
            <w:noWrap w:val="0"/>
            <w:vAlign w:val="center"/>
          </w:tcPr>
          <w:p>
            <w:pPr>
              <w:autoSpaceDN w:val="0"/>
              <w:spacing w:line="320" w:lineRule="exact"/>
              <w:jc w:val="center"/>
              <w:textAlignment w:val="center"/>
              <w:rPr>
                <w:rFonts w:hint="eastAsia" w:ascii="仿宋_GB2312" w:hAnsi="仿宋" w:eastAsia="仿宋_GB2312" w:cs="方正小标宋简体"/>
                <w:sz w:val="24"/>
              </w:rPr>
            </w:pPr>
            <w:r>
              <w:rPr>
                <w:rFonts w:hint="eastAsia" w:ascii="仿宋_GB2312" w:hAnsi="仿宋_GB2312" w:eastAsia="仿宋_GB2312" w:cs="仿宋_GB2312"/>
                <w:color w:val="000000"/>
                <w:sz w:val="24"/>
              </w:rPr>
              <w:t>年度预算金额</w:t>
            </w:r>
          </w:p>
        </w:tc>
        <w:tc>
          <w:tcPr>
            <w:tcW w:w="8137" w:type="dxa"/>
            <w:noWrap w:val="0"/>
            <w:vAlign w:val="center"/>
          </w:tcPr>
          <w:p>
            <w:pPr>
              <w:spacing w:line="576" w:lineRule="exact"/>
              <w:jc w:val="center"/>
              <w:rPr>
                <w:rFonts w:hint="eastAsia" w:ascii="仿宋_GB2312" w:hAnsi="仿宋" w:eastAsia="仿宋_GB2312" w:cs="方正小标宋简体"/>
                <w:sz w:val="24"/>
              </w:rPr>
            </w:pPr>
            <w:r>
              <w:rPr>
                <w:rFonts w:ascii="仿宋_GB2312" w:eastAsia="仿宋_GB2312"/>
                <w:sz w:val="24"/>
              </w:rPr>
              <w:t>56</w:t>
            </w:r>
            <w:r>
              <w:rPr>
                <w:rFonts w:hint="eastAsia" w:ascii="仿宋_GB2312" w:eastAsia="仿宋_GB2312"/>
                <w:sz w:val="24"/>
              </w:rPr>
              <w:t>,</w:t>
            </w:r>
            <w:r>
              <w:rPr>
                <w:rFonts w:ascii="仿宋_GB2312" w:eastAsia="仿宋_GB2312"/>
                <w:sz w:val="24"/>
              </w:rPr>
              <w:t>342</w:t>
            </w:r>
            <w:r>
              <w:rPr>
                <w:rFonts w:hint="eastAsia" w:ascii="仿宋_GB2312" w:eastAsia="仿宋_GB2312"/>
                <w:sz w:val="24"/>
              </w:rPr>
              <w:t>,</w:t>
            </w:r>
            <w:r>
              <w:rPr>
                <w:rFonts w:ascii="仿宋_GB2312" w:eastAsia="仿宋_GB2312"/>
                <w:sz w:val="24"/>
              </w:rPr>
              <w:t>261</w:t>
            </w:r>
            <w:r>
              <w:rPr>
                <w:rFonts w:hint="eastAsia" w:ascii="仿宋_GB2312" w:eastAsia="仿宋_GB2312"/>
                <w:sz w:val="24"/>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Merge w:val="continue"/>
            <w:noWrap w:val="0"/>
            <w:vAlign w:val="top"/>
          </w:tcPr>
          <w:p>
            <w:pPr>
              <w:spacing w:line="576" w:lineRule="exact"/>
              <w:jc w:val="center"/>
              <w:rPr>
                <w:rFonts w:hint="eastAsia" w:ascii="仿宋_GB2312" w:hAnsi="仿宋" w:eastAsia="仿宋_GB2312" w:cs="方正小标宋简体"/>
                <w:sz w:val="24"/>
              </w:rPr>
            </w:pPr>
          </w:p>
        </w:tc>
        <w:tc>
          <w:tcPr>
            <w:tcW w:w="1276" w:type="dxa"/>
            <w:noWrap w:val="0"/>
            <w:vAlign w:val="center"/>
          </w:tcPr>
          <w:p>
            <w:pPr>
              <w:spacing w:line="576" w:lineRule="exact"/>
              <w:jc w:val="center"/>
              <w:rPr>
                <w:rFonts w:hint="eastAsia" w:ascii="仿宋_GB2312" w:hAnsi="仿宋" w:eastAsia="仿宋_GB2312" w:cs="方正小标宋简体"/>
                <w:sz w:val="24"/>
              </w:rPr>
            </w:pPr>
            <w:r>
              <w:rPr>
                <w:rFonts w:hint="eastAsia" w:ascii="仿宋_GB2312" w:hAnsi="仿宋" w:eastAsia="仿宋_GB2312" w:cs="方正小标宋简体"/>
                <w:sz w:val="24"/>
              </w:rPr>
              <w:t>主管部门</w:t>
            </w:r>
          </w:p>
        </w:tc>
        <w:tc>
          <w:tcPr>
            <w:tcW w:w="8137" w:type="dxa"/>
            <w:noWrap w:val="0"/>
            <w:vAlign w:val="center"/>
          </w:tcPr>
          <w:p>
            <w:pPr>
              <w:spacing w:line="576" w:lineRule="exact"/>
              <w:jc w:val="center"/>
              <w:rPr>
                <w:rFonts w:hint="eastAsia" w:ascii="仿宋_GB2312" w:hAnsi="仿宋" w:eastAsia="仿宋_GB2312" w:cs="方正小标宋简体"/>
                <w:sz w:val="24"/>
              </w:rPr>
            </w:pPr>
            <w:r>
              <w:rPr>
                <w:rFonts w:hint="eastAsia" w:ascii="仿宋_GB2312" w:hAnsi="仿宋" w:eastAsia="仿宋_GB2312" w:cs="方正小标宋简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trPr>
        <w:tc>
          <w:tcPr>
            <w:tcW w:w="709" w:type="dxa"/>
            <w:vMerge w:val="continue"/>
            <w:noWrap w:val="0"/>
            <w:vAlign w:val="top"/>
          </w:tcPr>
          <w:p>
            <w:pPr>
              <w:spacing w:line="576" w:lineRule="exact"/>
              <w:jc w:val="center"/>
              <w:rPr>
                <w:rFonts w:hint="eastAsia" w:ascii="仿宋_GB2312" w:hAnsi="仿宋" w:eastAsia="仿宋_GB2312" w:cs="方正小标宋简体"/>
                <w:sz w:val="24"/>
              </w:rPr>
            </w:pPr>
          </w:p>
        </w:tc>
        <w:tc>
          <w:tcPr>
            <w:tcW w:w="1276" w:type="dxa"/>
            <w:noWrap w:val="0"/>
            <w:vAlign w:val="center"/>
          </w:tcPr>
          <w:p>
            <w:pPr>
              <w:spacing w:line="576" w:lineRule="exact"/>
              <w:jc w:val="center"/>
              <w:rPr>
                <w:rFonts w:hint="eastAsia" w:ascii="仿宋_GB2312" w:hAnsi="仿宋" w:eastAsia="仿宋_GB2312" w:cs="方正小标宋简体"/>
                <w:sz w:val="24"/>
              </w:rPr>
            </w:pPr>
            <w:r>
              <w:rPr>
                <w:rFonts w:hint="eastAsia" w:ascii="仿宋_GB2312" w:hAnsi="仿宋" w:eastAsia="仿宋_GB2312" w:cs="方正小标宋简体"/>
                <w:sz w:val="24"/>
              </w:rPr>
              <w:t>单位基本职能</w:t>
            </w:r>
          </w:p>
        </w:tc>
        <w:tc>
          <w:tcPr>
            <w:tcW w:w="8137" w:type="dxa"/>
            <w:noWrap w:val="0"/>
            <w:vAlign w:val="center"/>
          </w:tcPr>
          <w:p>
            <w:pPr>
              <w:autoSpaceDN w:val="0"/>
              <w:spacing w:line="360" w:lineRule="auto"/>
              <w:ind w:firstLine="480" w:firstLineChars="200"/>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制定和组织实施经济、科技和社会发展计划，制定矿区综合治理改造和产业结构调整方案，组织指导好各业生产，搞好商品流通，协调好本镇与外地区的经济交流与合作，抓好招商引资，人才引进项目开发，不断培育市场体系，组织经济运行，促进经济发展。</w:t>
            </w:r>
          </w:p>
          <w:p>
            <w:pPr>
              <w:autoSpaceDN w:val="0"/>
              <w:spacing w:line="360" w:lineRule="auto"/>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2、制定并组织实施村镇建设规划，部署重点工程建设，地方道路建设及公共设施，水利设施的管理，负责土地、林木、水等自然资源和生态环境的保护，做好护林防火工作。</w:t>
            </w:r>
          </w:p>
          <w:p>
            <w:pPr>
              <w:autoSpaceDN w:val="0"/>
              <w:spacing w:line="360" w:lineRule="auto"/>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3、负责本行政区域内的民政、计划生育、文化教育、卫生、体育等社会公益事业的综合性工作，维护一切经济单位和个人的正当经济权益，取缔非法经济活动，调解和处理民事纠纷，打击刑事犯罪维护社会稳定。</w:t>
            </w:r>
          </w:p>
          <w:p>
            <w:pPr>
              <w:autoSpaceDN w:val="0"/>
              <w:spacing w:line="360" w:lineRule="auto"/>
              <w:jc w:val="left"/>
              <w:textAlignment w:val="center"/>
              <w:rPr>
                <w:rFonts w:hint="eastAsia" w:ascii="仿宋_GB2312" w:hAnsi="仿宋" w:eastAsia="仿宋_GB2312" w:cs="方正小标宋简体"/>
                <w:sz w:val="24"/>
              </w:rPr>
            </w:pPr>
            <w:r>
              <w:rPr>
                <w:rFonts w:hint="eastAsia" w:ascii="仿宋_GB2312" w:hAnsi="仿宋_GB2312" w:eastAsia="仿宋_GB2312" w:cs="仿宋_GB2312"/>
                <w:color w:val="000000"/>
                <w:sz w:val="24"/>
              </w:rPr>
              <w:t>　　4、按计划组织本级财政收入和地方税的征收，完成国家财政计划，不断培植税源，管好财政资金，增强财政实力。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09" w:type="dxa"/>
            <w:vMerge w:val="restart"/>
            <w:noWrap w:val="0"/>
            <w:vAlign w:val="top"/>
          </w:tcPr>
          <w:p>
            <w:pPr>
              <w:spacing w:line="576" w:lineRule="exact"/>
              <w:jc w:val="center"/>
              <w:rPr>
                <w:rFonts w:hint="eastAsia" w:ascii="仿宋_GB2312" w:hAnsi="仿宋" w:eastAsia="仿宋_GB2312" w:cs="方正小标宋简体"/>
                <w:sz w:val="24"/>
              </w:rPr>
            </w:pPr>
          </w:p>
          <w:p>
            <w:pPr>
              <w:spacing w:line="576" w:lineRule="exact"/>
              <w:jc w:val="center"/>
              <w:rPr>
                <w:rFonts w:hint="eastAsia" w:ascii="仿宋_GB2312" w:hAnsi="仿宋" w:eastAsia="仿宋_GB2312" w:cs="方正小标宋简体"/>
                <w:sz w:val="24"/>
              </w:rPr>
            </w:pPr>
          </w:p>
          <w:p>
            <w:pPr>
              <w:spacing w:line="576" w:lineRule="exact"/>
              <w:jc w:val="center"/>
              <w:rPr>
                <w:rFonts w:hint="eastAsia" w:ascii="仿宋_GB2312" w:hAnsi="仿宋" w:eastAsia="仿宋_GB2312" w:cs="方正小标宋简体"/>
                <w:sz w:val="24"/>
              </w:rPr>
            </w:pPr>
            <w:r>
              <w:rPr>
                <w:rFonts w:hint="eastAsia" w:ascii="仿宋_GB2312" w:hAnsi="仿宋" w:eastAsia="仿宋_GB2312" w:cs="方正小标宋简体"/>
                <w:sz w:val="24"/>
              </w:rPr>
              <w:t>绩效完成情况</w:t>
            </w:r>
          </w:p>
        </w:tc>
        <w:tc>
          <w:tcPr>
            <w:tcW w:w="1276" w:type="dxa"/>
            <w:noWrap w:val="0"/>
            <w:vAlign w:val="center"/>
          </w:tcPr>
          <w:p>
            <w:pPr>
              <w:spacing w:line="576" w:lineRule="exact"/>
              <w:jc w:val="center"/>
              <w:rPr>
                <w:rFonts w:hint="eastAsia" w:ascii="仿宋_GB2312" w:hAnsi="仿宋" w:eastAsia="仿宋_GB2312" w:cs="方正小标宋简体"/>
                <w:sz w:val="24"/>
              </w:rPr>
            </w:pPr>
            <w:r>
              <w:rPr>
                <w:rFonts w:hint="eastAsia" w:ascii="仿宋_GB2312" w:hAnsi="仿宋" w:eastAsia="仿宋_GB2312" w:cs="方正小标宋简体"/>
                <w:sz w:val="24"/>
              </w:rPr>
              <w:t>部门整体支出管理和使用基本情况</w:t>
            </w:r>
          </w:p>
        </w:tc>
        <w:tc>
          <w:tcPr>
            <w:tcW w:w="8137" w:type="dxa"/>
            <w:noWrap w:val="0"/>
            <w:vAlign w:val="center"/>
          </w:tcPr>
          <w:p>
            <w:pPr>
              <w:pStyle w:val="16"/>
              <w:spacing w:line="360" w:lineRule="auto"/>
              <w:ind w:firstLine="480" w:firstLineChars="200"/>
              <w:rPr>
                <w:rFonts w:hint="eastAsia" w:ascii="仿宋_GB2312" w:eastAsia="仿宋_GB2312"/>
                <w:sz w:val="24"/>
              </w:rPr>
            </w:pPr>
            <w:r>
              <w:rPr>
                <w:rFonts w:hint="eastAsia" w:ascii="仿宋_GB2312" w:eastAsia="仿宋_GB2312"/>
                <w:sz w:val="24"/>
                <w:szCs w:val="24"/>
              </w:rPr>
              <w:t>始终认真贯彻执行《会计法》、《预算法》、《行政单位会计制度》等法律法规，各项经费支出严格按照政府采购、国库集中支付等有关规定执行。同时我镇先后</w:t>
            </w:r>
            <w:r>
              <w:rPr>
                <w:rFonts w:hint="eastAsia" w:ascii="仿宋_GB2312" w:eastAsia="仿宋_GB2312"/>
                <w:sz w:val="24"/>
                <w:szCs w:val="24"/>
                <w:lang w:eastAsia="zh-CN"/>
              </w:rPr>
              <w:t>制定了</w:t>
            </w:r>
            <w:r>
              <w:rPr>
                <w:rFonts w:hint="eastAsia" w:ascii="仿宋_GB2312" w:eastAsia="仿宋_GB2312"/>
                <w:sz w:val="24"/>
                <w:szCs w:val="24"/>
              </w:rPr>
              <w:t>《湘潭县谭家山镇预算管理制度》、《湘潭县谭家山镇政府采购管理办法》、《湘潭县谭家山镇财务管理制度》、《湘潭县谭家山镇支出管理制度》、《湘潭县谭家山镇固定资产管理办法》等相关制度，明确了经费审批权限及程序，经费预算、核算管理、资产购置与处置、财务监督等。在“三公”经费管理方面，规范了公务接待的审批管理，较好地控制了行政运行成本。20</w:t>
            </w:r>
            <w:r>
              <w:rPr>
                <w:rFonts w:ascii="仿宋_GB2312" w:eastAsia="仿宋_GB2312"/>
                <w:sz w:val="24"/>
                <w:szCs w:val="24"/>
              </w:rPr>
              <w:t>20</w:t>
            </w:r>
            <w:r>
              <w:rPr>
                <w:rFonts w:hint="eastAsia" w:ascii="仿宋_GB2312" w:eastAsia="仿宋_GB2312"/>
                <w:sz w:val="24"/>
                <w:szCs w:val="24"/>
              </w:rPr>
              <w:t>年部门整体支出</w:t>
            </w:r>
            <w:r>
              <w:rPr>
                <w:rFonts w:ascii="仿宋_GB2312" w:eastAsia="仿宋_GB2312"/>
                <w:sz w:val="24"/>
                <w:szCs w:val="24"/>
              </w:rPr>
              <w:t>5303.66</w:t>
            </w:r>
            <w:r>
              <w:rPr>
                <w:rFonts w:hint="eastAsia" w:ascii="仿宋_GB2312" w:eastAsia="仿宋_GB2312"/>
                <w:sz w:val="24"/>
                <w:szCs w:val="24"/>
              </w:rPr>
              <w:t>万元，支出按支出性质分类为：基本支出</w:t>
            </w:r>
            <w:r>
              <w:rPr>
                <w:rFonts w:ascii="仿宋_GB2312" w:eastAsia="仿宋_GB2312"/>
                <w:sz w:val="24"/>
                <w:szCs w:val="24"/>
              </w:rPr>
              <w:t>4767.62</w:t>
            </w:r>
            <w:r>
              <w:rPr>
                <w:rFonts w:hint="eastAsia" w:ascii="仿宋_GB2312" w:eastAsia="仿宋_GB2312"/>
                <w:sz w:val="24"/>
                <w:szCs w:val="24"/>
              </w:rPr>
              <w:t>万元（其中：人员经费</w:t>
            </w:r>
            <w:r>
              <w:rPr>
                <w:rFonts w:ascii="仿宋_GB2312" w:eastAsia="仿宋_GB2312"/>
                <w:sz w:val="24"/>
                <w:szCs w:val="24"/>
              </w:rPr>
              <w:t>2617.17</w:t>
            </w:r>
            <w:r>
              <w:rPr>
                <w:rFonts w:hint="eastAsia" w:ascii="仿宋_GB2312" w:eastAsia="仿宋_GB2312"/>
                <w:sz w:val="24"/>
                <w:szCs w:val="24"/>
              </w:rPr>
              <w:t>万元，日常公用经费</w:t>
            </w:r>
            <w:r>
              <w:rPr>
                <w:rFonts w:ascii="仿宋_GB2312" w:eastAsia="仿宋_GB2312"/>
                <w:sz w:val="24"/>
                <w:szCs w:val="24"/>
              </w:rPr>
              <w:t>2150.46</w:t>
            </w:r>
            <w:r>
              <w:rPr>
                <w:rFonts w:hint="eastAsia" w:ascii="仿宋_GB2312" w:eastAsia="仿宋_GB2312"/>
                <w:sz w:val="24"/>
                <w:szCs w:val="24"/>
              </w:rPr>
              <w:t>万元，项目支出536.04万元）。支出按经济分类为：工资福利支出</w:t>
            </w:r>
            <w:r>
              <w:rPr>
                <w:rFonts w:ascii="仿宋_GB2312" w:eastAsia="仿宋_GB2312"/>
                <w:sz w:val="24"/>
                <w:szCs w:val="24"/>
              </w:rPr>
              <w:t>2444.67</w:t>
            </w:r>
            <w:r>
              <w:rPr>
                <w:rFonts w:hint="eastAsia" w:ascii="仿宋_GB2312" w:eastAsia="仿宋_GB2312"/>
                <w:sz w:val="24"/>
                <w:szCs w:val="24"/>
                <w:lang w:eastAsia="zh-CN"/>
              </w:rPr>
              <w:t>万</w:t>
            </w:r>
            <w:r>
              <w:rPr>
                <w:rFonts w:hint="eastAsia" w:ascii="仿宋_GB2312" w:eastAsia="仿宋_GB2312"/>
                <w:sz w:val="24"/>
                <w:szCs w:val="24"/>
              </w:rPr>
              <w:t>元，商品和服务支出</w:t>
            </w:r>
            <w:r>
              <w:rPr>
                <w:rFonts w:ascii="仿宋_GB2312" w:eastAsia="仿宋_GB2312"/>
                <w:sz w:val="24"/>
                <w:szCs w:val="24"/>
              </w:rPr>
              <w:t>2677.1</w:t>
            </w:r>
            <w:r>
              <w:rPr>
                <w:rFonts w:hint="eastAsia" w:ascii="仿宋_GB2312" w:eastAsia="仿宋_GB2312"/>
                <w:sz w:val="24"/>
                <w:szCs w:val="24"/>
              </w:rPr>
              <w:t>万元，对个人和家庭的补助</w:t>
            </w:r>
            <w:r>
              <w:rPr>
                <w:rFonts w:ascii="仿宋_GB2312" w:eastAsia="仿宋_GB2312"/>
                <w:sz w:val="24"/>
                <w:szCs w:val="24"/>
              </w:rPr>
              <w:t>172.5</w:t>
            </w:r>
            <w:r>
              <w:rPr>
                <w:rFonts w:hint="eastAsia" w:ascii="仿宋_GB2312" w:eastAsia="仿宋_GB2312"/>
                <w:sz w:val="24"/>
                <w:szCs w:val="24"/>
              </w:rPr>
              <w:t>万元，资本性支出</w:t>
            </w:r>
            <w:r>
              <w:rPr>
                <w:rFonts w:ascii="仿宋_GB2312" w:eastAsia="仿宋_GB2312"/>
                <w:sz w:val="24"/>
                <w:szCs w:val="24"/>
              </w:rPr>
              <w:t>9.39</w:t>
            </w:r>
            <w:r>
              <w:rPr>
                <w:rFonts w:hint="eastAsia" w:ascii="仿宋_GB2312" w:eastAsia="仿宋_GB2312"/>
                <w:sz w:val="24"/>
                <w:szCs w:val="24"/>
              </w:rPr>
              <w:t>万元。20</w:t>
            </w:r>
            <w:r>
              <w:rPr>
                <w:rFonts w:ascii="仿宋_GB2312" w:eastAsia="仿宋_GB2312"/>
                <w:sz w:val="24"/>
                <w:szCs w:val="24"/>
              </w:rPr>
              <w:t>20</w:t>
            </w:r>
            <w:r>
              <w:rPr>
                <w:rFonts w:hint="eastAsia" w:ascii="仿宋_GB2312" w:eastAsia="仿宋_GB2312"/>
                <w:sz w:val="24"/>
                <w:szCs w:val="24"/>
              </w:rPr>
              <w:t>年“三公”经费</w:t>
            </w:r>
            <w:r>
              <w:rPr>
                <w:rFonts w:hint="eastAsia" w:ascii="仿宋_GB2312" w:eastAsia="仿宋_GB2312"/>
                <w:sz w:val="24"/>
                <w:szCs w:val="24"/>
                <w:lang w:eastAsia="zh-CN"/>
              </w:rPr>
              <w:t>支出</w:t>
            </w:r>
            <w:r>
              <w:rPr>
                <w:rFonts w:ascii="仿宋_GB2312" w:eastAsia="仿宋_GB2312"/>
                <w:sz w:val="24"/>
                <w:szCs w:val="24"/>
              </w:rPr>
              <w:t>0</w:t>
            </w:r>
            <w:r>
              <w:rPr>
                <w:rFonts w:hint="eastAsia" w:ascii="仿宋_GB2312" w:eastAsia="仿宋_GB2312"/>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09" w:type="dxa"/>
            <w:vMerge w:val="continue"/>
            <w:noWrap w:val="0"/>
            <w:vAlign w:val="top"/>
          </w:tcPr>
          <w:p>
            <w:pPr>
              <w:spacing w:line="576" w:lineRule="exact"/>
              <w:jc w:val="center"/>
              <w:rPr>
                <w:rFonts w:hint="eastAsia" w:ascii="仿宋_GB2312" w:hAnsi="仿宋" w:eastAsia="仿宋_GB2312" w:cs="方正小标宋简体"/>
                <w:sz w:val="24"/>
              </w:rPr>
            </w:pPr>
          </w:p>
        </w:tc>
        <w:tc>
          <w:tcPr>
            <w:tcW w:w="1276" w:type="dxa"/>
            <w:noWrap w:val="0"/>
            <w:vAlign w:val="center"/>
          </w:tcPr>
          <w:p>
            <w:pPr>
              <w:spacing w:line="576" w:lineRule="exact"/>
              <w:jc w:val="center"/>
              <w:rPr>
                <w:rFonts w:hint="eastAsia" w:ascii="仿宋_GB2312" w:hAnsi="仿宋" w:eastAsia="仿宋_GB2312" w:cs="方正小标宋简体"/>
                <w:sz w:val="24"/>
              </w:rPr>
            </w:pPr>
            <w:r>
              <w:rPr>
                <w:rFonts w:hint="eastAsia" w:ascii="仿宋_GB2312" w:hAnsi="仿宋" w:eastAsia="仿宋_GB2312" w:cs="方正小标宋简体"/>
                <w:sz w:val="24"/>
              </w:rPr>
              <w:t>绩效目标完成情况</w:t>
            </w:r>
          </w:p>
        </w:tc>
        <w:tc>
          <w:tcPr>
            <w:tcW w:w="8137" w:type="dxa"/>
            <w:noWrap w:val="0"/>
            <w:vAlign w:val="center"/>
          </w:tcPr>
          <w:p>
            <w:pPr>
              <w:adjustRightInd w:val="0"/>
              <w:snapToGrid w:val="0"/>
              <w:spacing w:before="156" w:beforeLines="50" w:after="156" w:afterLines="50" w:line="576" w:lineRule="exact"/>
              <w:ind w:firstLine="480" w:firstLineChars="200"/>
              <w:jc w:val="left"/>
              <w:rPr>
                <w:rFonts w:ascii="仿宋_GB2312" w:hAnsi="Calibri" w:eastAsia="仿宋_GB2312"/>
                <w:sz w:val="24"/>
              </w:rPr>
            </w:pPr>
            <w:r>
              <w:rPr>
                <w:rFonts w:hint="eastAsia" w:ascii="仿宋_GB2312" w:hAnsi="Calibri" w:eastAsia="仿宋_GB2312"/>
                <w:sz w:val="24"/>
              </w:rPr>
              <w:t>202</w:t>
            </w:r>
            <w:r>
              <w:rPr>
                <w:rFonts w:ascii="仿宋_GB2312" w:hAnsi="Calibri" w:eastAsia="仿宋_GB2312"/>
                <w:sz w:val="24"/>
              </w:rPr>
              <w:t>0</w:t>
            </w:r>
            <w:r>
              <w:rPr>
                <w:rFonts w:hint="eastAsia" w:ascii="仿宋_GB2312" w:hAnsi="Calibri" w:eastAsia="仿宋_GB2312"/>
                <w:sz w:val="24"/>
              </w:rPr>
              <w:t>年</w:t>
            </w:r>
            <w:r>
              <w:rPr>
                <w:rFonts w:ascii="仿宋_GB2312" w:hAnsi="Calibri" w:eastAsia="仿宋_GB2312"/>
                <w:sz w:val="24"/>
              </w:rPr>
              <w:t>，谭山家镇</w:t>
            </w:r>
            <w:r>
              <w:rPr>
                <w:rFonts w:hint="eastAsia" w:ascii="仿宋_GB2312" w:hAnsi="Calibri" w:eastAsia="仿宋_GB2312"/>
                <w:sz w:val="24"/>
              </w:rPr>
              <w:t>在县委、县政府和镇党委的坚强领导下，在镇人大、政协的监督支持下，我们团结带领全镇人民，以习近平新时代中国特色社会主义思想为指引，深入贯彻党的十九大和十九届二中、三中、四中、五中全会精神，面对新冠肺炎疫情、脱贫攻坚收官工作和创文关键年国检等一系列挑战，主动适应新常态，真抓实干，奋力拼搏，较好地完成了全年各项主要目标任务，实现了全镇经济社会各项事业平稳较快发展。</w:t>
            </w:r>
          </w:p>
          <w:p>
            <w:pPr>
              <w:numPr>
                <w:ilvl w:val="0"/>
                <w:numId w:val="4"/>
              </w:numPr>
              <w:adjustRightInd w:val="0"/>
              <w:snapToGrid w:val="0"/>
              <w:spacing w:before="156" w:beforeLines="50" w:after="156" w:afterLines="50" w:line="576" w:lineRule="exact"/>
              <w:ind w:firstLine="480" w:firstLineChars="200"/>
              <w:jc w:val="left"/>
              <w:rPr>
                <w:rFonts w:ascii="仿宋_GB2312" w:hAnsi="Calibri" w:eastAsia="仿宋_GB2312"/>
                <w:sz w:val="24"/>
              </w:rPr>
            </w:pPr>
            <w:r>
              <w:rPr>
                <w:rFonts w:hint="eastAsia" w:ascii="仿宋_GB2312" w:hAnsi="Calibri" w:eastAsia="仿宋_GB2312"/>
                <w:sz w:val="24"/>
              </w:rPr>
              <w:t>今年是面对疫情挑战，稳定经济的一年</w:t>
            </w:r>
          </w:p>
          <w:p>
            <w:pPr>
              <w:adjustRightInd w:val="0"/>
              <w:snapToGrid w:val="0"/>
              <w:spacing w:before="156" w:beforeLines="50" w:after="156" w:afterLines="50" w:line="576" w:lineRule="exact"/>
              <w:ind w:firstLine="480" w:firstLineChars="200"/>
              <w:jc w:val="left"/>
              <w:rPr>
                <w:rFonts w:ascii="仿宋_GB2312" w:hAnsi="Calibri" w:eastAsia="仿宋_GB2312"/>
                <w:sz w:val="24"/>
              </w:rPr>
            </w:pPr>
            <w:r>
              <w:rPr>
                <w:rFonts w:hint="eastAsia" w:ascii="仿宋_GB2312" w:hAnsi="Calibri" w:eastAsia="仿宋_GB2312"/>
                <w:sz w:val="24"/>
              </w:rPr>
              <w:t>当疫情来临时，全镇上下众志成城共抗疫情，自疫情起总监测人数351人（其中居家隔离342人，鑫田集中隔离9人），摸排大数据1505人，完成49252人健康码注册，在我镇全体干部群众的努力下，确保了谭家山镇无一例感染和疑似感染案例。当疫情稳定时，在做好防控防护的前提下，我们加速复工复产，经济发展稳中求进，截至11月底，全镇完成税收3575万元，占年度任务89.4%；非税收入完成142万元，占年度任务51.8%；完成固定资产投资4.1亿元；完成规模工业总产值2.96亿元（预计12月完成5000万元）；今年共接待招商引资客户20余批次，目前在谈项目7个（其中4 个已经或接近落地）。完成企业入规2家。重点项目工作推进情况良好，一是矿区生态保护修复项目，涉及4个标段，20个施工班组，目前主体工程任务已完成89.92%，1、2标段已完成工作量99.8%，3标段完成93.4%，4标段进展顺利，完成工程量82%，工程完工后，可新增耕地39.1亩。拆除矿区危房建筑面积2.8万余平方米，恢复旱土160多亩，林地90多亩。二是醴娄高速公路建设项目，已完成边线定界、挖边沟工作，确定了村、组边界，完成大型实物丈量。醴娄高速谭家山境内全线长10.637公里，涉及5个村37个组，全线红线内</w:t>
            </w:r>
            <w:r>
              <w:rPr>
                <w:rFonts w:hint="eastAsia" w:ascii="仿宋_GB2312" w:hAnsi="Calibri" w:eastAsia="仿宋_GB2312"/>
                <w:sz w:val="24"/>
                <w:lang w:eastAsia="zh-CN"/>
              </w:rPr>
              <w:t>涉及</w:t>
            </w:r>
            <w:r>
              <w:rPr>
                <w:rFonts w:hint="eastAsia" w:ascii="仿宋_GB2312" w:hAnsi="Calibri" w:eastAsia="仿宋_GB2312"/>
                <w:sz w:val="24"/>
              </w:rPr>
              <w:t>80栋房屋96户。已对全线房屋进行了面积及人口信息的采集，同时也对红线外房屋进行了初步摸底，并及时处理红线内巡查抢搭抢建现象，为下一步征拆工作摸清底数。</w:t>
            </w:r>
          </w:p>
          <w:p>
            <w:pPr>
              <w:numPr>
                <w:ilvl w:val="0"/>
                <w:numId w:val="4"/>
              </w:numPr>
              <w:spacing w:line="576" w:lineRule="exact"/>
              <w:ind w:firstLine="480" w:firstLineChars="200"/>
              <w:rPr>
                <w:rFonts w:ascii="仿宋_GB2312" w:hAnsi="Calibri" w:eastAsia="仿宋_GB2312"/>
                <w:sz w:val="24"/>
              </w:rPr>
            </w:pPr>
            <w:r>
              <w:rPr>
                <w:rFonts w:hint="eastAsia" w:ascii="仿宋_GB2312" w:hAnsi="Calibri" w:eastAsia="仿宋_GB2312"/>
                <w:sz w:val="24"/>
              </w:rPr>
              <w:t>今年是全面推进“三大攻坚战”，实现全面脱贫的一年</w:t>
            </w:r>
          </w:p>
          <w:p>
            <w:pPr>
              <w:spacing w:line="576" w:lineRule="exact"/>
              <w:ind w:firstLine="480" w:firstLineChars="200"/>
              <w:rPr>
                <w:rFonts w:ascii="仿宋_GB2312" w:hAnsi="Calibri" w:eastAsia="仿宋_GB2312"/>
                <w:sz w:val="24"/>
              </w:rPr>
            </w:pPr>
            <w:r>
              <w:rPr>
                <w:rFonts w:hint="eastAsia" w:ascii="仿宋_GB2312" w:hAnsi="Calibri" w:eastAsia="仿宋_GB2312"/>
                <w:sz w:val="24"/>
              </w:rPr>
              <w:t>在脱贫攻坚战中，调优配强结对帮扶力量，我镇调整和增派驻村干部29名，选派市县镇村党员干部725人对764户1566名贫困对象进行一对一帮扶，实现全部脱贫。精心组织实施产业扶贫。全镇产业扶贫专项项目计划帮扶</w:t>
            </w:r>
            <w:r>
              <w:rPr>
                <w:rFonts w:hint="eastAsia" w:ascii="仿宋_GB2312" w:hAnsi="Calibri" w:eastAsia="仿宋_GB2312"/>
                <w:sz w:val="24"/>
                <w:lang w:eastAsia="zh-CN"/>
              </w:rPr>
              <w:t>贫</w:t>
            </w:r>
            <w:r>
              <w:rPr>
                <w:rFonts w:hint="eastAsia" w:ascii="仿宋_GB2312" w:hAnsi="Calibri" w:eastAsia="仿宋_GB2312"/>
                <w:sz w:val="24"/>
              </w:rPr>
              <w:t>困人口784人，村级产业帮扶贫困人口764户1566人。重点抓好住房和饮水安全。实施饮水安全28户43人，切实保障我镇贫困户饮水安全。建立了全镇764户建档立卡贫困户、五保、低保、贫困残疾人家庭、一般户的房屋进行农村房屋危险性鉴定数据库。完成41户建档立卡贫困户危房改造，其中新建14户、修缮27户，共计补助74.32万元。大力推进教育扶贫。对110名建档立卡贫困学生进行扶贫，补助金额11.53万元；享受“雨露计划”助学29人，金额4.25万元，国家和社会的各项补助已全面落实，确保贫困学生顺利完成学业，全镇无一学生因贫辍学。认真做好健康扶贫工作。扎实推进家庭医生签约工作，我镇家庭医生与全镇健康立卡贫困户全部签约，签约率100%。切实做好医疗保障工作,为镇辖内所有贫困户代缴新农合250元/人·年、特惠保60元/人·年。积极开展就业扶贫。建设就业扶贫车间1个，带动建档立卡贫困户20余人实现增收；组织19名建档立卡贫困户参加养老服务技能培训班；发放贫困劳动力交通补助278</w:t>
            </w:r>
            <w:r>
              <w:rPr>
                <w:rFonts w:hint="eastAsia" w:hAnsi="Calibri"/>
                <w:sz w:val="24"/>
              </w:rPr>
              <w:t>人，</w:t>
            </w:r>
            <w:r>
              <w:rPr>
                <w:rFonts w:hint="eastAsia" w:ascii="仿宋_GB2312" w:hAnsi="Calibri" w:eastAsia="仿宋_GB2312"/>
                <w:sz w:val="24"/>
              </w:rPr>
              <w:t>补贴金额6.23万元；发放</w:t>
            </w:r>
            <w:r>
              <w:rPr>
                <w:rFonts w:hint="eastAsia" w:hAnsi="Calibri"/>
                <w:sz w:val="24"/>
              </w:rPr>
              <w:t>贫困劳动力</w:t>
            </w:r>
            <w:r>
              <w:rPr>
                <w:rFonts w:hint="eastAsia" w:ascii="仿宋_GB2312" w:hAnsi="Calibri" w:eastAsia="仿宋_GB2312"/>
                <w:sz w:val="24"/>
              </w:rPr>
              <w:t>一次性求职创业补贴36人，补贴金额为1.08万元。</w:t>
            </w:r>
          </w:p>
          <w:p>
            <w:pPr>
              <w:spacing w:line="576" w:lineRule="exact"/>
              <w:ind w:firstLine="480" w:firstLineChars="200"/>
              <w:rPr>
                <w:rFonts w:ascii="仿宋_GB2312" w:hAnsi="Calibri" w:eastAsia="仿宋_GB2312"/>
                <w:sz w:val="24"/>
              </w:rPr>
            </w:pPr>
            <w:r>
              <w:rPr>
                <w:rFonts w:hint="eastAsia" w:ascii="仿宋_GB2312" w:hAnsi="Calibri" w:eastAsia="仿宋_GB2312"/>
                <w:sz w:val="24"/>
              </w:rPr>
              <w:t>在污染防治攻坚战中，一是制定《谭家山镇2020年秸秆禁烧及综合利用实施方案》，在一季稻收割期间对全镇重点村组无间断进行巡查，发动全镇收割机手安装碎草机进行碎草还田，处理焚烧</w:t>
            </w:r>
            <w:r>
              <w:rPr>
                <w:rFonts w:hint="eastAsia" w:ascii="仿宋_GB2312" w:hAnsi="Calibri" w:eastAsia="仿宋_GB2312"/>
                <w:sz w:val="24"/>
                <w:lang w:eastAsia="zh-CN"/>
              </w:rPr>
              <w:t>秸秆</w:t>
            </w:r>
            <w:r>
              <w:rPr>
                <w:rFonts w:hint="eastAsia" w:ascii="仿宋_GB2312" w:hAnsi="Calibri" w:eastAsia="仿宋_GB2312"/>
                <w:sz w:val="24"/>
              </w:rPr>
              <w:t>垃圾20余起，同时强化秸秆禁烧宣传工作，共出动宣传车28台次，悬挂宣传横幅25条，张贴宣传标语260余张，向全镇农民发放公开信6000余份，村村响每天3次滚动播出；二是成立镇环委会，在今年省生态环境保护督查“回头看”期间，针对我镇洪顺建材采砂问题，沉陷治理区修复挖沙问题、腾达农业科技公司乱排粪水问题、恒润铁粉厂废水外排问题以及瑞锌化工厂废气外排等问题。对此类案件高度重视，要求各相应企业做了扬尘检测、噪音检测、废气排放检测、废水排放检测是否达标。一经发现问题及时要求企业进行整改，同时加大对企业的巡查力度，对场内危废物、粉尘、废水循环利用管理，实地控制污染物的排放，加强村民健康宣传教育，并做好企业周边群众稳定工作。三是加强对镇域企业进行巡查，对存在环境污染破坏风险的企业进行约谈，处理各类环保问题8起。</w:t>
            </w:r>
          </w:p>
          <w:p>
            <w:pPr>
              <w:pStyle w:val="8"/>
              <w:spacing w:line="576" w:lineRule="exact"/>
              <w:ind w:firstLine="480" w:firstLineChars="200"/>
              <w:jc w:val="left"/>
              <w:rPr>
                <w:rFonts w:ascii="仿宋_GB2312" w:hAnsi="Calibri" w:eastAsia="仿宋_GB2312"/>
                <w:b w:val="0"/>
                <w:sz w:val="24"/>
              </w:rPr>
            </w:pPr>
            <w:r>
              <w:rPr>
                <w:rFonts w:hint="eastAsia" w:ascii="仿宋_GB2312" w:hAnsi="Calibri" w:eastAsia="仿宋_GB2312"/>
                <w:b w:val="0"/>
                <w:sz w:val="24"/>
              </w:rPr>
              <w:t>在防范化解重大风险攻坚战中。一是我镇累计清收转化天易农商银行谭家山支行不良贷款479.51万元。同时高度重视创建省级金融安全区工作，先后创建霞峰村、铁竹村两个“市级信用村”。二是为构建节约型政府，进一步规范财务行为，我镇出台谭家山镇财务管理制度，进一步强化预算管理、财政支付管理和固定资产管理。在增收工作方面，我镇加大招商引资力度，并就企业周边问题积极开展协调工作，确保企业正常运转，同时勤征细管，做到应收尽收。</w:t>
            </w:r>
          </w:p>
          <w:p>
            <w:pPr>
              <w:numPr>
                <w:ilvl w:val="0"/>
                <w:numId w:val="5"/>
              </w:numPr>
              <w:adjustRightInd w:val="0"/>
              <w:snapToGrid w:val="0"/>
              <w:spacing w:before="156" w:beforeLines="50" w:after="156" w:afterLines="50" w:line="576" w:lineRule="exact"/>
              <w:ind w:firstLine="480" w:firstLineChars="200"/>
              <w:jc w:val="left"/>
              <w:rPr>
                <w:rFonts w:ascii="仿宋_GB2312" w:hAnsi="Calibri" w:eastAsia="仿宋_GB2312"/>
                <w:sz w:val="24"/>
              </w:rPr>
            </w:pPr>
            <w:r>
              <w:rPr>
                <w:rFonts w:hint="eastAsia" w:ascii="仿宋_GB2312" w:hAnsi="Calibri" w:eastAsia="仿宋_GB2312"/>
                <w:sz w:val="24"/>
              </w:rPr>
              <w:t>今年是持续推进乡村振兴，扎实根基的一年。</w:t>
            </w:r>
          </w:p>
          <w:p>
            <w:pPr>
              <w:spacing w:line="576" w:lineRule="exact"/>
              <w:ind w:firstLine="480" w:firstLineChars="200"/>
              <w:rPr>
                <w:rFonts w:ascii="仿宋_GB2312" w:hAnsi="Calibri" w:eastAsia="仿宋_GB2312"/>
                <w:sz w:val="24"/>
              </w:rPr>
            </w:pPr>
            <w:r>
              <w:rPr>
                <w:rFonts w:hint="eastAsia" w:ascii="仿宋_GB2312" w:hAnsi="Calibri" w:eastAsia="仿宋_GB2312"/>
                <w:sz w:val="24"/>
              </w:rPr>
              <w:t>在农村人居环境整治工作中，我镇积极探索人居环境整治新模式。一是向全镇17个村（社区）全面推行生活垃圾处理付费制，截至目前，共计收缴资金57.38万元，参与率达77%，其中霞峰、石垅、月仙、棠霞、谭家山等5个村收缴率达到100%。二是持续推进107国道示范路段创建工作，将G107国道旁5米范围内进行全面清洁、绿化、美化及亮化，镇区范围内闲置地进行复绿并改造成休闲花园，为村民提供休闲娱乐场所。三是持续深入开展“厕所革命”，全镇宣传发动2000余户，增加施工队伍至6支，倒排工期压实责任，完成无害化厕所改造509座，完成全镇改厕工作任务。四是今年通过评比活动推选出“三星美丽庭院”1970户、“四星美丽庭院”197户。五是全面强化环境整治，我镇今年在镇区添加不锈钢分类垃圾桶30个，在107国道旁添加PVC分类垃圾桶200个，出动工程机械（挖机、铲机、吊车）清理国省道沿线杂物30余台次，出动人工清理杂草杂物620余人次，设置围挡2000余米，设置大型创文宣传牌30余处，完成镇区弱电入地改造工程，将镇区闲置土地改造为街心公园，彻底改造我镇环境，营造良好的镇区形象，并在今年6月的创文省检和9月的创文国检中取得较好的成绩。</w:t>
            </w:r>
          </w:p>
          <w:p>
            <w:pPr>
              <w:pStyle w:val="8"/>
              <w:spacing w:line="576" w:lineRule="exact"/>
              <w:ind w:firstLine="480" w:firstLineChars="200"/>
              <w:jc w:val="both"/>
              <w:rPr>
                <w:rFonts w:ascii="仿宋_GB2312" w:hAnsi="Calibri" w:eastAsia="仿宋_GB2312"/>
                <w:b w:val="0"/>
                <w:sz w:val="24"/>
              </w:rPr>
            </w:pPr>
            <w:r>
              <w:rPr>
                <w:rFonts w:hint="eastAsia" w:ascii="仿宋_GB2312" w:hAnsi="Calibri" w:eastAsia="仿宋_GB2312"/>
                <w:b w:val="0"/>
                <w:sz w:val="24"/>
              </w:rPr>
              <w:t>在种植产业结构调整工作中。一是我镇今年完成粮食播种面积32360亩，（其中双季稻面积8690亩，高档优质稻面积6380亩），实现粮食总产15151吨。二是全镇共有新型经营主体123家，（其中合作社83家、家庭农场37家），土地流转面积共计2.1万余亩，今年新增土地流转面积6000余亩，种植结构调整面积2000余亩。（其中林泉山农业有限公司在紫竹村流转土地910亩种植水稻、芝麻，委托香香农场产业扶贫种植红薯100亩；腾达种养科技公司在龙亭村流转土地500多亩，其中200亩种植水稻，300亩种植玉米）。三是全面宣发动员种植大户、农业合作社、农业企业投保水稻保险，目前已完成保险15470.77亩，任务完成率59.3%，（其中入保险村4个，参保面积6626.31亩；种粮大户24户，入保面积3243.15亩；合作社3家，参保面积3414.72亩。晚稻保险2186.59亩）。四是今年我镇在巩固稳定2018-2019年结构调整成果1.3万亩的基础上，全面完成政府定的3年目标任务，实现严格管控区2.6万亩耕地结构调整全覆盖，着重推广湘莲（莲渔共养）、稻渔综合种养等调整模式。</w:t>
            </w:r>
            <w:r>
              <w:rPr>
                <w:rFonts w:ascii="仿宋_GB2312" w:hAnsi="Calibri" w:eastAsia="仿宋_GB2312"/>
                <w:b w:val="0"/>
                <w:sz w:val="24"/>
              </w:rPr>
              <w:t>五是</w:t>
            </w:r>
            <w:r>
              <w:rPr>
                <w:rFonts w:hint="eastAsia" w:ascii="仿宋_GB2312" w:hAnsi="Calibri" w:eastAsia="仿宋_GB2312"/>
                <w:b w:val="0"/>
                <w:sz w:val="24"/>
              </w:rPr>
              <w:t>配合</w:t>
            </w:r>
            <w:r>
              <w:rPr>
                <w:rFonts w:ascii="仿宋_GB2312" w:hAnsi="Calibri" w:eastAsia="仿宋_GB2312"/>
                <w:b w:val="0"/>
                <w:sz w:val="24"/>
              </w:rPr>
              <w:t>县</w:t>
            </w:r>
            <w:r>
              <w:rPr>
                <w:rFonts w:hint="eastAsia" w:ascii="仿宋_GB2312" w:hAnsi="Calibri" w:eastAsia="仿宋_GB2312"/>
                <w:b w:val="0"/>
                <w:sz w:val="24"/>
              </w:rPr>
              <w:t>完成</w:t>
            </w:r>
            <w:r>
              <w:rPr>
                <w:rFonts w:ascii="仿宋_GB2312" w:hAnsi="Calibri" w:eastAsia="仿宋_GB2312"/>
                <w:b w:val="0"/>
                <w:sz w:val="24"/>
              </w:rPr>
              <w:t>“万亩连片”特色种植</w:t>
            </w:r>
            <w:r>
              <w:rPr>
                <w:rFonts w:hint="eastAsia" w:ascii="仿宋_GB2312" w:hAnsi="Calibri" w:eastAsia="仿宋_GB2312"/>
                <w:b w:val="0"/>
                <w:sz w:val="24"/>
              </w:rPr>
              <w:t>示范点任务</w:t>
            </w:r>
            <w:r>
              <w:rPr>
                <w:rFonts w:ascii="仿宋_GB2312" w:hAnsi="Calibri" w:eastAsia="仿宋_GB2312"/>
                <w:b w:val="0"/>
                <w:sz w:val="24"/>
              </w:rPr>
              <w:t>，分别于长岭村开展花卉苗木、湘莲种植工作，于红星村开展高粱种植工作，于茶金村开展虾蟹养殖工作，于霞峰村开展油茶苗木种植工作。六是稳定粮食面积</w:t>
            </w:r>
            <w:r>
              <w:rPr>
                <w:rFonts w:hint="eastAsia" w:ascii="仿宋_GB2312" w:hAnsi="Calibri" w:eastAsia="仿宋_GB2312"/>
                <w:b w:val="0"/>
                <w:sz w:val="24"/>
              </w:rPr>
              <w:t>，</w:t>
            </w:r>
            <w:r>
              <w:rPr>
                <w:rFonts w:ascii="仿宋_GB2312" w:hAnsi="Calibri" w:eastAsia="仿宋_GB2312"/>
                <w:b w:val="0"/>
                <w:sz w:val="24"/>
              </w:rPr>
              <w:t>大力发展秋冬季农业生产，于全镇14个村开展冬种油菜工作，</w:t>
            </w:r>
            <w:r>
              <w:rPr>
                <w:rFonts w:hint="eastAsia" w:ascii="仿宋_GB2312" w:hAnsi="Calibri" w:eastAsia="仿宋_GB2312"/>
                <w:b w:val="0"/>
                <w:sz w:val="24"/>
              </w:rPr>
              <w:t>已完成种植面积</w:t>
            </w:r>
            <w:r>
              <w:rPr>
                <w:rFonts w:ascii="仿宋_GB2312" w:hAnsi="Calibri" w:eastAsia="仿宋_GB2312"/>
                <w:b w:val="0"/>
                <w:sz w:val="24"/>
              </w:rPr>
              <w:t>13650亩。</w:t>
            </w:r>
          </w:p>
          <w:p>
            <w:pPr>
              <w:pStyle w:val="8"/>
              <w:spacing w:line="576" w:lineRule="exact"/>
              <w:ind w:firstLine="480" w:firstLineChars="200"/>
              <w:jc w:val="both"/>
              <w:rPr>
                <w:rFonts w:ascii="仿宋_GB2312" w:hAnsi="Calibri" w:eastAsia="仿宋_GB2312"/>
                <w:b w:val="0"/>
                <w:sz w:val="24"/>
              </w:rPr>
            </w:pPr>
            <w:r>
              <w:rPr>
                <w:rFonts w:hint="eastAsia" w:ascii="仿宋_GB2312" w:hAnsi="Calibri" w:eastAsia="仿宋_GB2312"/>
                <w:b w:val="0"/>
                <w:sz w:val="24"/>
              </w:rPr>
              <w:t>在农村基础设施夯实完善工作中。一是兴修水利，全面铺开水利工程建设工作，全镇投入水利建设资金600多万元，完成各类水利工程360处，投入劳动工日12万个，移动土石方12万方，新增和改善灌溉面积1000亩。二是持续推进河长制工作，镇村两级河长带队巡河，对7座小二型水库、人民渠、紫荆河、月仙河、泉丰河开展APP巡河，补充全镇水库、山塘、渠、坝电子地图实名标注，对在建工程紫荆河全线加强防汛、保洁管理，河道排污口配合环保部门进行定位登记，确保河道畅通、清洁。三是根据我镇情况制定</w:t>
            </w:r>
            <w:r>
              <w:rPr>
                <w:rFonts w:hint="eastAsia" w:ascii="仿宋_GB2312" w:hAnsi="Calibri" w:eastAsia="仿宋_GB2312"/>
                <w:b w:val="0"/>
                <w:sz w:val="24"/>
                <w:lang w:eastAsia="zh-CN"/>
              </w:rPr>
              <w:t>度汛</w:t>
            </w:r>
            <w:r>
              <w:rPr>
                <w:rFonts w:hint="eastAsia" w:ascii="仿宋_GB2312" w:hAnsi="Calibri" w:eastAsia="仿宋_GB2312"/>
                <w:b w:val="0"/>
                <w:sz w:val="24"/>
              </w:rPr>
              <w:t>方案，开展防汛</w:t>
            </w:r>
            <w:r>
              <w:rPr>
                <w:rFonts w:hint="eastAsia" w:ascii="仿宋_GB2312" w:hAnsi="Calibri" w:eastAsia="仿宋_GB2312"/>
                <w:b w:val="0"/>
                <w:sz w:val="24"/>
                <w:lang w:eastAsia="zh-CN"/>
              </w:rPr>
              <w:t>度汛</w:t>
            </w:r>
            <w:r>
              <w:rPr>
                <w:rFonts w:hint="eastAsia" w:ascii="仿宋_GB2312" w:hAnsi="Calibri" w:eastAsia="仿宋_GB2312"/>
                <w:b w:val="0"/>
                <w:sz w:val="24"/>
              </w:rPr>
              <w:t>工作，各小（二）型水库严格落实四位一体岗位责任制，并按上级要求夯实水库</w:t>
            </w:r>
            <w:r>
              <w:rPr>
                <w:rFonts w:hint="eastAsia" w:ascii="仿宋_GB2312" w:hAnsi="Calibri" w:eastAsia="仿宋_GB2312"/>
                <w:b w:val="0"/>
                <w:sz w:val="24"/>
                <w:lang w:eastAsia="zh-CN"/>
              </w:rPr>
              <w:t>安全度汛</w:t>
            </w:r>
            <w:r>
              <w:rPr>
                <w:rFonts w:hint="eastAsia" w:ascii="仿宋_GB2312" w:hAnsi="Calibri" w:eastAsia="仿宋_GB2312"/>
                <w:b w:val="0"/>
                <w:sz w:val="24"/>
              </w:rPr>
              <w:t>责任落实，万方以上骨干塘等重点设施均明确防汛责任到人。并对14个山洪灾害危险区和小二型水库分村组织了安全转移演练。对全镇范围内的水库、骨干山塘、撇洪渠等工程进行4次全面检查，对7座小二型水库雨量器进行及时维护和更新，并指导水库管理人员正确使用，对进出通道及大坝进行全面清杂扫障，确保大坝观察无障碍。四是组织各村开展通自然村公路建设，完成路基建设5公里；拓宽Y097月仙村段700米；养护公路里程28公里；完成公路补板新枫线600平方米，月仙村400余平方米，紫竹村100平方米；完成Y194山榨线中修项目，全长5.6公里。五是拆除土地庙旧农贸市场，并新建土地庙新农贸市场并于9月13日投入使用，新市场占地2000余平方米，提供摊位200余个。</w:t>
            </w:r>
          </w:p>
          <w:p>
            <w:pPr>
              <w:numPr>
                <w:ilvl w:val="0"/>
                <w:numId w:val="5"/>
              </w:numPr>
              <w:adjustRightInd w:val="0"/>
              <w:snapToGrid w:val="0"/>
              <w:spacing w:before="156" w:beforeLines="50" w:after="156" w:afterLines="50" w:line="576" w:lineRule="exact"/>
              <w:ind w:firstLine="480" w:firstLineChars="200"/>
              <w:jc w:val="left"/>
              <w:rPr>
                <w:rFonts w:ascii="仿宋_GB2312" w:hAnsi="Calibri" w:eastAsia="仿宋_GB2312"/>
                <w:sz w:val="24"/>
              </w:rPr>
            </w:pPr>
            <w:r>
              <w:rPr>
                <w:rFonts w:hint="eastAsia" w:ascii="仿宋_GB2312" w:hAnsi="Calibri" w:eastAsia="仿宋_GB2312"/>
                <w:sz w:val="24"/>
              </w:rPr>
              <w:t>今年是扎实开展民生保障，提高改善民生的一年</w:t>
            </w:r>
          </w:p>
          <w:p>
            <w:pPr>
              <w:spacing w:line="576" w:lineRule="exact"/>
              <w:ind w:firstLine="480" w:firstLineChars="200"/>
              <w:rPr>
                <w:rFonts w:ascii="仿宋_GB2312" w:hAnsi="Calibri" w:eastAsia="仿宋_GB2312"/>
                <w:sz w:val="24"/>
              </w:rPr>
            </w:pPr>
            <w:r>
              <w:rPr>
                <w:rFonts w:hint="eastAsia" w:ascii="仿宋_GB2312" w:hAnsi="Calibri" w:eastAsia="仿宋_GB2312"/>
                <w:sz w:val="24"/>
              </w:rPr>
              <w:t>一是建立健全社会保障体系。我镇持续深入推进农村低保和社会救助兜底保障对象专项治理工作，目前全镇农村低保439户，城镇低保63户。特困分散供养重新认定239人，集中供养39人。全镇全年完成临时救助428次，合计金额39.5万元。为286余名重点优抚对象发放优抚补助金234万余元，为部分农村籍60岁退役士兵发放生活补助金43.5万元。完成农村危房改造54户，共计补助84.52万元。二是积极开展就业服务。全年推荐岗位个数711人次，57人办理了失业求职登记，全镇设立公益性岗位48个，开展4次就业技能培训，培训200人。对本镇户籍高校毕业生就业服务做到100%到位。为离校未就业学生提供职业介绍、职业指导、职业培训、就业见习、创业辅导等一系列公共服务，做到离校大学生41人100%就业。三是大力推进殡葬改革制度。扎实做好违法违规墓地排查工作，共排查出违法违规私建墓154座，活人墓18座。</w:t>
            </w:r>
          </w:p>
          <w:p>
            <w:pPr>
              <w:numPr>
                <w:ilvl w:val="0"/>
                <w:numId w:val="5"/>
              </w:numPr>
              <w:adjustRightInd w:val="0"/>
              <w:snapToGrid w:val="0"/>
              <w:spacing w:before="156" w:beforeLines="50" w:after="156" w:afterLines="50" w:line="576" w:lineRule="exact"/>
              <w:ind w:firstLine="480" w:firstLineChars="200"/>
              <w:jc w:val="left"/>
              <w:rPr>
                <w:rFonts w:ascii="仿宋_GB2312" w:hAnsi="Calibri" w:eastAsia="仿宋_GB2312"/>
                <w:sz w:val="24"/>
              </w:rPr>
            </w:pPr>
            <w:r>
              <w:rPr>
                <w:rFonts w:hint="eastAsia" w:ascii="仿宋_GB2312" w:hAnsi="Calibri" w:eastAsia="仿宋_GB2312"/>
                <w:sz w:val="24"/>
              </w:rPr>
              <w:t>今年是严抓勤管，维护社会稳定，保障安全生产的一年</w:t>
            </w:r>
          </w:p>
          <w:p>
            <w:pPr>
              <w:spacing w:line="576" w:lineRule="exact"/>
              <w:ind w:firstLine="480" w:firstLineChars="200"/>
              <w:rPr>
                <w:rFonts w:hint="eastAsia" w:ascii="仿宋_GB2312" w:hAnsi="Calibri" w:eastAsia="仿宋_GB2312"/>
                <w:sz w:val="24"/>
              </w:rPr>
            </w:pPr>
            <w:r>
              <w:rPr>
                <w:rFonts w:hint="eastAsia" w:ascii="仿宋_GB2312" w:hAnsi="Calibri" w:eastAsia="仿宋_GB2312"/>
                <w:sz w:val="24"/>
              </w:rPr>
              <w:t>一是常管常抓筑牢安全根基。镇安委会全年组织相关安全生产检查执法活动13批次，检查生产经营单位86家，查出各类安全隐患184条处，累计下达各类责令限期整改决定书43份，立案调查8起，进行行政处罚3.4万元。二是执法从严强化综合执法。今年综合行政执法开展巡查368次，立案18件，处罚案件18件，罚没185570元。对107国道经营门店开展多次联合整治，合理规划商贩经营位置，积极劝导流动摊贩和私设摊点行为。强化“三场（采石场、石子加工厂、洗砂场）”巡查管控力度，通过不定时巡查和夜间突击检查等方式，确保辖区内无偷采、无非法洗砂等破坏国土矿产资源违法行为，一经发现非法洗砂场，将即查即拆，不留后患。三是铁腕整治交通问题顽瘴痼疾。今年组织召开治超工作推进会6次，与镇域范围内10个企业签订了货运单位治超承诺书，强化对镇域内企业管理；对重点整治农用车非法载客、超载超限、无牌无证、非法拼装等违法行为，处罚非法营运车辆10台，设置道路交通安全警示牌32块；拆除土地庙违章建筑70余处，面积2500平方米；每逢赶集日，对土地庙各路口进行交通管制，对原马路市场摊贩进行劝导，让所有原马路市场摊贩能在规范、有序的市场内经营。四是扎实开展扫黑除恶专项斗争。针对中央督导“回头看”督导出的六个方面的具体问题，展开自查自纠，形成问题整改清单，结合实际，制定整改措施，切实将具体问题整改到位。开展好“六清”行动，对镇域内矛盾纠纷、涉“武”、涉黑涉恶、黄赌毒等情况持续开展线索摸排。开展2020年农村法治教育宣传月暨扫黑除恶专项斗争集中宣传活动，发放各类宣传资料2000余份。五是大力推进民情大走访工作。对全镇14768户村民走访到位，发放平安建设环保袋1.2万只，宣传资料约3万份，纸杯24万只；发放《校园及周边治安环境调查问卷》2000余张；完成模拟民调电话数4500余个；收集并解决群众意见建议88条，涉及民生、</w:t>
            </w:r>
            <w:r>
              <w:rPr>
                <w:rFonts w:hint="eastAsia" w:ascii="仿宋_GB2312" w:hAnsi="Calibri" w:eastAsia="仿宋_GB2312"/>
                <w:sz w:val="24"/>
                <w:lang w:eastAsia="zh-CN"/>
              </w:rPr>
              <w:t>环境</w:t>
            </w:r>
            <w:r>
              <w:rPr>
                <w:rFonts w:hint="eastAsia" w:ascii="仿宋_GB2312" w:hAnsi="Calibri" w:eastAsia="仿宋_GB2312"/>
                <w:sz w:val="24"/>
              </w:rPr>
              <w:t>、经济、社会矛盾等多个方面。六是积极化解信访案件。今年我镇上访事件同比下降50%以上，办结信访案件5起，签订平访息诉承诺书5个。全镇实现了国家信访局零登记、零非访和零滋事和五个“不发生”的工作目标，社会治安综合治理水平显著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709" w:type="dxa"/>
            <w:vMerge w:val="restart"/>
            <w:noWrap w:val="0"/>
            <w:vAlign w:val="top"/>
          </w:tcPr>
          <w:p>
            <w:pPr>
              <w:jc w:val="left"/>
              <w:rPr>
                <w:rFonts w:hint="eastAsia" w:ascii="仿宋_GB2312" w:eastAsia="仿宋_GB2312"/>
                <w:sz w:val="24"/>
              </w:rPr>
            </w:pPr>
            <w:r>
              <w:rPr>
                <w:rFonts w:hint="eastAsia" w:ascii="仿宋_GB2312" w:eastAsia="仿宋_GB2312"/>
                <w:sz w:val="24"/>
              </w:rPr>
              <w:t>存在的问题分析及改进措施</w:t>
            </w:r>
          </w:p>
        </w:tc>
        <w:tc>
          <w:tcPr>
            <w:tcW w:w="1276" w:type="dxa"/>
            <w:noWrap w:val="0"/>
            <w:vAlign w:val="center"/>
          </w:tcPr>
          <w:p>
            <w:pPr>
              <w:ind w:firstLine="33" w:firstLineChars="14"/>
              <w:jc w:val="center"/>
              <w:rPr>
                <w:rFonts w:hint="eastAsia" w:ascii="仿宋_GB2312" w:eastAsia="仿宋_GB2312"/>
                <w:sz w:val="24"/>
              </w:rPr>
            </w:pPr>
            <w:r>
              <w:rPr>
                <w:rFonts w:hint="eastAsia" w:ascii="仿宋_GB2312" w:eastAsia="仿宋_GB2312"/>
                <w:sz w:val="24"/>
              </w:rPr>
              <w:t>存在的</w:t>
            </w:r>
          </w:p>
          <w:p>
            <w:pPr>
              <w:ind w:firstLine="33" w:firstLineChars="14"/>
              <w:jc w:val="center"/>
              <w:rPr>
                <w:rFonts w:hint="eastAsia" w:ascii="仿宋_GB2312" w:eastAsia="仿宋_GB2312"/>
                <w:sz w:val="24"/>
              </w:rPr>
            </w:pPr>
            <w:r>
              <w:rPr>
                <w:rFonts w:hint="eastAsia" w:ascii="仿宋_GB2312" w:eastAsia="仿宋_GB2312"/>
                <w:sz w:val="24"/>
              </w:rPr>
              <w:t>问题</w:t>
            </w:r>
          </w:p>
        </w:tc>
        <w:tc>
          <w:tcPr>
            <w:tcW w:w="8137" w:type="dxa"/>
            <w:noWrap w:val="0"/>
            <w:vAlign w:val="center"/>
          </w:tcPr>
          <w:p>
            <w:pPr>
              <w:pStyle w:val="16"/>
              <w:spacing w:line="360" w:lineRule="auto"/>
              <w:ind w:firstLine="360" w:firstLineChars="150"/>
              <w:rPr>
                <w:rFonts w:hint="eastAsia" w:ascii="仿宋_GB2312" w:eastAsia="仿宋_GB2312"/>
                <w:sz w:val="24"/>
                <w:szCs w:val="24"/>
              </w:rPr>
            </w:pPr>
            <w:r>
              <w:rPr>
                <w:rFonts w:hint="eastAsia" w:ascii="仿宋_GB2312" w:eastAsia="仿宋_GB2312"/>
                <w:sz w:val="24"/>
                <w:szCs w:val="24"/>
              </w:rPr>
              <w:t>在肯定成绩的同时，我们必须清醒地认识到我们的工作还存在着一些困难和不足，主要表现在以下几个方面：一是镇域经济总量小，农业产业化水平不高，引导群众致富产业不多、不强；二是重点项目建设资金缺口较大，施工环境欠优，项目建设规模小，工程进展较慢；三是</w:t>
            </w:r>
            <w:r>
              <w:rPr>
                <w:rFonts w:hint="eastAsia" w:ascii="仿宋_GB2312" w:hAnsi="Times New Roman" w:eastAsia="仿宋_GB2312"/>
                <w:sz w:val="24"/>
                <w:szCs w:val="24"/>
              </w:rPr>
              <w:t>预算编制工作有待细化，预算编制不够科学合理</w:t>
            </w:r>
            <w:r>
              <w:rPr>
                <w:rFonts w:hint="eastAsia" w:ascii="仿宋_GB2312" w:eastAsia="仿宋_GB2312"/>
                <w:sz w:val="24"/>
                <w:szCs w:val="24"/>
              </w:rPr>
              <w:t>。</w:t>
            </w:r>
            <w:bookmarkStart w:id="3" w:name="_GoBack"/>
            <w:bookmarkEnd w:id="3"/>
          </w:p>
          <w:p>
            <w:pPr>
              <w:ind w:firstLine="33" w:firstLineChars="14"/>
              <w:jc w:val="lef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9" w:type="dxa"/>
            <w:vMerge w:val="continue"/>
            <w:noWrap w:val="0"/>
            <w:vAlign w:val="top"/>
          </w:tcPr>
          <w:p>
            <w:pPr>
              <w:spacing w:line="576" w:lineRule="exact"/>
              <w:jc w:val="center"/>
              <w:rPr>
                <w:rFonts w:hint="eastAsia" w:ascii="仿宋_GB2312" w:hAnsi="仿宋" w:eastAsia="仿宋_GB2312" w:cs="方正小标宋简体"/>
                <w:sz w:val="24"/>
              </w:rPr>
            </w:pPr>
          </w:p>
        </w:tc>
        <w:tc>
          <w:tcPr>
            <w:tcW w:w="1276" w:type="dxa"/>
            <w:noWrap w:val="0"/>
            <w:vAlign w:val="center"/>
          </w:tcPr>
          <w:p>
            <w:pPr>
              <w:jc w:val="left"/>
              <w:rPr>
                <w:rFonts w:hint="eastAsia" w:ascii="仿宋_GB2312" w:eastAsia="仿宋_GB2312"/>
                <w:sz w:val="24"/>
              </w:rPr>
            </w:pPr>
            <w:r>
              <w:rPr>
                <w:rFonts w:hint="eastAsia" w:ascii="仿宋_GB2312" w:eastAsia="仿宋_GB2312"/>
                <w:sz w:val="24"/>
              </w:rPr>
              <w:t>改进措施</w:t>
            </w:r>
          </w:p>
        </w:tc>
        <w:tc>
          <w:tcPr>
            <w:tcW w:w="8137" w:type="dxa"/>
            <w:noWrap w:val="0"/>
            <w:vAlign w:val="center"/>
          </w:tcPr>
          <w:p>
            <w:pPr>
              <w:spacing w:line="360" w:lineRule="auto"/>
              <w:ind w:firstLine="480" w:firstLineChars="200"/>
              <w:rPr>
                <w:rFonts w:hint="eastAsia" w:ascii="仿宋_GB2312" w:eastAsia="仿宋_GB2312"/>
                <w:sz w:val="24"/>
              </w:rPr>
            </w:pPr>
            <w:r>
              <w:rPr>
                <w:rFonts w:hint="eastAsia" w:ascii="仿宋_GB2312" w:eastAsia="仿宋_GB2312"/>
                <w:sz w:val="24"/>
              </w:rPr>
              <w:t>这些问题，是本单位工作的重中之重，镇党委、政府必将高度重视，并切实加以解决。进一步加强各站办所的预算管理意识，严格按照预算编制的相关制度和要求进行预算编制。完善采购预算，进一步提高预算编制的科学性、严谨性和可控性，加强内部预算编制的审核和预算控制指标的下达。</w:t>
            </w:r>
          </w:p>
          <w:p>
            <w:pPr>
              <w:jc w:val="lef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09" w:type="dxa"/>
            <w:vMerge w:val="continue"/>
            <w:noWrap w:val="0"/>
            <w:vAlign w:val="top"/>
          </w:tcPr>
          <w:p>
            <w:pPr>
              <w:spacing w:line="576" w:lineRule="exact"/>
              <w:jc w:val="center"/>
              <w:rPr>
                <w:rFonts w:hint="eastAsia" w:ascii="仿宋_GB2312" w:hAnsi="仿宋" w:eastAsia="仿宋_GB2312" w:cs="方正小标宋简体"/>
                <w:sz w:val="24"/>
              </w:rPr>
            </w:pPr>
          </w:p>
        </w:tc>
        <w:tc>
          <w:tcPr>
            <w:tcW w:w="1276" w:type="dxa"/>
            <w:noWrap w:val="0"/>
            <w:vAlign w:val="center"/>
          </w:tcPr>
          <w:p>
            <w:pPr>
              <w:jc w:val="center"/>
              <w:rPr>
                <w:rFonts w:hint="eastAsia" w:ascii="仿宋_GB2312" w:eastAsia="仿宋_GB2312"/>
                <w:sz w:val="24"/>
              </w:rPr>
            </w:pPr>
            <w:r>
              <w:rPr>
                <w:rFonts w:hint="eastAsia" w:ascii="仿宋_GB2312" w:eastAsia="仿宋_GB2312"/>
                <w:sz w:val="24"/>
              </w:rPr>
              <w:t>其他需要说明的</w:t>
            </w:r>
          </w:p>
          <w:p>
            <w:pPr>
              <w:jc w:val="center"/>
              <w:rPr>
                <w:rFonts w:hint="eastAsia" w:ascii="仿宋_GB2312" w:eastAsia="仿宋_GB2312"/>
                <w:sz w:val="24"/>
              </w:rPr>
            </w:pPr>
            <w:r>
              <w:rPr>
                <w:rFonts w:hint="eastAsia" w:ascii="仿宋_GB2312" w:eastAsia="仿宋_GB2312"/>
                <w:sz w:val="24"/>
              </w:rPr>
              <w:t>问题</w:t>
            </w:r>
          </w:p>
        </w:tc>
        <w:tc>
          <w:tcPr>
            <w:tcW w:w="8137" w:type="dxa"/>
            <w:noWrap w:val="0"/>
            <w:vAlign w:val="center"/>
          </w:tcPr>
          <w:p>
            <w:pPr>
              <w:ind w:firstLine="480" w:firstLineChars="200"/>
              <w:rPr>
                <w:rFonts w:hint="eastAsia" w:ascii="仿宋_GB2312" w:hAnsi="仿宋" w:eastAsia="仿宋_GB2312" w:cs="方正小标宋简体"/>
                <w:sz w:val="24"/>
              </w:rPr>
            </w:pPr>
            <w:r>
              <w:rPr>
                <w:rFonts w:hint="eastAsia" w:ascii="仿宋_GB2312" w:eastAsia="仿宋_GB2312"/>
                <w:sz w:val="24"/>
              </w:rPr>
              <w:t>无</w:t>
            </w:r>
          </w:p>
        </w:tc>
      </w:tr>
    </w:tbl>
    <w:p>
      <w:pPr>
        <w:jc w:val="center"/>
        <w:rPr>
          <w:rFonts w:ascii="黑体" w:eastAsia="黑体" w:cs="黑体"/>
          <w:color w:val="000000"/>
          <w:kern w:val="0"/>
          <w:sz w:val="70"/>
          <w:szCs w:val="70"/>
        </w:rPr>
      </w:pP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90C40E"/>
    <w:multiLevelType w:val="singleLevel"/>
    <w:tmpl w:val="F090C40E"/>
    <w:lvl w:ilvl="0" w:tentative="0">
      <w:start w:val="1"/>
      <w:numFmt w:val="chineseCounting"/>
      <w:suff w:val="nothing"/>
      <w:lvlText w:val="%1、"/>
      <w:lvlJc w:val="left"/>
      <w:rPr>
        <w:rFonts w:hint="eastAsia"/>
      </w:rPr>
    </w:lvl>
  </w:abstractNum>
  <w:abstractNum w:abstractNumId="1">
    <w:nsid w:val="F3DE8C17"/>
    <w:multiLevelType w:val="singleLevel"/>
    <w:tmpl w:val="F3DE8C17"/>
    <w:lvl w:ilvl="0" w:tentative="0">
      <w:start w:val="6"/>
      <w:numFmt w:val="decimal"/>
      <w:suff w:val="nothing"/>
      <w:lvlText w:val="%1、"/>
      <w:lvlJc w:val="left"/>
      <w:pPr>
        <w:ind w:left="-170"/>
      </w:pPr>
    </w:lvl>
  </w:abstractNum>
  <w:abstractNum w:abstractNumId="2">
    <w:nsid w:val="029526B4"/>
    <w:multiLevelType w:val="singleLevel"/>
    <w:tmpl w:val="029526B4"/>
    <w:lvl w:ilvl="0" w:tentative="0">
      <w:start w:val="3"/>
      <w:numFmt w:val="chineseCounting"/>
      <w:suff w:val="nothing"/>
      <w:lvlText w:val="%1、"/>
      <w:lvlJc w:val="left"/>
      <w:rPr>
        <w:rFonts w:hint="eastAsia"/>
      </w:r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19D485D"/>
    <w:multiLevelType w:val="singleLevel"/>
    <w:tmpl w:val="519D485D"/>
    <w:lvl w:ilvl="0" w:tentative="0">
      <w:start w:val="2"/>
      <w:numFmt w:val="chineseCounting"/>
      <w:suff w:val="nothing"/>
      <w:lvlText w:val="（%1）"/>
      <w:lvlJc w:val="left"/>
      <w:rPr>
        <w:rFonts w:hint="eastAsia"/>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MmJhYmFiNWE5OTdhM2M5YzBmN2I5NTEzZmQ3YmYifQ=="/>
  </w:docVars>
  <w:rsids>
    <w:rsidRoot w:val="00172A27"/>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CC1937"/>
    <w:rsid w:val="02376CE0"/>
    <w:rsid w:val="028755C5"/>
    <w:rsid w:val="052D6C99"/>
    <w:rsid w:val="066D44C7"/>
    <w:rsid w:val="0CCC4196"/>
    <w:rsid w:val="0E0B7D94"/>
    <w:rsid w:val="0FDE576D"/>
    <w:rsid w:val="10243C69"/>
    <w:rsid w:val="108B70F4"/>
    <w:rsid w:val="10D164ED"/>
    <w:rsid w:val="127C7A04"/>
    <w:rsid w:val="13936999"/>
    <w:rsid w:val="154D2A40"/>
    <w:rsid w:val="15A00DC2"/>
    <w:rsid w:val="17BC6195"/>
    <w:rsid w:val="193D6430"/>
    <w:rsid w:val="1DA760B0"/>
    <w:rsid w:val="1E2132CD"/>
    <w:rsid w:val="1F59095F"/>
    <w:rsid w:val="207A2E7F"/>
    <w:rsid w:val="20873AE4"/>
    <w:rsid w:val="221E379A"/>
    <w:rsid w:val="22CE563D"/>
    <w:rsid w:val="249D695D"/>
    <w:rsid w:val="27D70163"/>
    <w:rsid w:val="2B844C73"/>
    <w:rsid w:val="2D1D06A5"/>
    <w:rsid w:val="2D9C690C"/>
    <w:rsid w:val="2E21654C"/>
    <w:rsid w:val="2ED64062"/>
    <w:rsid w:val="31133B4C"/>
    <w:rsid w:val="320511DF"/>
    <w:rsid w:val="34EB1F9D"/>
    <w:rsid w:val="36B667B0"/>
    <w:rsid w:val="390704D3"/>
    <w:rsid w:val="398D6E8E"/>
    <w:rsid w:val="399A18FD"/>
    <w:rsid w:val="3BA73D3A"/>
    <w:rsid w:val="3E4A2E75"/>
    <w:rsid w:val="3EC42EB8"/>
    <w:rsid w:val="3EDC2D6A"/>
    <w:rsid w:val="40397D6F"/>
    <w:rsid w:val="403F1BF0"/>
    <w:rsid w:val="40E43AD1"/>
    <w:rsid w:val="41420CF8"/>
    <w:rsid w:val="414979E0"/>
    <w:rsid w:val="45EF7078"/>
    <w:rsid w:val="462E4AA4"/>
    <w:rsid w:val="49694524"/>
    <w:rsid w:val="4A6D52C0"/>
    <w:rsid w:val="4C3D303B"/>
    <w:rsid w:val="4EE07D59"/>
    <w:rsid w:val="4F245DFF"/>
    <w:rsid w:val="51694182"/>
    <w:rsid w:val="51702522"/>
    <w:rsid w:val="518900E2"/>
    <w:rsid w:val="574D0C21"/>
    <w:rsid w:val="589704E1"/>
    <w:rsid w:val="59964F37"/>
    <w:rsid w:val="5F735C76"/>
    <w:rsid w:val="601B2AEB"/>
    <w:rsid w:val="60EC2F83"/>
    <w:rsid w:val="611C0BD9"/>
    <w:rsid w:val="6155002B"/>
    <w:rsid w:val="63E85BF4"/>
    <w:rsid w:val="664605EB"/>
    <w:rsid w:val="66AA51D8"/>
    <w:rsid w:val="691412B2"/>
    <w:rsid w:val="69D07A66"/>
    <w:rsid w:val="6EA724EE"/>
    <w:rsid w:val="70C072F3"/>
    <w:rsid w:val="720808BA"/>
    <w:rsid w:val="74452F78"/>
    <w:rsid w:val="7602418E"/>
    <w:rsid w:val="767D35A2"/>
    <w:rsid w:val="771708FF"/>
    <w:rsid w:val="78E25FFA"/>
    <w:rsid w:val="7D881663"/>
    <w:rsid w:val="7DD8682F"/>
    <w:rsid w:val="7E6E6173"/>
    <w:rsid w:val="7EE17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cs="Arial"/>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8">
    <w:name w:val="Body Text First Indent"/>
    <w:basedOn w:val="3"/>
    <w:qFormat/>
    <w:uiPriority w:val="0"/>
    <w:pPr>
      <w:spacing w:after="0"/>
      <w:ind w:firstLine="420" w:firstLineChars="100"/>
      <w:jc w:val="center"/>
    </w:pPr>
    <w:rPr>
      <w:rFonts w:ascii="宋体"/>
      <w:b/>
      <w:sz w:val="44"/>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paragraph" w:styleId="16">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40</Pages>
  <Words>17128</Words>
  <Characters>23070</Characters>
  <Lines>62</Lines>
  <Paragraphs>17</Paragraphs>
  <TotalTime>19</TotalTime>
  <ScaleCrop>false</ScaleCrop>
  <LinksUpToDate>false</LinksUpToDate>
  <CharactersWithSpaces>24653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KAI</cp:lastModifiedBy>
  <cp:lastPrinted>2022-06-15T08:45:00Z</cp:lastPrinted>
  <dcterms:modified xsi:type="dcterms:W3CDTF">2022-08-02T02:18:36Z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88B95102216A48C193E1315C2379000A</vt:lpwstr>
  </property>
</Properties>
</file>