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ascii="宋体" w:hAnsi="宋体" w:eastAsia="宋体" w:cs="宋体"/>
          <w:sz w:val="72"/>
          <w:szCs w:val="72"/>
        </w:rPr>
      </w:pPr>
      <w:r>
        <w:rPr>
          <w:rFonts w:hint="eastAsia" w:ascii="宋体" w:hAnsi="宋体" w:eastAsia="宋体" w:cs="宋体"/>
          <w:sz w:val="72"/>
          <w:szCs w:val="72"/>
        </w:rPr>
        <w:t>2020年度</w:t>
      </w:r>
    </w:p>
    <w:p>
      <w:pPr>
        <w:pStyle w:val="10"/>
        <w:jc w:val="center"/>
        <w:rPr>
          <w:rFonts w:ascii="宋体" w:hAnsi="宋体" w:eastAsia="宋体" w:cs="宋体"/>
          <w:sz w:val="72"/>
          <w:szCs w:val="72"/>
        </w:rPr>
      </w:pPr>
      <w:r>
        <w:rPr>
          <w:rFonts w:hint="eastAsia" w:ascii="宋体" w:hAnsi="宋体" w:eastAsia="宋体" w:cs="宋体"/>
          <w:sz w:val="72"/>
          <w:szCs w:val="72"/>
        </w:rPr>
        <w:t>湘潭县水利局部门决算</w:t>
      </w:r>
    </w:p>
    <w:p>
      <w:pPr>
        <w:pStyle w:val="10"/>
        <w:spacing w:line="500" w:lineRule="exact"/>
        <w:jc w:val="center"/>
        <w:rPr>
          <w:sz w:val="32"/>
          <w:szCs w:val="32"/>
        </w:rPr>
      </w:pPr>
    </w:p>
    <w:p>
      <w:pPr>
        <w:pStyle w:val="10"/>
        <w:spacing w:line="500" w:lineRule="exact"/>
        <w:jc w:val="center"/>
        <w:rPr>
          <w:rFonts w:cs="Times New Roman"/>
          <w:b/>
          <w:bCs/>
          <w:sz w:val="36"/>
          <w:szCs w:val="36"/>
        </w:rPr>
      </w:pPr>
      <w:r>
        <w:rPr>
          <w:rFonts w:hint="eastAsia"/>
          <w:b/>
          <w:bCs/>
          <w:sz w:val="36"/>
          <w:szCs w:val="36"/>
        </w:rPr>
        <w:t>目录</w:t>
      </w:r>
    </w:p>
    <w:p>
      <w:pPr>
        <w:pStyle w:val="10"/>
        <w:spacing w:line="460" w:lineRule="exact"/>
        <w:rPr>
          <w:b/>
          <w:bCs/>
          <w:sz w:val="28"/>
          <w:szCs w:val="28"/>
        </w:rPr>
      </w:pPr>
    </w:p>
    <w:p>
      <w:pPr>
        <w:pStyle w:val="10"/>
        <w:spacing w:line="460" w:lineRule="exact"/>
        <w:rPr>
          <w:rFonts w:ascii="仿宋_GB2312" w:eastAsia="仿宋_GB2312" w:cs="Times New Roman"/>
          <w:b/>
          <w:bCs/>
          <w:sz w:val="28"/>
          <w:szCs w:val="28"/>
        </w:rPr>
      </w:pPr>
      <w:r>
        <w:rPr>
          <w:rFonts w:hint="eastAsia"/>
          <w:b/>
          <w:bCs/>
          <w:sz w:val="28"/>
          <w:szCs w:val="28"/>
        </w:rPr>
        <w:t>第一部分湘潭县水利局概况</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0"/>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2020</w:t>
      </w:r>
      <w:r>
        <w:rPr>
          <w:rFonts w:hint="eastAsia" w:hAnsi="仿宋_GB2312"/>
          <w:b/>
          <w:bCs/>
          <w:sz w:val="28"/>
          <w:szCs w:val="28"/>
        </w:rPr>
        <w:t>年度部门决算表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0"/>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2020</w:t>
      </w:r>
      <w:r>
        <w:rPr>
          <w:rFonts w:hint="eastAsia" w:hAnsi="仿宋_GB2312"/>
          <w:b/>
          <w:bCs/>
          <w:sz w:val="28"/>
          <w:szCs w:val="28"/>
        </w:rPr>
        <w:t>年度部门决算情况说明</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hint="eastAsia" w:ascii="仿宋_GB2312" w:hAnsi="仿宋_GB2312" w:cs="宋体"/>
          <w:color w:val="000000"/>
          <w:kern w:val="0"/>
          <w:sz w:val="28"/>
          <w:szCs w:val="28"/>
        </w:rPr>
      </w:pPr>
      <w:r>
        <w:rPr>
          <w:rFonts w:hint="eastAsia" w:ascii="仿宋_GB2312" w:hAnsi="仿宋_GB2312" w:cs="宋体"/>
          <w:color w:val="000000"/>
          <w:kern w:val="0"/>
          <w:sz w:val="28"/>
          <w:szCs w:val="28"/>
        </w:rPr>
        <w:t>九、国有资本经营预算财政拨款支出决算情况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十二、关于政府采购支出说明</w:t>
      </w:r>
    </w:p>
    <w:p>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十三、关于国有资产占用情况说明</w:t>
      </w:r>
    </w:p>
    <w:p>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十四、关</w:t>
      </w:r>
      <w:r>
        <w:rPr>
          <w:rFonts w:hint="eastAsia" w:ascii="宋体" w:hAnsi="宋体" w:eastAsia="宋体" w:cs="宋体"/>
          <w:sz w:val="28"/>
          <w:szCs w:val="28"/>
        </w:rPr>
        <w:t>于</w:t>
      </w:r>
      <w:r>
        <w:rPr>
          <w:rFonts w:ascii="宋体" w:hAnsi="宋体" w:eastAsia="宋体" w:cs="宋体"/>
          <w:sz w:val="28"/>
          <w:szCs w:val="28"/>
        </w:rPr>
        <w:t>2020</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0"/>
        <w:jc w:val="center"/>
        <w:rPr>
          <w:rFonts w:ascii="宋体" w:hAnsi="宋体" w:eastAsia="宋体" w:cs="宋体"/>
          <w:sz w:val="72"/>
          <w:szCs w:val="72"/>
        </w:rPr>
      </w:pPr>
    </w:p>
    <w:p>
      <w:pPr>
        <w:pStyle w:val="10"/>
        <w:jc w:val="center"/>
        <w:rPr>
          <w:rFonts w:ascii="宋体" w:hAnsi="宋体" w:eastAsia="宋体" w:cs="宋体"/>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第一部分</w:t>
      </w:r>
    </w:p>
    <w:p>
      <w:pPr>
        <w:pStyle w:val="10"/>
        <w:jc w:val="center"/>
        <w:rPr>
          <w:rFonts w:ascii="宋体" w:hAnsi="宋体" w:eastAsia="宋体" w:cs="宋体"/>
          <w:sz w:val="72"/>
          <w:szCs w:val="72"/>
        </w:rPr>
      </w:pPr>
    </w:p>
    <w:p>
      <w:pPr>
        <w:pStyle w:val="10"/>
        <w:jc w:val="center"/>
        <w:rPr>
          <w:rFonts w:cs="Times New Roman"/>
          <w:sz w:val="84"/>
          <w:szCs w:val="84"/>
        </w:rPr>
      </w:pPr>
      <w:r>
        <w:rPr>
          <w:rFonts w:hint="eastAsia" w:ascii="宋体" w:hAnsi="宋体" w:eastAsia="宋体" w:cs="宋体"/>
          <w:sz w:val="72"/>
          <w:szCs w:val="72"/>
        </w:rPr>
        <w:t>湘潭县水利局概况</w:t>
      </w:r>
    </w:p>
    <w:p>
      <w:pPr>
        <w:pStyle w:val="11"/>
        <w:ind w:left="720" w:firstLine="0" w:firstLineChars="0"/>
        <w:jc w:val="left"/>
        <w:rPr>
          <w:rFonts w:ascii="黑体" w:hAnsi="黑体" w:eastAsia="黑体" w:cs="Times New Roman"/>
          <w:sz w:val="32"/>
          <w:szCs w:val="32"/>
        </w:rPr>
      </w:pPr>
    </w:p>
    <w:p>
      <w:pPr>
        <w:pStyle w:val="11"/>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spacing w:line="580" w:lineRule="exact"/>
        <w:ind w:firstLine="640" w:firstLineChars="200"/>
        <w:rPr>
          <w:rFonts w:cs="Times New Roman" w:asciiTheme="minorEastAsia" w:hAnsiTheme="minorEastAsia" w:eastAsiaTheme="minorEastAsia"/>
          <w:sz w:val="32"/>
          <w:szCs w:val="32"/>
        </w:rPr>
      </w:pPr>
      <w:r>
        <w:rPr>
          <w:rFonts w:hint="eastAsia" w:cs="Times New Roman" w:asciiTheme="minorEastAsia" w:hAnsiTheme="minorEastAsia" w:eastAsiaTheme="minorEastAsia"/>
          <w:sz w:val="32"/>
          <w:szCs w:val="32"/>
        </w:rPr>
        <w:t>湘潭县水利局负责县各类水利工程规划、设计、施工、质监和节水灌溉，综合经营，抓好防汛、抗旱、水资源管理、河道清障、水政执法、水土保持、城镇供水、农村安全饮水工程、支干渠整修，增加水利蓄水、引、提水的能力。</w:t>
      </w: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spacing w:line="600" w:lineRule="exact"/>
        <w:ind w:firstLine="480" w:firstLineChars="150"/>
        <w:rPr>
          <w:rFonts w:asciiTheme="minorEastAsia" w:hAnsiTheme="minorEastAsia" w:eastAsiaTheme="minorEastAsia"/>
          <w:sz w:val="32"/>
          <w:szCs w:val="32"/>
        </w:rPr>
      </w:pPr>
      <w:r>
        <w:rPr>
          <w:rFonts w:hint="eastAsia" w:cs="Times New Roman" w:asciiTheme="minorEastAsia" w:hAnsiTheme="minorEastAsia" w:eastAsiaTheme="minorEastAsia"/>
          <w:sz w:val="32"/>
          <w:szCs w:val="32"/>
        </w:rPr>
        <w:t>（一）内设机构设置。湘潭县水利局内设机构包括：办公室、计划财务股、离退休人员管理服务</w:t>
      </w:r>
      <w:r>
        <w:rPr>
          <w:rFonts w:hint="eastAsia" w:cs="仿宋_GB2312" w:asciiTheme="minorEastAsia" w:hAnsiTheme="minorEastAsia" w:eastAsiaTheme="minorEastAsia"/>
          <w:sz w:val="32"/>
          <w:szCs w:val="32"/>
        </w:rPr>
        <w:t>股、机关党委办、工程管理股、水资源管理办公室、政策法规与安全监察股、移民管理股、湘潭县河长制工作委员会、湘潭县水旱灾害防御事务中心、湘潭县水土保持站、湘潭县水务综合执法大队、湘潭县水库移民服务中心、湘潭县水利建设项目管理中心14个股室机构</w:t>
      </w:r>
      <w:r>
        <w:rPr>
          <w:rFonts w:hint="eastAsia" w:asciiTheme="minorEastAsia" w:hAnsiTheme="minorEastAsia" w:eastAsiaTheme="minorEastAsia"/>
          <w:sz w:val="32"/>
          <w:szCs w:val="32"/>
        </w:rPr>
        <w:t>。</w:t>
      </w:r>
    </w:p>
    <w:p>
      <w:pPr>
        <w:spacing w:line="600" w:lineRule="exact"/>
        <w:ind w:firstLine="640" w:firstLineChars="200"/>
        <w:rPr>
          <w:rFonts w:cs="Times New Roman" w:asciiTheme="minorEastAsia" w:hAnsiTheme="minorEastAsia" w:eastAsiaTheme="minorEastAsia"/>
          <w:bCs/>
          <w:sz w:val="32"/>
          <w:szCs w:val="32"/>
        </w:rPr>
      </w:pPr>
      <w:r>
        <w:rPr>
          <w:rFonts w:hint="eastAsia" w:cs="Times New Roman" w:asciiTheme="minorEastAsia" w:hAnsiTheme="minorEastAsia" w:eastAsiaTheme="minorEastAsia"/>
          <w:sz w:val="32"/>
          <w:szCs w:val="32"/>
        </w:rPr>
        <w:t>（二）决算单位构成。</w:t>
      </w:r>
      <w:r>
        <w:rPr>
          <w:rFonts w:hint="eastAsia" w:cs="仿宋_GB2312" w:asciiTheme="minorEastAsia" w:hAnsiTheme="minorEastAsia" w:eastAsiaTheme="minorEastAsia"/>
          <w:sz w:val="32"/>
          <w:szCs w:val="32"/>
        </w:rPr>
        <w:t>湘潭县水利局</w:t>
      </w:r>
      <w:r>
        <w:rPr>
          <w:rFonts w:cs="仿宋_GB2312" w:asciiTheme="minorEastAsia" w:hAnsiTheme="minorEastAsia" w:eastAsiaTheme="minorEastAsia"/>
          <w:sz w:val="32"/>
          <w:szCs w:val="32"/>
        </w:rPr>
        <w:t>20</w:t>
      </w:r>
      <w:r>
        <w:rPr>
          <w:rFonts w:hint="eastAsia" w:cs="仿宋_GB2312" w:asciiTheme="minorEastAsia" w:hAnsiTheme="minorEastAsia" w:eastAsiaTheme="minorEastAsia"/>
          <w:sz w:val="32"/>
          <w:szCs w:val="32"/>
        </w:rPr>
        <w:t>20年部门决算汇总公开单位构成包括：湘潭县水利局本级以及县城区排涝站、县花石水库、县上石坝水库、县印子山水库、县中路铺水库、县石坝口水库、县吟江坝管理所、县湾东港堤垸共9个单位。</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cs="宋体"/>
          <w:sz w:val="72"/>
          <w:szCs w:val="72"/>
        </w:rPr>
      </w:pPr>
      <w:r>
        <w:rPr>
          <w:rFonts w:hint="eastAsia" w:cs="宋体"/>
          <w:sz w:val="72"/>
          <w:szCs w:val="72"/>
        </w:rPr>
        <w:t>部门决算表</w:t>
      </w:r>
    </w:p>
    <w:p>
      <w:pPr>
        <w:jc w:val="center"/>
        <w:rPr>
          <w:rFonts w:cs="宋体"/>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14245" w:type="dxa"/>
        <w:tblInd w:w="-106" w:type="dxa"/>
        <w:tblLayout w:type="autofit"/>
        <w:tblCellMar>
          <w:top w:w="0" w:type="dxa"/>
          <w:left w:w="108" w:type="dxa"/>
          <w:bottom w:w="0" w:type="dxa"/>
          <w:right w:w="108" w:type="dxa"/>
        </w:tblCellMar>
      </w:tblPr>
      <w:tblGrid>
        <w:gridCol w:w="4126"/>
        <w:gridCol w:w="766"/>
        <w:gridCol w:w="314"/>
        <w:gridCol w:w="697"/>
        <w:gridCol w:w="232"/>
        <w:gridCol w:w="883"/>
        <w:gridCol w:w="4253"/>
        <w:gridCol w:w="801"/>
        <w:gridCol w:w="191"/>
        <w:gridCol w:w="466"/>
        <w:gridCol w:w="1516"/>
      </w:tblGrid>
      <w:tr>
        <w:tblPrEx>
          <w:tblCellMar>
            <w:top w:w="0" w:type="dxa"/>
            <w:left w:w="108" w:type="dxa"/>
            <w:bottom w:w="0" w:type="dxa"/>
            <w:right w:w="108" w:type="dxa"/>
          </w:tblCellMar>
        </w:tblPrEx>
        <w:trPr>
          <w:trHeight w:val="360" w:hRule="atLeast"/>
        </w:trPr>
        <w:tc>
          <w:tcPr>
            <w:tcW w:w="14245" w:type="dxa"/>
            <w:gridSpan w:val="11"/>
            <w:tcBorders>
              <w:top w:val="nil"/>
              <w:left w:val="nil"/>
              <w:bottom w:val="nil"/>
              <w:right w:val="nil"/>
            </w:tcBorders>
            <w:noWrap/>
            <w:vAlign w:val="center"/>
          </w:tcPr>
          <w:p>
            <w:pPr>
              <w:widowControl/>
              <w:jc w:val="center"/>
              <w:rPr>
                <w:rFonts w:cs="Times New Roman"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9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937"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部门：湘潭县水利局</w:t>
            </w:r>
          </w:p>
        </w:tc>
        <w:tc>
          <w:tcPr>
            <w:tcW w:w="69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937"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7018"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7227" w:type="dxa"/>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项目</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2126"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项目</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98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126"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98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18083.53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4324.86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4"/>
                <w:szCs w:val="24"/>
              </w:rPr>
              <w:t>八、社会保障和就业支出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4344.04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cs="Times New Roman"/>
                <w:kern w:val="0"/>
                <w:sz w:val="24"/>
                <w:szCs w:val="24"/>
              </w:rPr>
              <w:t>十二、农林水支出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18016.35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2126" w:type="dxa"/>
            <w:gridSpan w:val="4"/>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二十二、灾害防治及应急管理支出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40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pPr>
              <w:widowControl/>
              <w:ind w:right="100"/>
              <w:jc w:val="left"/>
              <w:rPr>
                <w:rFonts w:ascii="宋体" w:cs="Times New Roman"/>
                <w:kern w:val="0"/>
                <w:sz w:val="20"/>
                <w:szCs w:val="20"/>
              </w:rPr>
            </w:pPr>
            <w:r>
              <w:rPr>
                <w:rFonts w:hint="eastAsia" w:ascii="宋体" w:hAnsi="宋体" w:cs="宋体"/>
                <w:kern w:val="0"/>
                <w:sz w:val="20"/>
                <w:szCs w:val="20"/>
              </w:rPr>
              <w:t>二十三、其他支出　</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b/>
                <w:bCs/>
                <w:kern w:val="0"/>
                <w:sz w:val="22"/>
                <w:szCs w:val="22"/>
              </w:rPr>
            </w:pPr>
            <w:r>
              <w:rPr>
                <w:rFonts w:hint="eastAsia" w:ascii="宋体" w:hAnsi="宋体" w:cs="宋体"/>
                <w:b/>
                <w:bCs/>
                <w:kern w:val="0"/>
                <w:sz w:val="22"/>
                <w:szCs w:val="22"/>
              </w:rPr>
              <w:t>　</w:t>
            </w:r>
            <w:r>
              <w:rPr>
                <w:rFonts w:hint="eastAsia" w:ascii="宋体" w:hAnsi="宋体" w:cs="宋体"/>
                <w:kern w:val="0"/>
                <w:sz w:val="22"/>
                <w:szCs w:val="22"/>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22408.39　</w:t>
            </w:r>
          </w:p>
        </w:tc>
        <w:tc>
          <w:tcPr>
            <w:tcW w:w="4253"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22408.39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使用非财政拨款结余</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结余分配</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1982"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年初结转和结余</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年末结转和结余</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1982"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22408.39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b/>
                <w:bCs/>
                <w:kern w:val="0"/>
                <w:sz w:val="22"/>
                <w:szCs w:val="22"/>
              </w:rPr>
            </w:pPr>
            <w:r>
              <w:rPr>
                <w:rFonts w:hint="eastAsia" w:ascii="宋体" w:hAnsi="宋体" w:cs="宋体"/>
                <w:b/>
                <w:bCs/>
                <w:kern w:val="0"/>
                <w:sz w:val="22"/>
                <w:szCs w:val="22"/>
              </w:rPr>
              <w:t>　</w:t>
            </w:r>
            <w:r>
              <w:rPr>
                <w:rFonts w:hint="eastAsia" w:ascii="宋体" w:hAnsi="宋体" w:cs="宋体"/>
                <w:kern w:val="0"/>
                <w:sz w:val="22"/>
                <w:szCs w:val="22"/>
              </w:rPr>
              <w:t>22408.39</w:t>
            </w:r>
          </w:p>
        </w:tc>
      </w:tr>
      <w:tr>
        <w:tblPrEx>
          <w:tblCellMar>
            <w:top w:w="0" w:type="dxa"/>
            <w:left w:w="108" w:type="dxa"/>
            <w:bottom w:w="0" w:type="dxa"/>
            <w:right w:w="108" w:type="dxa"/>
          </w:tblCellMar>
        </w:tblPrEx>
        <w:trPr>
          <w:trHeight w:val="1020" w:hRule="atLeast"/>
        </w:trPr>
        <w:tc>
          <w:tcPr>
            <w:tcW w:w="14245"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796" w:type="dxa"/>
        <w:tblInd w:w="313" w:type="dxa"/>
        <w:tblLayout w:type="fixed"/>
        <w:tblCellMar>
          <w:top w:w="0" w:type="dxa"/>
          <w:left w:w="0" w:type="dxa"/>
          <w:bottom w:w="0" w:type="dxa"/>
          <w:right w:w="0" w:type="dxa"/>
        </w:tblCellMar>
      </w:tblPr>
      <w:tblGrid>
        <w:gridCol w:w="14796"/>
      </w:tblGrid>
      <w:tr>
        <w:trPr>
          <w:trHeight w:val="435" w:hRule="atLeast"/>
        </w:trPr>
        <w:tc>
          <w:tcPr>
            <w:tcW w:w="14796" w:type="dxa"/>
            <w:tcBorders>
              <w:top w:val="nil"/>
              <w:left w:val="nil"/>
              <w:bottom w:val="nil"/>
              <w:right w:val="nil"/>
            </w:tcBorders>
            <w:noWrap/>
            <w:tcMar>
              <w:top w:w="15" w:type="dxa"/>
              <w:left w:w="15" w:type="dxa"/>
              <w:bottom w:w="0" w:type="dxa"/>
              <w:right w:w="15" w:type="dxa"/>
            </w:tcMar>
            <w:vAlign w:val="center"/>
          </w:tcPr>
          <w:tbl>
            <w:tblPr>
              <w:tblStyle w:val="6"/>
              <w:tblW w:w="14528" w:type="dxa"/>
              <w:tblInd w:w="0" w:type="dxa"/>
              <w:tblLayout w:type="fixed"/>
              <w:tblCellMar>
                <w:top w:w="0" w:type="dxa"/>
                <w:left w:w="108" w:type="dxa"/>
                <w:bottom w:w="0" w:type="dxa"/>
                <w:right w:w="108" w:type="dxa"/>
              </w:tblCellMar>
            </w:tblPr>
            <w:tblGrid>
              <w:gridCol w:w="466"/>
              <w:gridCol w:w="465"/>
              <w:gridCol w:w="819"/>
              <w:gridCol w:w="3040"/>
              <w:gridCol w:w="1418"/>
              <w:gridCol w:w="1417"/>
              <w:gridCol w:w="1276"/>
              <w:gridCol w:w="1134"/>
              <w:gridCol w:w="1418"/>
              <w:gridCol w:w="1559"/>
              <w:gridCol w:w="1516"/>
            </w:tblGrid>
            <w:tr>
              <w:tblPrEx>
                <w:tblCellMar>
                  <w:top w:w="0" w:type="dxa"/>
                  <w:left w:w="108" w:type="dxa"/>
                  <w:bottom w:w="0" w:type="dxa"/>
                  <w:right w:w="108" w:type="dxa"/>
                </w:tblCellMar>
              </w:tblPrEx>
              <w:trPr>
                <w:trHeight w:val="285" w:hRule="atLeast"/>
              </w:trPr>
              <w:tc>
                <w:tcPr>
                  <w:tcW w:w="14528" w:type="dxa"/>
                  <w:gridSpan w:val="11"/>
                  <w:tcBorders>
                    <w:top w:val="nil"/>
                    <w:left w:val="nil"/>
                    <w:bottom w:val="nil"/>
                    <w:right w:val="nil"/>
                  </w:tcBorders>
                  <w:shd w:val="clear" w:color="auto" w:fill="auto"/>
                  <w:noWrap/>
                  <w:vAlign w:val="bottom"/>
                </w:tcPr>
                <w:p>
                  <w:pPr>
                    <w:widowControl/>
                    <w:jc w:val="center"/>
                    <w:rPr>
                      <w:rFonts w:cs="华文中宋"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收入决算表</w:t>
                  </w:r>
                </w:p>
              </w:tc>
            </w:tr>
            <w:tr>
              <w:tblPrEx>
                <w:tblCellMar>
                  <w:top w:w="0" w:type="dxa"/>
                  <w:left w:w="108" w:type="dxa"/>
                  <w:bottom w:w="0" w:type="dxa"/>
                  <w:right w:w="108" w:type="dxa"/>
                </w:tblCellMar>
              </w:tblPrEx>
              <w:trPr>
                <w:trHeight w:val="180" w:hRule="atLeast"/>
              </w:trPr>
              <w:tc>
                <w:tcPr>
                  <w:tcW w:w="466"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465"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819"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3040"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418"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417"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276"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134"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418"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559"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516" w:type="dxa"/>
                  <w:tcBorders>
                    <w:top w:val="nil"/>
                    <w:left w:val="nil"/>
                    <w:bottom w:val="nil"/>
                    <w:right w:val="nil"/>
                  </w:tcBorders>
                  <w:shd w:val="clear" w:color="auto" w:fill="auto"/>
                  <w:noWrap/>
                  <w:vAlign w:val="bottom"/>
                </w:tcPr>
                <w:p>
                  <w:pPr>
                    <w:ind w:left="-260" w:leftChars="-124" w:firstLine="340" w:firstLineChars="170"/>
                    <w:jc w:val="right"/>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公开02表</w:t>
                  </w:r>
                </w:p>
              </w:tc>
            </w:tr>
            <w:tr>
              <w:tblPrEx>
                <w:tblCellMar>
                  <w:top w:w="0" w:type="dxa"/>
                  <w:left w:w="108" w:type="dxa"/>
                  <w:bottom w:w="0" w:type="dxa"/>
                  <w:right w:w="108" w:type="dxa"/>
                </w:tblCellMar>
              </w:tblPrEx>
              <w:trPr>
                <w:trHeight w:val="180" w:hRule="atLeast"/>
              </w:trPr>
              <w:tc>
                <w:tcPr>
                  <w:tcW w:w="1750" w:type="dxa"/>
                  <w:gridSpan w:val="3"/>
                  <w:tcBorders>
                    <w:top w:val="nil"/>
                    <w:left w:val="nil"/>
                    <w:bottom w:val="single" w:color="000000" w:sz="4" w:space="0"/>
                    <w:right w:val="nil"/>
                  </w:tcBorders>
                  <w:shd w:val="clear" w:color="auto" w:fill="auto"/>
                  <w:noWrap/>
                  <w:vAlign w:val="bottom"/>
                </w:tcPr>
                <w:p>
                  <w:pPr>
                    <w:ind w:right="-170" w:rightChars="-81"/>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部门：湘潭县水利局</w:t>
                  </w:r>
                </w:p>
              </w:tc>
              <w:tc>
                <w:tcPr>
                  <w:tcW w:w="3040" w:type="dxa"/>
                  <w:tcBorders>
                    <w:top w:val="nil"/>
                    <w:left w:val="nil"/>
                    <w:bottom w:val="single" w:color="000000" w:sz="4" w:space="0"/>
                    <w:right w:val="nil"/>
                  </w:tcBorders>
                  <w:shd w:val="clear" w:color="auto" w:fill="auto"/>
                  <w:noWrap/>
                  <w:vAlign w:val="bottom"/>
                </w:tcPr>
                <w:p>
                  <w:pPr>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　</w:t>
                  </w:r>
                </w:p>
              </w:tc>
              <w:tc>
                <w:tcPr>
                  <w:tcW w:w="1418"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417"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276"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134"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418"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559"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516" w:type="dxa"/>
                  <w:tcBorders>
                    <w:top w:val="nil"/>
                    <w:left w:val="nil"/>
                    <w:bottom w:val="nil"/>
                    <w:right w:val="nil"/>
                  </w:tcBorders>
                  <w:shd w:val="clear" w:color="auto" w:fill="auto"/>
                  <w:noWrap/>
                  <w:vAlign w:val="bottom"/>
                </w:tcPr>
                <w:p>
                  <w:pPr>
                    <w:jc w:val="right"/>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金额单位：万元</w:t>
                  </w:r>
                </w:p>
              </w:tc>
            </w:tr>
            <w:tr>
              <w:tblPrEx>
                <w:tblCellMar>
                  <w:top w:w="0" w:type="dxa"/>
                  <w:left w:w="108" w:type="dxa"/>
                  <w:bottom w:w="0" w:type="dxa"/>
                  <w:right w:w="108" w:type="dxa"/>
                </w:tblCellMar>
              </w:tblPrEx>
              <w:trPr>
                <w:trHeight w:val="255" w:hRule="atLeast"/>
              </w:trPr>
              <w:tc>
                <w:tcPr>
                  <w:tcW w:w="4790"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项目</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本年收入合计</w:t>
                  </w:r>
                </w:p>
              </w:tc>
              <w:tc>
                <w:tcPr>
                  <w:tcW w:w="1417"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财政拨款收入</w:t>
                  </w:r>
                </w:p>
              </w:tc>
              <w:tc>
                <w:tcPr>
                  <w:tcW w:w="1276"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上级补助收入</w:t>
                  </w:r>
                </w:p>
              </w:tc>
              <w:tc>
                <w:tcPr>
                  <w:tcW w:w="1134"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事业收入</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经营收入</w:t>
                  </w:r>
                </w:p>
              </w:tc>
              <w:tc>
                <w:tcPr>
                  <w:tcW w:w="1559"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附属单位上缴收入</w:t>
                  </w:r>
                </w:p>
              </w:tc>
              <w:tc>
                <w:tcPr>
                  <w:tcW w:w="1516"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其他收入</w:t>
                  </w:r>
                </w:p>
              </w:tc>
            </w:tr>
            <w:tr>
              <w:tblPrEx>
                <w:tblCellMar>
                  <w:top w:w="0" w:type="dxa"/>
                  <w:left w:w="108" w:type="dxa"/>
                  <w:bottom w:w="0" w:type="dxa"/>
                  <w:right w:w="108" w:type="dxa"/>
                </w:tblCellMar>
              </w:tblPrEx>
              <w:trPr>
                <w:trHeight w:val="312" w:hRule="atLeast"/>
              </w:trPr>
              <w:tc>
                <w:tcPr>
                  <w:tcW w:w="1750" w:type="dxa"/>
                  <w:gridSpan w:val="3"/>
                  <w:vMerge w:val="restart"/>
                  <w:tcBorders>
                    <w:top w:val="nil"/>
                    <w:left w:val="single" w:color="000000" w:sz="4" w:space="0"/>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功能分类科目编码</w:t>
                  </w:r>
                </w:p>
              </w:tc>
              <w:tc>
                <w:tcPr>
                  <w:tcW w:w="3040" w:type="dxa"/>
                  <w:vMerge w:val="restart"/>
                  <w:tcBorders>
                    <w:top w:val="nil"/>
                    <w:left w:val="nil"/>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科目名称</w:t>
                  </w: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7"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27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134"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1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trHeight w:val="312" w:hRule="atLeast"/>
              </w:trPr>
              <w:tc>
                <w:tcPr>
                  <w:tcW w:w="1750" w:type="dxa"/>
                  <w:gridSpan w:val="3"/>
                  <w:vMerge w:val="continue"/>
                  <w:tcBorders>
                    <w:top w:val="nil"/>
                    <w:left w:val="single" w:color="000000" w:sz="4" w:space="0"/>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3040" w:type="dxa"/>
                  <w:vMerge w:val="continue"/>
                  <w:tcBorders>
                    <w:top w:val="nil"/>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7"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27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134"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1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trHeight w:val="195" w:hRule="atLeast"/>
              </w:trPr>
              <w:tc>
                <w:tcPr>
                  <w:tcW w:w="4790" w:type="dxa"/>
                  <w:gridSpan w:val="4"/>
                  <w:tcBorders>
                    <w:top w:val="nil"/>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栏次</w:t>
                  </w:r>
                </w:p>
              </w:tc>
              <w:tc>
                <w:tcPr>
                  <w:tcW w:w="1418"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w:t>
                  </w:r>
                </w:p>
              </w:tc>
              <w:tc>
                <w:tcPr>
                  <w:tcW w:w="1417"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276"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w:t>
                  </w:r>
                </w:p>
              </w:tc>
              <w:tc>
                <w:tcPr>
                  <w:tcW w:w="1134"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w:t>
                  </w:r>
                </w:p>
              </w:tc>
              <w:tc>
                <w:tcPr>
                  <w:tcW w:w="1418"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w:t>
                  </w:r>
                </w:p>
              </w:tc>
              <w:tc>
                <w:tcPr>
                  <w:tcW w:w="1559"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516"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w:t>
                  </w:r>
                </w:p>
              </w:tc>
            </w:tr>
            <w:tr>
              <w:tblPrEx>
                <w:tblCellMar>
                  <w:top w:w="0" w:type="dxa"/>
                  <w:left w:w="108" w:type="dxa"/>
                  <w:bottom w:w="0" w:type="dxa"/>
                  <w:right w:w="108" w:type="dxa"/>
                </w:tblCellMar>
              </w:tblPrEx>
              <w:trPr>
                <w:trHeight w:val="195" w:hRule="atLeast"/>
              </w:trPr>
              <w:tc>
                <w:tcPr>
                  <w:tcW w:w="4790" w:type="dxa"/>
                  <w:gridSpan w:val="4"/>
                  <w:tcBorders>
                    <w:top w:val="nil"/>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合计</w:t>
                  </w:r>
                </w:p>
              </w:tc>
              <w:tc>
                <w:tcPr>
                  <w:tcW w:w="1418"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宋体" w:asciiTheme="minorEastAsia" w:hAnsiTheme="minorEastAsia" w:eastAsiaTheme="minorEastAsia"/>
                      <w:kern w:val="0"/>
                      <w:sz w:val="22"/>
                      <w:szCs w:val="22"/>
                    </w:rPr>
                    <w:t>22408.39　</w:t>
                  </w:r>
                </w:p>
              </w:tc>
              <w:tc>
                <w:tcPr>
                  <w:tcW w:w="1417"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宋体" w:asciiTheme="minorEastAsia" w:hAnsiTheme="minorEastAsia" w:eastAsiaTheme="minorEastAsia"/>
                      <w:kern w:val="0"/>
                      <w:sz w:val="22"/>
                      <w:szCs w:val="22"/>
                    </w:rPr>
                    <w:t>22408.39　</w:t>
                  </w:r>
                </w:p>
              </w:tc>
              <w:tc>
                <w:tcPr>
                  <w:tcW w:w="1276"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134"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418"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559"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516"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一般公共服务支出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政府办公厅（室）及相关机构事务</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2010302</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社会保障和就业支出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4344.04</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4344.04</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抚恤</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2080801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死亡抚恤</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大中型水库移民后期扶持基金支出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4324.86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4324.86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移民补助</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1750.86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1750.86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2082202</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基础设施建设和经济发展</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2574</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2574</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农林水支出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18016.35</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18016.35</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水利</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17419.35</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17419.35</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行政运行</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1124.41</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1124.41</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2130302</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1078.08</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1078.08</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2130304</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水利行业业务管理</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2130305</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水利工程建设</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2130306</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水利工程运行与维护</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2130308</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水利前期工作</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2130309</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水利执法监督</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水资源节约管理与保护</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2130312</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水质监测</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2130314</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防汛</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2130315</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抗旱</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2130316</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农田水利</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2130321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大中型水库移民后期扶持专项支出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2130335</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农村人畜饮水</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2130399</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其他水利支出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扶贫</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2130504</w:t>
                  </w:r>
                </w:p>
              </w:tc>
              <w:tc>
                <w:tcPr>
                  <w:tcW w:w="3040"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农村基础设施建设</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2130599</w:t>
                  </w:r>
                </w:p>
              </w:tc>
              <w:tc>
                <w:tcPr>
                  <w:tcW w:w="3040"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其他扶贫支出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灾害防治及应急管理支出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自然灾害防治</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2240699</w:t>
                  </w:r>
                </w:p>
              </w:tc>
              <w:tc>
                <w:tcPr>
                  <w:tcW w:w="3040"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其他自然灾害防治支出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2299901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bl>
          <w:p>
            <w:pPr>
              <w:jc w:val="center"/>
              <w:rPr>
                <w:rFonts w:cs="Times New Roman" w:asciiTheme="minorEastAsia" w:hAnsiTheme="minorEastAsia" w:eastAsiaTheme="minorEastAsia"/>
                <w:color w:val="000000"/>
                <w:sz w:val="20"/>
                <w:szCs w:val="20"/>
              </w:rPr>
            </w:pPr>
          </w:p>
        </w:tc>
      </w:tr>
    </w:tbl>
    <w:p>
      <w:pPr>
        <w:widowControl/>
        <w:ind w:firstLine="360" w:firstLineChars="15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注：本表反映部门本年度取得的各项收入情况。</w:t>
      </w: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986" w:type="dxa"/>
        <w:tblInd w:w="108" w:type="dxa"/>
        <w:tblLayout w:type="fixed"/>
        <w:tblCellMar>
          <w:top w:w="0" w:type="dxa"/>
          <w:left w:w="108" w:type="dxa"/>
          <w:bottom w:w="0" w:type="dxa"/>
          <w:right w:w="108" w:type="dxa"/>
        </w:tblCellMar>
      </w:tblPr>
      <w:tblGrid>
        <w:gridCol w:w="309"/>
        <w:gridCol w:w="155"/>
        <w:gridCol w:w="464"/>
        <w:gridCol w:w="818"/>
        <w:gridCol w:w="3039"/>
        <w:gridCol w:w="1736"/>
        <w:gridCol w:w="1559"/>
        <w:gridCol w:w="1418"/>
        <w:gridCol w:w="1701"/>
        <w:gridCol w:w="1275"/>
        <w:gridCol w:w="1614"/>
        <w:gridCol w:w="1418"/>
        <w:gridCol w:w="480"/>
      </w:tblGrid>
      <w:tr>
        <w:tblPrEx>
          <w:tblCellMar>
            <w:top w:w="0" w:type="dxa"/>
            <w:left w:w="108" w:type="dxa"/>
            <w:bottom w:w="0" w:type="dxa"/>
            <w:right w:w="108" w:type="dxa"/>
          </w:tblCellMar>
        </w:tblPrEx>
        <w:trPr>
          <w:gridBefore w:val="1"/>
          <w:wBefore w:w="309" w:type="dxa"/>
          <w:trHeight w:val="435" w:hRule="atLeast"/>
        </w:trPr>
        <w:tc>
          <w:tcPr>
            <w:tcW w:w="15677" w:type="dxa"/>
            <w:gridSpan w:val="12"/>
            <w:tcBorders>
              <w:top w:val="nil"/>
              <w:left w:val="nil"/>
              <w:bottom w:val="nil"/>
              <w:right w:val="nil"/>
            </w:tcBorders>
            <w:shd w:val="clear" w:color="auto" w:fill="auto"/>
            <w:noWrap/>
            <w:vAlign w:val="center"/>
          </w:tcPr>
          <w:p>
            <w:pPr>
              <w:widowControl/>
              <w:ind w:right="-1176" w:rightChars="-560"/>
              <w:jc w:val="center"/>
              <w:rPr>
                <w:rFonts w:ascii="华文中宋" w:hAnsi="华文中宋" w:eastAsia="华文中宋" w:cs="华文中宋"/>
                <w:color w:val="000000"/>
                <w:kern w:val="0"/>
                <w:sz w:val="32"/>
                <w:szCs w:val="32"/>
              </w:rPr>
            </w:pPr>
          </w:p>
          <w:p>
            <w:pPr>
              <w:widowControl/>
              <w:ind w:right="-1176" w:rightChars="-560"/>
              <w:jc w:val="center"/>
              <w:rPr>
                <w:rFonts w:ascii="华文中宋" w:hAnsi="华文中宋" w:eastAsia="华文中宋" w:cs="华文中宋"/>
                <w:color w:val="000000"/>
                <w:kern w:val="0"/>
                <w:sz w:val="32"/>
                <w:szCs w:val="32"/>
              </w:rPr>
            </w:pPr>
          </w:p>
          <w:p>
            <w:pPr>
              <w:widowControl/>
              <w:ind w:right="-1176" w:rightChars="-560" w:firstLine="6240" w:firstLineChars="1950"/>
              <w:rPr>
                <w:rFonts w:cs="华文中宋"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支出决算表</w:t>
            </w:r>
          </w:p>
        </w:tc>
      </w:tr>
      <w:tr>
        <w:tblPrEx>
          <w:tblCellMar>
            <w:top w:w="0" w:type="dxa"/>
            <w:left w:w="108" w:type="dxa"/>
            <w:bottom w:w="0" w:type="dxa"/>
            <w:right w:w="108" w:type="dxa"/>
          </w:tblCellMar>
        </w:tblPrEx>
        <w:trPr>
          <w:gridAfter w:val="1"/>
          <w:wAfter w:w="480" w:type="dxa"/>
          <w:trHeight w:val="180" w:hRule="atLeast"/>
        </w:trPr>
        <w:tc>
          <w:tcPr>
            <w:tcW w:w="464" w:type="dxa"/>
            <w:gridSpan w:val="2"/>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6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81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3039"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736"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pPr>
              <w:ind w:left="-260" w:leftChars="-124" w:firstLine="340" w:firstLineChars="170"/>
              <w:jc w:val="right"/>
              <w:rPr>
                <w:rFonts w:ascii="宋体" w:hAnsi="宋体" w:cs="Arial"/>
                <w:color w:val="000000"/>
                <w:sz w:val="20"/>
                <w:szCs w:val="20"/>
              </w:rPr>
            </w:pPr>
            <w:r>
              <w:rPr>
                <w:rFonts w:hint="eastAsia" w:ascii="宋体" w:hAnsi="宋体" w:cs="Arial"/>
                <w:color w:val="000000"/>
                <w:sz w:val="20"/>
                <w:szCs w:val="20"/>
              </w:rPr>
              <w:t>公开03表</w:t>
            </w:r>
          </w:p>
        </w:tc>
      </w:tr>
      <w:tr>
        <w:tblPrEx>
          <w:tblCellMar>
            <w:top w:w="0" w:type="dxa"/>
            <w:left w:w="108" w:type="dxa"/>
            <w:bottom w:w="0" w:type="dxa"/>
            <w:right w:w="108" w:type="dxa"/>
          </w:tblCellMar>
        </w:tblPrEx>
        <w:trPr>
          <w:gridAfter w:val="1"/>
          <w:wAfter w:w="480" w:type="dxa"/>
          <w:trHeight w:val="180" w:hRule="atLeast"/>
        </w:trPr>
        <w:tc>
          <w:tcPr>
            <w:tcW w:w="1746" w:type="dxa"/>
            <w:gridSpan w:val="4"/>
            <w:tcBorders>
              <w:top w:val="nil"/>
              <w:left w:val="nil"/>
              <w:bottom w:val="single" w:color="000000" w:sz="4" w:space="0"/>
              <w:right w:val="nil"/>
            </w:tcBorders>
            <w:shd w:val="clear" w:color="auto" w:fill="auto"/>
            <w:noWrap/>
            <w:vAlign w:val="bottom"/>
          </w:tcPr>
          <w:p>
            <w:pPr>
              <w:ind w:right="-170" w:rightChars="-81"/>
              <w:rPr>
                <w:rFonts w:ascii="宋体" w:hAnsi="宋体" w:cs="Arial"/>
                <w:color w:val="000000"/>
                <w:sz w:val="20"/>
                <w:szCs w:val="20"/>
              </w:rPr>
            </w:pPr>
            <w:r>
              <w:rPr>
                <w:rFonts w:hint="eastAsia" w:ascii="宋体" w:hAnsi="宋体" w:cs="Arial"/>
                <w:color w:val="000000"/>
                <w:sz w:val="20"/>
                <w:szCs w:val="20"/>
              </w:rPr>
              <w:t>部门：湘潭县水利局</w:t>
            </w:r>
          </w:p>
        </w:tc>
        <w:tc>
          <w:tcPr>
            <w:tcW w:w="3039" w:type="dxa"/>
            <w:tcBorders>
              <w:top w:val="nil"/>
              <w:left w:val="nil"/>
              <w:bottom w:val="single" w:color="000000" w:sz="4" w:space="0"/>
              <w:right w:val="nil"/>
            </w:tcBorders>
            <w:shd w:val="clear" w:color="auto" w:fill="auto"/>
            <w:noWrap/>
            <w:vAlign w:val="bottom"/>
          </w:tcPr>
          <w:p>
            <w:pPr>
              <w:rPr>
                <w:rFonts w:ascii="宋体" w:hAnsi="宋体" w:cs="Arial"/>
                <w:color w:val="000000"/>
                <w:sz w:val="20"/>
                <w:szCs w:val="20"/>
              </w:rPr>
            </w:pPr>
            <w:r>
              <w:rPr>
                <w:rFonts w:hint="eastAsia" w:ascii="宋体" w:hAnsi="宋体" w:cs="Arial"/>
                <w:color w:val="000000"/>
                <w:sz w:val="20"/>
                <w:szCs w:val="20"/>
              </w:rPr>
              <w:t>　</w:t>
            </w:r>
          </w:p>
        </w:tc>
        <w:tc>
          <w:tcPr>
            <w:tcW w:w="1736"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pPr>
              <w:ind w:left="-869" w:leftChars="-414" w:right="-53"/>
              <w:jc w:val="right"/>
              <w:rPr>
                <w:rFonts w:ascii="宋体" w:hAnsi="宋体" w:cs="Arial"/>
                <w:color w:val="000000"/>
                <w:sz w:val="20"/>
                <w:szCs w:val="20"/>
              </w:rPr>
            </w:pPr>
            <w:r>
              <w:rPr>
                <w:rFonts w:hint="eastAsia" w:ascii="宋体" w:hAnsi="宋体" w:cs="Arial"/>
                <w:color w:val="000000"/>
                <w:sz w:val="20"/>
                <w:szCs w:val="20"/>
              </w:rPr>
              <w:t>金额单位：万元</w:t>
            </w:r>
          </w:p>
        </w:tc>
      </w:tr>
      <w:tr>
        <w:tblPrEx>
          <w:tblCellMar>
            <w:top w:w="0" w:type="dxa"/>
            <w:left w:w="108" w:type="dxa"/>
            <w:bottom w:w="0" w:type="dxa"/>
            <w:right w:w="108" w:type="dxa"/>
          </w:tblCellMar>
        </w:tblPrEx>
        <w:trPr>
          <w:gridAfter w:val="1"/>
          <w:wAfter w:w="480" w:type="dxa"/>
          <w:trHeight w:val="255" w:hRule="atLeast"/>
        </w:trPr>
        <w:tc>
          <w:tcPr>
            <w:tcW w:w="4785" w:type="dxa"/>
            <w:gridSpan w:val="5"/>
            <w:tcBorders>
              <w:top w:val="single" w:color="000000" w:sz="4" w:space="0"/>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项目</w:t>
            </w:r>
          </w:p>
        </w:tc>
        <w:tc>
          <w:tcPr>
            <w:tcW w:w="1736"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本年支出合计</w:t>
            </w:r>
          </w:p>
        </w:tc>
        <w:tc>
          <w:tcPr>
            <w:tcW w:w="1559"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基本支出</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项目支出</w:t>
            </w:r>
          </w:p>
        </w:tc>
        <w:tc>
          <w:tcPr>
            <w:tcW w:w="1701"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上缴上级支出</w:t>
            </w:r>
          </w:p>
        </w:tc>
        <w:tc>
          <w:tcPr>
            <w:tcW w:w="1275"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经营支出</w:t>
            </w:r>
          </w:p>
        </w:tc>
        <w:tc>
          <w:tcPr>
            <w:tcW w:w="1614"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对附属单位补助支出</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本年支出合计</w:t>
            </w:r>
          </w:p>
        </w:tc>
      </w:tr>
      <w:tr>
        <w:tblPrEx>
          <w:tblCellMar>
            <w:top w:w="0" w:type="dxa"/>
            <w:left w:w="108" w:type="dxa"/>
            <w:bottom w:w="0" w:type="dxa"/>
            <w:right w:w="108" w:type="dxa"/>
          </w:tblCellMar>
        </w:tblPrEx>
        <w:trPr>
          <w:gridAfter w:val="1"/>
          <w:wAfter w:w="480" w:type="dxa"/>
          <w:trHeight w:val="312" w:hRule="atLeast"/>
        </w:trPr>
        <w:tc>
          <w:tcPr>
            <w:tcW w:w="1746" w:type="dxa"/>
            <w:gridSpan w:val="4"/>
            <w:vMerge w:val="restart"/>
            <w:tcBorders>
              <w:top w:val="nil"/>
              <w:left w:val="single" w:color="000000" w:sz="4" w:space="0"/>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功能分类科目编码</w:t>
            </w:r>
          </w:p>
        </w:tc>
        <w:tc>
          <w:tcPr>
            <w:tcW w:w="3039" w:type="dxa"/>
            <w:vMerge w:val="restart"/>
            <w:tcBorders>
              <w:top w:val="nil"/>
              <w:left w:val="nil"/>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科目名称</w:t>
            </w:r>
          </w:p>
        </w:tc>
        <w:tc>
          <w:tcPr>
            <w:tcW w:w="173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701"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275"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614"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312" w:hRule="atLeast"/>
        </w:trPr>
        <w:tc>
          <w:tcPr>
            <w:tcW w:w="1746" w:type="dxa"/>
            <w:gridSpan w:val="4"/>
            <w:vMerge w:val="continue"/>
            <w:tcBorders>
              <w:top w:val="nil"/>
              <w:left w:val="single" w:color="000000" w:sz="4" w:space="0"/>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3039" w:type="dxa"/>
            <w:vMerge w:val="continue"/>
            <w:tcBorders>
              <w:top w:val="nil"/>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73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701"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275"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614"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4785" w:type="dxa"/>
            <w:gridSpan w:val="5"/>
            <w:tcBorders>
              <w:top w:val="nil"/>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栏次</w:t>
            </w:r>
          </w:p>
        </w:tc>
        <w:tc>
          <w:tcPr>
            <w:tcW w:w="1736"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w:t>
            </w:r>
          </w:p>
        </w:tc>
        <w:tc>
          <w:tcPr>
            <w:tcW w:w="1559"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8"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w:t>
            </w:r>
          </w:p>
        </w:tc>
        <w:tc>
          <w:tcPr>
            <w:tcW w:w="1701"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w:t>
            </w:r>
          </w:p>
        </w:tc>
        <w:tc>
          <w:tcPr>
            <w:tcW w:w="1275"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w:t>
            </w:r>
          </w:p>
        </w:tc>
        <w:tc>
          <w:tcPr>
            <w:tcW w:w="1614"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8"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w:t>
            </w:r>
          </w:p>
        </w:tc>
      </w:tr>
      <w:tr>
        <w:tblPrEx>
          <w:tblCellMar>
            <w:top w:w="0" w:type="dxa"/>
            <w:left w:w="108" w:type="dxa"/>
            <w:bottom w:w="0" w:type="dxa"/>
            <w:right w:w="108" w:type="dxa"/>
          </w:tblCellMar>
        </w:tblPrEx>
        <w:trPr>
          <w:gridAfter w:val="1"/>
          <w:wAfter w:w="480" w:type="dxa"/>
          <w:trHeight w:val="195" w:hRule="atLeast"/>
        </w:trPr>
        <w:tc>
          <w:tcPr>
            <w:tcW w:w="4785" w:type="dxa"/>
            <w:gridSpan w:val="5"/>
            <w:tcBorders>
              <w:top w:val="nil"/>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合计</w:t>
            </w:r>
          </w:p>
        </w:tc>
        <w:tc>
          <w:tcPr>
            <w:tcW w:w="1736"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宋体" w:asciiTheme="minorEastAsia" w:hAnsiTheme="minorEastAsia" w:eastAsiaTheme="minorEastAsia"/>
                <w:kern w:val="0"/>
                <w:sz w:val="22"/>
                <w:szCs w:val="22"/>
              </w:rPr>
              <w:t>22408.39　</w:t>
            </w:r>
          </w:p>
        </w:tc>
        <w:tc>
          <w:tcPr>
            <w:tcW w:w="1559" w:type="dxa"/>
            <w:tcBorders>
              <w:top w:val="nil"/>
              <w:left w:val="nil"/>
              <w:bottom w:val="single" w:color="000000" w:sz="4" w:space="0"/>
              <w:right w:val="single" w:color="000000" w:sz="4" w:space="0"/>
            </w:tcBorders>
            <w:shd w:val="clear" w:color="000000" w:fill="FFFFFF"/>
            <w:noWrap/>
            <w:vAlign w:val="center"/>
          </w:tcPr>
          <w:p>
            <w:pPr>
              <w:jc w:val="right"/>
              <w:rPr>
                <w:rFonts w:cs="宋体"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1376.89</w:t>
            </w:r>
          </w:p>
        </w:tc>
        <w:tc>
          <w:tcPr>
            <w:tcW w:w="1418" w:type="dxa"/>
            <w:tcBorders>
              <w:top w:val="nil"/>
              <w:left w:val="nil"/>
              <w:bottom w:val="single" w:color="000000" w:sz="4" w:space="0"/>
              <w:right w:val="single" w:color="000000" w:sz="4" w:space="0"/>
            </w:tcBorders>
            <w:shd w:val="clear" w:color="000000" w:fill="FFFFFF"/>
            <w:noWrap/>
            <w:vAlign w:val="center"/>
          </w:tcPr>
          <w:p>
            <w:pPr>
              <w:jc w:val="right"/>
              <w:rPr>
                <w:rFonts w:cs="宋体"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21031.5</w:t>
            </w:r>
          </w:p>
        </w:tc>
        <w:tc>
          <w:tcPr>
            <w:tcW w:w="1701"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p>
        </w:tc>
        <w:tc>
          <w:tcPr>
            <w:tcW w:w="1275"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p>
        </w:tc>
        <w:tc>
          <w:tcPr>
            <w:tcW w:w="1614"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p>
        </w:tc>
        <w:tc>
          <w:tcPr>
            <w:tcW w:w="1418"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一般公共服务支出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政府办公厅（室）及相关机构事务</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2010302</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社会保障和就业支出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4344.04</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4324.86</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抚恤</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2080801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死亡抚恤</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大中型水库移民后期扶持基金支出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4324.86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4324.86</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移民补助</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1750.86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1750.86</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2082202</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基础设施建设和经济发展</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2574</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2574</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农林水支出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18016.35</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1349.71</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16666.64</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水利</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17419.35</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1349.71</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16666.64</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行政运行</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1124.41</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1124.41</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2130302</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1078.08</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214.30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863.77</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2130304</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水利行业业务管理</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2130305</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水利工程建设</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2130306</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水利工程运行与维护</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2130308</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水利前期工作</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2130309</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水利执法监督</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水资源节约管理与保护</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2130312</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水质监测</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2130314</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防汛</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2130315</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抗旱</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2130316</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农田水利</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2130321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大中型水库移民后期扶持专项支出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2130335</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农村人畜饮水</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2130399</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其他水利支出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扶贫</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2130504</w:t>
            </w:r>
          </w:p>
        </w:tc>
        <w:tc>
          <w:tcPr>
            <w:tcW w:w="3039"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农村基础设施建设</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2130599</w:t>
            </w:r>
          </w:p>
        </w:tc>
        <w:tc>
          <w:tcPr>
            <w:tcW w:w="3039"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其他扶贫支出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灾害防治及应急管理支出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自然灾害防治</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2240699</w:t>
            </w:r>
          </w:p>
        </w:tc>
        <w:tc>
          <w:tcPr>
            <w:tcW w:w="3039"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其他自然灾害防治支出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2299901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Before w:val="1"/>
          <w:wBefore w:w="309" w:type="dxa"/>
          <w:trHeight w:val="630" w:hRule="atLeast"/>
        </w:trPr>
        <w:tc>
          <w:tcPr>
            <w:tcW w:w="15677" w:type="dxa"/>
            <w:gridSpan w:val="12"/>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540" w:type="dxa"/>
        <w:tblInd w:w="-106" w:type="dxa"/>
        <w:tblLayout w:type="autofit"/>
        <w:tblCellMar>
          <w:top w:w="0" w:type="dxa"/>
          <w:left w:w="108" w:type="dxa"/>
          <w:bottom w:w="0" w:type="dxa"/>
          <w:right w:w="108" w:type="dxa"/>
        </w:tblCellMar>
      </w:tblPr>
      <w:tblGrid>
        <w:gridCol w:w="3596"/>
        <w:gridCol w:w="436"/>
        <w:gridCol w:w="1285"/>
        <w:gridCol w:w="3222"/>
        <w:gridCol w:w="632"/>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40" w:type="dxa"/>
            <w:gridSpan w:val="10"/>
            <w:tcBorders>
              <w:top w:val="nil"/>
              <w:left w:val="nil"/>
              <w:bottom w:val="nil"/>
              <w:right w:val="nil"/>
            </w:tcBorders>
            <w:noWrap/>
            <w:vAlign w:val="center"/>
          </w:tcPr>
          <w:p>
            <w:pPr>
              <w:widowControl/>
              <w:jc w:val="center"/>
              <w:rPr>
                <w:rFonts w:cs="Times New Roman" w:asciiTheme="minorEastAsia" w:hAnsiTheme="minorEastAsia" w:eastAsiaTheme="minorEastAsia"/>
                <w:color w:val="000000"/>
                <w:kern w:val="0"/>
                <w:sz w:val="32"/>
                <w:szCs w:val="32"/>
              </w:rPr>
            </w:pPr>
            <w:bookmarkStart w:id="0" w:name="RANGE_A1_I22"/>
            <w:bookmarkEnd w:id="0"/>
            <w:bookmarkStart w:id="1" w:name="RANGE_A1_F16"/>
            <w:r>
              <w:rPr>
                <w:rFonts w:hint="eastAsia" w:cs="华文中宋" w:asciiTheme="minorEastAsia" w:hAnsiTheme="minorEastAsia" w:eastAsiaTheme="minorEastAsia"/>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854"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部门：湘潭县水利局</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854"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31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收入</w:t>
            </w:r>
          </w:p>
        </w:tc>
        <w:tc>
          <w:tcPr>
            <w:tcW w:w="10223"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项目</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行次</w:t>
            </w:r>
          </w:p>
        </w:tc>
        <w:tc>
          <w:tcPr>
            <w:tcW w:w="1285"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金额</w:t>
            </w:r>
          </w:p>
        </w:tc>
        <w:tc>
          <w:tcPr>
            <w:tcW w:w="322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项目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行次</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合计</w:t>
            </w:r>
          </w:p>
        </w:tc>
        <w:tc>
          <w:tcPr>
            <w:tcW w:w="1394"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栏次</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285"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w:t>
            </w:r>
          </w:p>
        </w:tc>
        <w:tc>
          <w:tcPr>
            <w:tcW w:w="322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栏次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3</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4</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18083.53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15</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6</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6</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4324.86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16</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3</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17</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4</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18</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5</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19</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6</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八、社会保障和就业支出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20</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4344.04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19.18</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4324.86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7</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十二、农林水支出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21</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18016.35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18016.35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8</w:t>
            </w:r>
          </w:p>
        </w:tc>
        <w:tc>
          <w:tcPr>
            <w:tcW w:w="128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二十二、灾害防治及应急管理支出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22</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40</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40</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9</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22408.39　</w:t>
            </w:r>
          </w:p>
        </w:tc>
        <w:tc>
          <w:tcPr>
            <w:tcW w:w="3222" w:type="dxa"/>
            <w:tcBorders>
              <w:top w:val="nil"/>
              <w:left w:val="nil"/>
              <w:bottom w:val="single" w:color="auto" w:sz="4" w:space="0"/>
              <w:right w:val="single" w:color="auto" w:sz="4" w:space="0"/>
            </w:tcBorders>
            <w:noWrap/>
            <w:vAlign w:val="center"/>
          </w:tcPr>
          <w:p>
            <w:pPr>
              <w:widowControl/>
              <w:ind w:right="100"/>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二十三、其他支出　</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23</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　</w:t>
            </w:r>
            <w:r>
              <w:rPr>
                <w:rFonts w:hint="eastAsia" w:cs="宋体" w:asciiTheme="minorEastAsia" w:hAnsiTheme="minorEastAsia" w:eastAsiaTheme="minorEastAsia"/>
                <w:kern w:val="0"/>
                <w:sz w:val="22"/>
                <w:szCs w:val="22"/>
              </w:rPr>
              <w:t>2</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2</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10</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24</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11</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25</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12</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26</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22408.39</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18083.53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4324.86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13</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27</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14</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22408.39　</w:t>
            </w:r>
          </w:p>
        </w:tc>
        <w:tc>
          <w:tcPr>
            <w:tcW w:w="3222" w:type="dxa"/>
            <w:tcBorders>
              <w:top w:val="nil"/>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xml:space="preserve"> 22408.39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　</w:t>
            </w:r>
          </w:p>
        </w:tc>
      </w:tr>
      <w:tr>
        <w:tblPrEx>
          <w:tblCellMar>
            <w:top w:w="0" w:type="dxa"/>
            <w:left w:w="108" w:type="dxa"/>
            <w:bottom w:w="0" w:type="dxa"/>
            <w:right w:w="108" w:type="dxa"/>
          </w:tblCellMar>
        </w:tblPrEx>
        <w:trPr>
          <w:trHeight w:val="585" w:hRule="atLeast"/>
        </w:trPr>
        <w:tc>
          <w:tcPr>
            <w:tcW w:w="15540" w:type="dxa"/>
            <w:gridSpan w:val="10"/>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方正小标宋_GBK"/>
          <w:kern w:val="0"/>
          <w:sz w:val="36"/>
          <w:szCs w:val="36"/>
        </w:rPr>
      </w:pPr>
    </w:p>
    <w:p>
      <w:pPr>
        <w:widowControl/>
        <w:jc w:val="center"/>
        <w:rPr>
          <w:rFonts w:cs="Times New Roman" w:asciiTheme="minorEastAsia" w:hAnsiTheme="minorEastAsia" w:eastAsiaTheme="minorEastAsia"/>
          <w:kern w:val="0"/>
          <w:sz w:val="32"/>
          <w:szCs w:val="32"/>
        </w:rPr>
      </w:pPr>
      <w:r>
        <w:rPr>
          <w:rFonts w:hint="eastAsia" w:cs="方正小标宋_GBK" w:asciiTheme="minorEastAsia" w:hAnsiTheme="minorEastAsia" w:eastAsiaTheme="minorEastAsia"/>
          <w:kern w:val="0"/>
          <w:sz w:val="32"/>
          <w:szCs w:val="32"/>
        </w:rPr>
        <w:t>一般公共预算财政拨款支出决算表</w:t>
      </w:r>
      <w:bookmarkEnd w:id="1"/>
    </w:p>
    <w:p>
      <w:pPr>
        <w:widowControl/>
        <w:spacing w:beforeLines="50" w:line="240" w:lineRule="exact"/>
        <w:ind w:firstLine="500" w:firstLineChars="250"/>
        <w:jc w:val="lef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部门：</w:t>
      </w:r>
      <w:r>
        <w:rPr>
          <w:rFonts w:hint="eastAsia" w:cs="宋体" w:asciiTheme="minorEastAsia" w:hAnsiTheme="minorEastAsia" w:eastAsiaTheme="minorEastAsia"/>
          <w:color w:val="000000"/>
          <w:kern w:val="0"/>
          <w:sz w:val="20"/>
          <w:szCs w:val="20"/>
        </w:rPr>
        <w:t>湘潭县水利局</w:t>
      </w:r>
      <w:r>
        <w:rPr>
          <w:rFonts w:hint="eastAsia" w:cs="仿宋_GB2312" w:asciiTheme="minorEastAsia" w:hAnsiTheme="minorEastAsia" w:eastAsiaTheme="minorEastAsia"/>
          <w:color w:val="000000"/>
          <w:kern w:val="0"/>
          <w:sz w:val="20"/>
          <w:szCs w:val="20"/>
        </w:rPr>
        <w:t xml:space="preserve">                                                                                                                    公开</w:t>
      </w:r>
      <w:r>
        <w:rPr>
          <w:rFonts w:cs="Times New Roman" w:asciiTheme="minorEastAsia" w:hAnsiTheme="minorEastAsia" w:eastAsiaTheme="minorEastAsia"/>
          <w:color w:val="000000"/>
          <w:kern w:val="0"/>
          <w:sz w:val="20"/>
          <w:szCs w:val="20"/>
        </w:rPr>
        <w:t>05</w:t>
      </w:r>
      <w:r>
        <w:rPr>
          <w:rFonts w:hint="eastAsia" w:cs="仿宋_GB2312" w:asciiTheme="minorEastAsia" w:hAnsiTheme="minorEastAsia" w:eastAsiaTheme="minorEastAsia"/>
          <w:color w:val="000000"/>
          <w:kern w:val="0"/>
          <w:sz w:val="20"/>
          <w:szCs w:val="20"/>
        </w:rPr>
        <w:t>表</w:t>
      </w:r>
    </w:p>
    <w:p>
      <w:pPr>
        <w:widowControl/>
        <w:spacing w:line="240" w:lineRule="exact"/>
        <w:ind w:firstLine="13800" w:firstLineChars="6900"/>
        <w:jc w:val="left"/>
        <w:rPr>
          <w:rFonts w:ascii="Times New Roman" w:hAnsi="Times New Roman" w:cs="Times New Roman"/>
          <w:color w:val="000000"/>
          <w:kern w:val="0"/>
          <w:sz w:val="20"/>
          <w:szCs w:val="20"/>
        </w:rPr>
      </w:pPr>
      <w:r>
        <w:rPr>
          <w:rFonts w:hint="eastAsia" w:cs="仿宋_GB2312" w:asciiTheme="minorEastAsia" w:hAnsiTheme="minorEastAsia" w:eastAsiaTheme="minorEastAsia"/>
          <w:color w:val="000000"/>
          <w:kern w:val="0"/>
          <w:sz w:val="20"/>
          <w:szCs w:val="20"/>
        </w:rPr>
        <w:t>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栏次</w:t>
            </w:r>
          </w:p>
        </w:tc>
        <w:tc>
          <w:tcPr>
            <w:tcW w:w="300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w:t>
            </w:r>
          </w:p>
        </w:tc>
        <w:tc>
          <w:tcPr>
            <w:tcW w:w="3492"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2</w:t>
            </w:r>
          </w:p>
        </w:tc>
        <w:tc>
          <w:tcPr>
            <w:tcW w:w="300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300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18083.53</w:t>
            </w:r>
          </w:p>
        </w:tc>
        <w:tc>
          <w:tcPr>
            <w:tcW w:w="3492"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1376.89</w:t>
            </w:r>
          </w:p>
        </w:tc>
        <w:tc>
          <w:tcPr>
            <w:tcW w:w="300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16706.64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一般公共服务支出</w:t>
            </w:r>
          </w:p>
        </w:tc>
        <w:tc>
          <w:tcPr>
            <w:tcW w:w="3000"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政府办公厅（室）及相关机构事务</w:t>
            </w:r>
          </w:p>
        </w:tc>
        <w:tc>
          <w:tcPr>
            <w:tcW w:w="3000"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2010302</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3000"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社会保障和就业支出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抚恤</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2080801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死亡抚恤</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农林水支出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18016.35</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1349.72</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16666.64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水利</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17419.35</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1349.72</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16069.64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行政运行</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1124.41</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Arial" w:asciiTheme="minorEastAsia" w:hAnsiTheme="minorEastAsia" w:eastAsiaTheme="minorEastAsia"/>
                <w:color w:val="000000"/>
                <w:sz w:val="22"/>
                <w:szCs w:val="22"/>
              </w:rPr>
              <w:t>1124.41</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2130302</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1078.08</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214.30</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863.77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2130304</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水利行业业务管理</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2130305</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水利工程建设</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2130306</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水利工程运行与维护</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2130308</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水利前期工作</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2130309</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水利执法监督</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水资源节约管理与保护</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2130312</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水质监测</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2130314</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防汛</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2130315</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抗旱</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2130316</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农田水利</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2130321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大中型水库移民后期扶持专项支出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11</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2130335</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农村人畜饮水</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2130399</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其他水利支出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扶贫</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2130504</w:t>
            </w:r>
          </w:p>
        </w:tc>
        <w:tc>
          <w:tcPr>
            <w:tcW w:w="3527" w:type="dxa"/>
            <w:tcBorders>
              <w:top w:val="nil"/>
              <w:left w:val="nil"/>
              <w:bottom w:val="single" w:color="auto" w:sz="4" w:space="0"/>
              <w:right w:val="single" w:color="auto" w:sz="4" w:space="0"/>
            </w:tcBorders>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农村基础设施建设</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2130599</w:t>
            </w:r>
          </w:p>
        </w:tc>
        <w:tc>
          <w:tcPr>
            <w:tcW w:w="3527" w:type="dxa"/>
            <w:tcBorders>
              <w:top w:val="nil"/>
              <w:left w:val="nil"/>
              <w:bottom w:val="single" w:color="auto" w:sz="4" w:space="0"/>
              <w:right w:val="single" w:color="auto" w:sz="4" w:space="0"/>
            </w:tcBorders>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其他扶贫支出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灾害防治及应急管理支出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自然灾害防治</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2240699</w:t>
            </w:r>
          </w:p>
        </w:tc>
        <w:tc>
          <w:tcPr>
            <w:tcW w:w="3527" w:type="dxa"/>
            <w:tcBorders>
              <w:top w:val="nil"/>
              <w:left w:val="nil"/>
              <w:bottom w:val="single" w:color="auto" w:sz="4" w:space="0"/>
              <w:right w:val="single" w:color="auto" w:sz="4" w:space="0"/>
            </w:tcBorders>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其他自然灾害防治支出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3492"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00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00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2299901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00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cs="Times New Roman"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注：本表反映部门本年度一般公共预算财政拨款支出情况。</w:t>
            </w:r>
          </w:p>
        </w:tc>
      </w:tr>
    </w:tbl>
    <w:p>
      <w:pPr>
        <w:widowControl/>
        <w:jc w:val="left"/>
        <w:rPr>
          <w:rFonts w:ascii="Times New Roman" w:hAnsi="Times New Roman" w:eastAsia="仿宋_GB2312" w:cs="Times New Roman"/>
          <w:kern w:val="0"/>
        </w:rPr>
      </w:pPr>
    </w:p>
    <w:tbl>
      <w:tblPr>
        <w:tblStyle w:val="6"/>
        <w:tblW w:w="0" w:type="auto"/>
        <w:tblInd w:w="-106" w:type="dxa"/>
        <w:tblLayout w:type="fixed"/>
        <w:tblCellMar>
          <w:top w:w="0" w:type="dxa"/>
          <w:left w:w="108" w:type="dxa"/>
          <w:bottom w:w="0" w:type="dxa"/>
          <w:right w:w="108" w:type="dxa"/>
        </w:tblCellMar>
      </w:tblPr>
      <w:tblGrid>
        <w:gridCol w:w="1340"/>
        <w:gridCol w:w="2843"/>
        <w:gridCol w:w="1202"/>
        <w:gridCol w:w="1209"/>
        <w:gridCol w:w="1984"/>
        <w:gridCol w:w="1275"/>
        <w:gridCol w:w="1418"/>
        <w:gridCol w:w="3118"/>
        <w:gridCol w:w="1331"/>
      </w:tblGrid>
      <w:tr>
        <w:tblPrEx>
          <w:tblCellMar>
            <w:top w:w="0" w:type="dxa"/>
            <w:left w:w="108" w:type="dxa"/>
            <w:bottom w:w="0" w:type="dxa"/>
            <w:right w:w="108" w:type="dxa"/>
          </w:tblCellMar>
        </w:tblPrEx>
        <w:trPr>
          <w:trHeight w:val="113" w:hRule="atLeast"/>
        </w:trPr>
        <w:tc>
          <w:tcPr>
            <w:tcW w:w="15720" w:type="dxa"/>
            <w:gridSpan w:val="9"/>
            <w:tcBorders>
              <w:top w:val="nil"/>
              <w:left w:val="nil"/>
              <w:bottom w:val="nil"/>
              <w:right w:val="nil"/>
            </w:tcBorders>
            <w:noWrap/>
            <w:vAlign w:val="center"/>
          </w:tcPr>
          <w:p>
            <w:pPr>
              <w:widowControl/>
              <w:jc w:val="center"/>
              <w:rPr>
                <w:rFonts w:ascii="华文中宋" w:hAnsi="华文中宋" w:eastAsia="华文中宋" w:cs="华文中宋"/>
                <w:color w:val="000000"/>
                <w:kern w:val="0"/>
                <w:sz w:val="32"/>
                <w:szCs w:val="32"/>
              </w:rPr>
            </w:pPr>
            <w:bookmarkStart w:id="2" w:name="RANGE_A1_I34"/>
          </w:p>
          <w:p>
            <w:pPr>
              <w:widowControl/>
              <w:jc w:val="center"/>
              <w:rPr>
                <w:rFonts w:cs="Times New Roman"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一般公共预算财政拨款基本支出决算表</w:t>
            </w:r>
            <w:bookmarkEnd w:id="2"/>
          </w:p>
          <w:p>
            <w:pPr>
              <w:widowControl/>
              <w:spacing w:line="240" w:lineRule="exact"/>
              <w:jc w:val="lef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部门： 湘潭县水利局                                                                                                                               公开</w:t>
            </w:r>
            <w:r>
              <w:rPr>
                <w:rFonts w:cs="Times New Roman" w:asciiTheme="minorEastAsia" w:hAnsiTheme="minorEastAsia" w:eastAsiaTheme="minorEastAsia"/>
                <w:color w:val="000000"/>
                <w:kern w:val="0"/>
                <w:sz w:val="20"/>
                <w:szCs w:val="20"/>
              </w:rPr>
              <w:t>06</w:t>
            </w:r>
            <w:r>
              <w:rPr>
                <w:rFonts w:hint="eastAsia" w:cs="仿宋_GB2312" w:asciiTheme="minorEastAsia" w:hAnsiTheme="minorEastAsia" w:eastAsiaTheme="minorEastAsia"/>
                <w:color w:val="000000"/>
                <w:kern w:val="0"/>
                <w:sz w:val="20"/>
                <w:szCs w:val="20"/>
              </w:rPr>
              <w:t>表</w:t>
            </w:r>
          </w:p>
          <w:p>
            <w:pPr>
              <w:widowControl/>
              <w:spacing w:line="240" w:lineRule="exact"/>
              <w:jc w:val="right"/>
              <w:rPr>
                <w:rFonts w:ascii="华文中宋" w:hAnsi="华文中宋" w:eastAsia="华文中宋" w:cs="Times New Roman"/>
                <w:color w:val="000000"/>
                <w:kern w:val="0"/>
              </w:rPr>
            </w:pPr>
            <w:r>
              <w:rPr>
                <w:rFonts w:hint="eastAsia" w:cs="仿宋_GB2312" w:asciiTheme="minorEastAsia" w:hAnsiTheme="minorEastAsia" w:eastAsiaTheme="minorEastAsia"/>
                <w:color w:val="000000"/>
                <w:kern w:val="0"/>
                <w:sz w:val="20"/>
                <w:szCs w:val="20"/>
              </w:rPr>
              <w:t>单位：万元</w:t>
            </w:r>
          </w:p>
        </w:tc>
      </w:tr>
      <w:tr>
        <w:tblPrEx>
          <w:tblCellMar>
            <w:top w:w="0" w:type="dxa"/>
            <w:left w:w="108" w:type="dxa"/>
            <w:bottom w:w="0" w:type="dxa"/>
            <w:right w:w="108" w:type="dxa"/>
          </w:tblCellMar>
        </w:tblPrEx>
        <w:trPr>
          <w:trHeight w:val="113" w:hRule="atLeast"/>
        </w:trPr>
        <w:tc>
          <w:tcPr>
            <w:tcW w:w="1340" w:type="dxa"/>
            <w:tcBorders>
              <w:top w:val="single" w:color="auto" w:sz="4" w:space="0"/>
              <w:left w:val="single" w:color="auto" w:sz="4" w:space="0"/>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经济分类科目编码</w:t>
            </w:r>
          </w:p>
        </w:tc>
        <w:tc>
          <w:tcPr>
            <w:tcW w:w="2843"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科目名称</w:t>
            </w:r>
          </w:p>
        </w:tc>
        <w:tc>
          <w:tcPr>
            <w:tcW w:w="1202"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决算数</w:t>
            </w:r>
          </w:p>
        </w:tc>
        <w:tc>
          <w:tcPr>
            <w:tcW w:w="1209"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经济分类科目编码</w:t>
            </w:r>
          </w:p>
        </w:tc>
        <w:tc>
          <w:tcPr>
            <w:tcW w:w="1984"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科目名称</w:t>
            </w:r>
          </w:p>
        </w:tc>
        <w:tc>
          <w:tcPr>
            <w:tcW w:w="1275"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决算数</w:t>
            </w:r>
          </w:p>
        </w:tc>
        <w:tc>
          <w:tcPr>
            <w:tcW w:w="1418"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经济分类科目编码</w:t>
            </w:r>
          </w:p>
        </w:tc>
        <w:tc>
          <w:tcPr>
            <w:tcW w:w="3118"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科目名称</w:t>
            </w:r>
          </w:p>
        </w:tc>
        <w:tc>
          <w:tcPr>
            <w:tcW w:w="1331"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决算数</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工资福利支出</w:t>
            </w:r>
          </w:p>
        </w:tc>
        <w:tc>
          <w:tcPr>
            <w:tcW w:w="120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1077.41</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商品和服务支出</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258.18</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307</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债务利息及费用支出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30101</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基本工资</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321.83</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30201</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办公费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49.87</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30701</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国内债务付息</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30102</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津贴补贴</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17.89</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30202</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印刷费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8.74</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30702</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国外债务付息</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30103</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奖金</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254.41</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30203</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咨询费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20.35</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资本性支出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30106</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伙食补助费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35</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30204</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手续费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31001</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房屋建筑物购建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30107</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绩效工资</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186.72</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30205</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水费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0.91</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31002</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办公设备购置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30108</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机关事业单位基本养老保险缴费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80</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30206</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电费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31003</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专用设备购置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30109</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职业年金缴费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6.61</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30207</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邮电费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1.44</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31005</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基础设施建设</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30110</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职工基本医疗保险缴费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69.23</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30208</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取暖费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31006</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大型修缮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30111</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公务员医疗补助缴费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30209</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物业管理费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31007</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信息网络及软件购置更新</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30112</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其他社会保障缴费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6.64</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30211</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差旅费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14.62</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31008</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物资储备</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30113</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住房公积金</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97.4</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30212</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因公出国（境）费用</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31009</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土地补偿</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30114</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医疗费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30213</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维修（护）费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2.94</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31010</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安置补助</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30199</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其他工资福利支出</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1.68</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30214</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租赁费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0.08</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31011</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地上附着物和青苗补偿</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对个人和家庭的补助</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41.3</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30215</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会议费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31012</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拆迁补偿</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30301</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离休费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30216</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培训费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2.72</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31013</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公务用车购置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30302</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退休费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30217</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公务接待费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7.9</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31019</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其他交通工具购置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30303</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退职（役）费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30218</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专用材料费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31021</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文物和陈列品购置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30304</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抚恤金</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22.23</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30224</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被装购置费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31022</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无形资产购置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30305</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生活补助</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30225</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专用燃料费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31099</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其他资本性支出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30306</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救济费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30226</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劳务费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5.27</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30307</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医疗费补助</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7.55</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30227</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委托业务费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7.8</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39906</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赠与</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30308</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助学金</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0.1</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30228</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工会经费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10</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39907</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国家赔偿费用支出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30309</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奖励金</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0.8</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30229</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福利费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39908</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对民间非营利组织和群众性自治组织补贴</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30310</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个人农业生产补贴</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30231</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公务用车运行维护费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19.2</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39999</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30311</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代缴社会保险费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30239</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其他交通费用</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83.11</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30399</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其他对个人和家庭的补助</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10.62</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30240</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税金及附加费用</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30299</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其他商品和服务支出</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22.23</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4183"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人员经费合计</w:t>
            </w:r>
          </w:p>
        </w:tc>
        <w:tc>
          <w:tcPr>
            <w:tcW w:w="120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1118.71</w:t>
            </w:r>
          </w:p>
        </w:tc>
        <w:tc>
          <w:tcPr>
            <w:tcW w:w="9004" w:type="dxa"/>
            <w:gridSpan w:val="5"/>
            <w:tcBorders>
              <w:top w:val="single" w:color="auto" w:sz="4" w:space="0"/>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公用经费合计</w:t>
            </w:r>
          </w:p>
        </w:tc>
        <w:tc>
          <w:tcPr>
            <w:tcW w:w="1331"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258.18</w:t>
            </w:r>
          </w:p>
        </w:tc>
      </w:tr>
      <w:tr>
        <w:tblPrEx>
          <w:tblCellMar>
            <w:top w:w="0" w:type="dxa"/>
            <w:left w:w="108" w:type="dxa"/>
            <w:bottom w:w="0" w:type="dxa"/>
            <w:right w:w="108" w:type="dxa"/>
          </w:tblCellMar>
        </w:tblPrEx>
        <w:trPr>
          <w:trHeight w:val="284" w:hRule="exact"/>
        </w:trPr>
        <w:tc>
          <w:tcPr>
            <w:tcW w:w="15720" w:type="dxa"/>
            <w:gridSpan w:val="9"/>
            <w:tcBorders>
              <w:top w:val="nil"/>
              <w:left w:val="nil"/>
              <w:bottom w:val="nil"/>
              <w:right w:val="nil"/>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注：本表反映部门本年度一般公共预算财政拨款基本支出明细情况。</w:t>
            </w:r>
          </w:p>
        </w:tc>
      </w:tr>
    </w:tbl>
    <w:p>
      <w:pPr>
        <w:widowControl/>
        <w:jc w:val="center"/>
        <w:rPr>
          <w:rFonts w:cs="Times New Roman" w:asciiTheme="minorEastAsia" w:hAnsiTheme="minorEastAsia" w:eastAsiaTheme="minorEastAsia"/>
          <w:color w:val="000000"/>
          <w:kern w:val="0"/>
          <w:sz w:val="32"/>
          <w:szCs w:val="32"/>
        </w:rPr>
      </w:pPr>
      <w:r>
        <w:rPr>
          <w:rFonts w:hint="eastAsia" w:cs="方正小标宋_GBK" w:asciiTheme="minorEastAsia" w:hAnsiTheme="minorEastAsia" w:eastAsiaTheme="minorEastAsia"/>
          <w:color w:val="000000"/>
          <w:kern w:val="0"/>
          <w:sz w:val="32"/>
          <w:szCs w:val="32"/>
        </w:rPr>
        <w:t>一般公共预算财政拨款“三公”经费支出决算表</w:t>
      </w:r>
    </w:p>
    <w:p>
      <w:pPr>
        <w:widowControl/>
        <w:spacing w:line="240" w:lineRule="exact"/>
        <w:ind w:firstLine="315" w:firstLineChars="150"/>
        <w:jc w:val="left"/>
        <w:rPr>
          <w:rFonts w:ascii="Times New Roman" w:hAnsi="Times New Roman" w:eastAsia="仿宋_GB2312" w:cs="仿宋_GB2312"/>
          <w:color w:val="000000"/>
          <w:kern w:val="0"/>
        </w:rPr>
      </w:pPr>
    </w:p>
    <w:p>
      <w:pPr>
        <w:widowControl/>
        <w:spacing w:line="240" w:lineRule="exact"/>
        <w:ind w:firstLine="315" w:firstLineChars="150"/>
        <w:jc w:val="left"/>
        <w:rPr>
          <w:rFonts w:ascii="Times New Roman" w:hAnsi="Times New Roman" w:eastAsia="仿宋_GB2312" w:cs="仿宋_GB2312"/>
          <w:color w:val="000000"/>
          <w:kern w:val="0"/>
        </w:rPr>
      </w:pPr>
    </w:p>
    <w:p>
      <w:pPr>
        <w:widowControl/>
        <w:spacing w:line="240" w:lineRule="exact"/>
        <w:ind w:firstLine="300" w:firstLineChars="150"/>
        <w:jc w:val="lef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部门： 湘潭县水利局                                                                                                                       公开</w:t>
      </w:r>
      <w:r>
        <w:rPr>
          <w:rFonts w:cs="Times New Roman" w:asciiTheme="minorEastAsia" w:hAnsiTheme="minorEastAsia" w:eastAsiaTheme="minorEastAsia"/>
          <w:color w:val="000000"/>
          <w:kern w:val="0"/>
          <w:sz w:val="20"/>
          <w:szCs w:val="20"/>
        </w:rPr>
        <w:t>07</w:t>
      </w:r>
      <w:r>
        <w:rPr>
          <w:rFonts w:hint="eastAsia" w:cs="仿宋_GB2312" w:asciiTheme="minorEastAsia" w:hAnsiTheme="minorEastAsia" w:eastAsiaTheme="minorEastAsia"/>
          <w:color w:val="000000"/>
          <w:kern w:val="0"/>
          <w:sz w:val="20"/>
          <w:szCs w:val="20"/>
        </w:rPr>
        <w:t>表</w:t>
      </w:r>
    </w:p>
    <w:p>
      <w:pPr>
        <w:widowControl/>
        <w:spacing w:line="240" w:lineRule="exact"/>
        <w:ind w:right="420"/>
        <w:jc w:val="righ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w:t>
            </w:r>
          </w:p>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w:t>
            </w:r>
          </w:p>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小计</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购置费</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小计</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购置费</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2</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3</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4</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5</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6</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7</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8</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9</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10</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11</w:t>
            </w:r>
          </w:p>
        </w:tc>
        <w:tc>
          <w:tcPr>
            <w:tcW w:w="122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27.1</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7.9</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27.1</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nil"/>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single" w:color="auto" w:sz="4" w:space="0"/>
              <w:bottom w:val="single" w:color="auto" w:sz="8" w:space="0"/>
              <w:right w:val="single" w:color="auto" w:sz="8"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7.9</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cs="Times New Roman" w:asciiTheme="minorEastAsia" w:hAnsiTheme="minorEastAsia" w:eastAsiaTheme="minorEastAsia"/>
          <w:kern w:val="0"/>
          <w:sz w:val="32"/>
          <w:szCs w:val="32"/>
        </w:rPr>
      </w:pPr>
      <w:r>
        <w:rPr>
          <w:rFonts w:hint="eastAsia" w:cs="方正小标宋_GBK" w:asciiTheme="minorEastAsia" w:hAnsiTheme="minorEastAsia" w:eastAsiaTheme="minorEastAsia"/>
          <w:kern w:val="0"/>
          <w:sz w:val="32"/>
          <w:szCs w:val="32"/>
        </w:rPr>
        <w:t>政府性基金预算财政拨款收入支出决算表</w:t>
      </w:r>
    </w:p>
    <w:p>
      <w:pPr>
        <w:widowControl/>
        <w:spacing w:line="240" w:lineRule="exact"/>
        <w:ind w:right="400"/>
        <w:jc w:val="center"/>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 xml:space="preserve">     部门： 湘潭县水利局                                                                                                             公开</w:t>
      </w:r>
      <w:r>
        <w:rPr>
          <w:rFonts w:cs="Times New Roman" w:asciiTheme="minorEastAsia" w:hAnsiTheme="minorEastAsia" w:eastAsiaTheme="minorEastAsia"/>
          <w:color w:val="000000"/>
          <w:kern w:val="0"/>
          <w:sz w:val="20"/>
          <w:szCs w:val="20"/>
        </w:rPr>
        <w:t>08</w:t>
      </w:r>
      <w:r>
        <w:rPr>
          <w:rFonts w:hint="eastAsia" w:cs="仿宋_GB2312" w:asciiTheme="minorEastAsia" w:hAnsiTheme="minorEastAsia" w:eastAsiaTheme="minorEastAsia"/>
          <w:color w:val="000000"/>
          <w:kern w:val="0"/>
          <w:sz w:val="20"/>
          <w:szCs w:val="20"/>
        </w:rPr>
        <w:t>表</w:t>
      </w:r>
    </w:p>
    <w:p>
      <w:pPr>
        <w:widowControl/>
        <w:spacing w:line="240" w:lineRule="exact"/>
        <w:ind w:right="400"/>
        <w:jc w:val="center"/>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 xml:space="preserve">                                                                                                                                   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2229"/>
        <w:gridCol w:w="1091"/>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w:t>
            </w:r>
          </w:p>
        </w:tc>
        <w:tc>
          <w:tcPr>
            <w:tcW w:w="1091"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年初结转和结余</w:t>
            </w:r>
          </w:p>
        </w:tc>
        <w:tc>
          <w:tcPr>
            <w:tcW w:w="200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本年收入</w:t>
            </w:r>
          </w:p>
        </w:tc>
        <w:tc>
          <w:tcPr>
            <w:tcW w:w="6000" w:type="dxa"/>
            <w:gridSpan w:val="3"/>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本年支出</w:t>
            </w:r>
          </w:p>
        </w:tc>
        <w:tc>
          <w:tcPr>
            <w:tcW w:w="200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功能分类科目编码</w:t>
            </w:r>
          </w:p>
        </w:tc>
        <w:tc>
          <w:tcPr>
            <w:tcW w:w="2229"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科目名称</w:t>
            </w:r>
          </w:p>
        </w:tc>
        <w:tc>
          <w:tcPr>
            <w:tcW w:w="1091" w:type="dxa"/>
            <w:vMerge w:val="continue"/>
            <w:vAlign w:val="center"/>
          </w:tcPr>
          <w:p>
            <w:pPr>
              <w:widowControl/>
              <w:jc w:val="left"/>
              <w:rPr>
                <w:rFonts w:cs="Times New Roman" w:asciiTheme="minorEastAsia" w:hAnsiTheme="minorEastAsia" w:eastAsiaTheme="minorEastAsia"/>
                <w:b/>
                <w:bCs/>
                <w:kern w:val="0"/>
                <w:sz w:val="22"/>
                <w:szCs w:val="22"/>
              </w:rPr>
            </w:pPr>
          </w:p>
        </w:tc>
        <w:tc>
          <w:tcPr>
            <w:tcW w:w="2000" w:type="dxa"/>
            <w:vMerge w:val="continue"/>
            <w:vAlign w:val="center"/>
          </w:tcPr>
          <w:p>
            <w:pPr>
              <w:widowControl/>
              <w:jc w:val="left"/>
              <w:rPr>
                <w:rFonts w:cs="Times New Roman" w:asciiTheme="minorEastAsia" w:hAnsiTheme="minorEastAsia" w:eastAsiaTheme="minorEastAsia"/>
                <w:b/>
                <w:bCs/>
                <w:kern w:val="0"/>
                <w:sz w:val="22"/>
                <w:szCs w:val="22"/>
              </w:rPr>
            </w:pPr>
          </w:p>
        </w:tc>
        <w:tc>
          <w:tcPr>
            <w:tcW w:w="200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小计</w:t>
            </w:r>
          </w:p>
        </w:tc>
        <w:tc>
          <w:tcPr>
            <w:tcW w:w="200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基本支出</w:t>
            </w:r>
          </w:p>
        </w:tc>
        <w:tc>
          <w:tcPr>
            <w:tcW w:w="200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项目支出</w:t>
            </w:r>
          </w:p>
        </w:tc>
        <w:tc>
          <w:tcPr>
            <w:tcW w:w="2000" w:type="dxa"/>
            <w:vMerge w:val="continue"/>
            <w:vAlign w:val="center"/>
          </w:tcPr>
          <w:p>
            <w:pPr>
              <w:widowControl/>
              <w:jc w:val="left"/>
              <w:rPr>
                <w:rFonts w:cs="Times New Roman" w:asciiTheme="minorEastAsia" w:hAnsiTheme="minorEastAsia" w:eastAsiaTheme="minorEastAsia"/>
                <w:b/>
                <w:bCs/>
                <w:kern w:val="0"/>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2229" w:type="dxa"/>
            <w:vMerge w:val="continue"/>
            <w:vAlign w:val="center"/>
          </w:tcPr>
          <w:p>
            <w:pPr>
              <w:widowControl/>
              <w:jc w:val="left"/>
              <w:rPr>
                <w:rFonts w:cs="Times New Roman" w:asciiTheme="minorEastAsia" w:hAnsiTheme="minorEastAsia" w:eastAsiaTheme="minorEastAsia"/>
                <w:kern w:val="0"/>
                <w:sz w:val="22"/>
                <w:szCs w:val="22"/>
              </w:rPr>
            </w:pPr>
          </w:p>
        </w:tc>
        <w:tc>
          <w:tcPr>
            <w:tcW w:w="1091"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2229" w:type="dxa"/>
            <w:vMerge w:val="continue"/>
            <w:vAlign w:val="center"/>
          </w:tcPr>
          <w:p>
            <w:pPr>
              <w:widowControl/>
              <w:jc w:val="left"/>
              <w:rPr>
                <w:rFonts w:cs="Times New Roman" w:asciiTheme="minorEastAsia" w:hAnsiTheme="minorEastAsia" w:eastAsiaTheme="minorEastAsia"/>
                <w:kern w:val="0"/>
                <w:sz w:val="22"/>
                <w:szCs w:val="22"/>
              </w:rPr>
            </w:pPr>
          </w:p>
        </w:tc>
        <w:tc>
          <w:tcPr>
            <w:tcW w:w="1091"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栏次</w:t>
            </w:r>
          </w:p>
        </w:tc>
        <w:tc>
          <w:tcPr>
            <w:tcW w:w="1091"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w:t>
            </w:r>
          </w:p>
        </w:tc>
        <w:tc>
          <w:tcPr>
            <w:tcW w:w="2000"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2</w:t>
            </w:r>
          </w:p>
        </w:tc>
        <w:tc>
          <w:tcPr>
            <w:tcW w:w="2000"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3</w:t>
            </w:r>
          </w:p>
        </w:tc>
        <w:tc>
          <w:tcPr>
            <w:tcW w:w="2000"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4</w:t>
            </w:r>
          </w:p>
        </w:tc>
        <w:tc>
          <w:tcPr>
            <w:tcW w:w="2000"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5</w:t>
            </w:r>
          </w:p>
        </w:tc>
        <w:tc>
          <w:tcPr>
            <w:tcW w:w="2000"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1091"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　</w:t>
            </w:r>
          </w:p>
        </w:tc>
        <w:tc>
          <w:tcPr>
            <w:tcW w:w="2000"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　</w:t>
            </w:r>
          </w:p>
        </w:tc>
        <w:tc>
          <w:tcPr>
            <w:tcW w:w="2000"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　</w:t>
            </w:r>
          </w:p>
        </w:tc>
        <w:tc>
          <w:tcPr>
            <w:tcW w:w="2000"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208　</w:t>
            </w:r>
          </w:p>
        </w:tc>
        <w:tc>
          <w:tcPr>
            <w:tcW w:w="2229"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社会保障和就业支出</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ind w:firstLine="550" w:firstLineChars="250"/>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w:t>
            </w:r>
          </w:p>
        </w:tc>
        <w:tc>
          <w:tcPr>
            <w:tcW w:w="2000" w:type="dxa"/>
            <w:vAlign w:val="center"/>
          </w:tcPr>
          <w:p>
            <w:pPr>
              <w:widowControl/>
              <w:ind w:firstLine="550" w:firstLineChars="250"/>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ind w:firstLine="550" w:firstLineChars="250"/>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w:t>
            </w:r>
          </w:p>
        </w:tc>
        <w:tc>
          <w:tcPr>
            <w:tcW w:w="2229"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大中型水库移民后期扶持基金支出</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4324.86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4324.86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4324.86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2082201</w:t>
            </w:r>
          </w:p>
        </w:tc>
        <w:tc>
          <w:tcPr>
            <w:tcW w:w="2229"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移民补助</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1750.86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1750.86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1750.86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2082202</w:t>
            </w:r>
          </w:p>
        </w:tc>
        <w:tc>
          <w:tcPr>
            <w:tcW w:w="2229"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基础设施建设和经济发展</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2574</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2574</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2574</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229"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229"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bl>
    <w:p>
      <w:pPr>
        <w:widowControl/>
        <w:spacing w:line="240" w:lineRule="exact"/>
        <w:ind w:firstLine="360" w:firstLineChars="150"/>
        <w:jc w:val="left"/>
        <w:rPr>
          <w:rFonts w:cs="Times New Roman"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注：本表反映部门本年度政府性基金预算财政拨款收入、支出及结转和结余情况</w:t>
      </w:r>
    </w:p>
    <w:p>
      <w:pPr>
        <w:widowControl/>
        <w:jc w:val="left"/>
        <w:rPr>
          <w:rFonts w:ascii="黑体" w:hAnsi="黑体" w:eastAsia="黑体" w:cs="Times New Roman"/>
        </w:rPr>
      </w:pPr>
      <w:r>
        <w:rPr>
          <w:rFonts w:ascii="黑体" w:hAnsi="黑体" w:eastAsia="黑体" w:cs="Times New Roman"/>
        </w:rPr>
        <w:br w:type="page"/>
      </w:r>
    </w:p>
    <w:tbl>
      <w:tblPr>
        <w:tblStyle w:val="6"/>
        <w:tblpPr w:leftFromText="180" w:rightFromText="180" w:vertAnchor="text" w:horzAnchor="margin" w:tblpXSpec="center" w:tblpY="121"/>
        <w:tblOverlap w:val="never"/>
        <w:tblW w:w="14592" w:type="dxa"/>
        <w:tblInd w:w="0" w:type="dxa"/>
        <w:tblLayout w:type="autofit"/>
        <w:tblCellMar>
          <w:top w:w="0" w:type="dxa"/>
          <w:left w:w="108" w:type="dxa"/>
          <w:bottom w:w="0" w:type="dxa"/>
          <w:right w:w="108" w:type="dxa"/>
        </w:tblCellMar>
      </w:tblPr>
      <w:tblGrid>
        <w:gridCol w:w="1060"/>
        <w:gridCol w:w="560"/>
        <w:gridCol w:w="1089"/>
        <w:gridCol w:w="506"/>
        <w:gridCol w:w="1225"/>
        <w:gridCol w:w="395"/>
        <w:gridCol w:w="518"/>
        <w:gridCol w:w="707"/>
        <w:gridCol w:w="1000"/>
        <w:gridCol w:w="326"/>
        <w:gridCol w:w="1294"/>
        <w:gridCol w:w="1032"/>
        <w:gridCol w:w="2835"/>
        <w:gridCol w:w="425"/>
        <w:gridCol w:w="1620"/>
      </w:tblGrid>
      <w:tr>
        <w:tblPrEx>
          <w:tblCellMar>
            <w:top w:w="0" w:type="dxa"/>
            <w:left w:w="108" w:type="dxa"/>
            <w:bottom w:w="0" w:type="dxa"/>
            <w:right w:w="108" w:type="dxa"/>
          </w:tblCellMar>
        </w:tblPrEx>
        <w:trPr>
          <w:trHeight w:val="720" w:hRule="atLeast"/>
        </w:trPr>
        <w:tc>
          <w:tcPr>
            <w:tcW w:w="14592" w:type="dxa"/>
            <w:gridSpan w:val="15"/>
            <w:tcBorders>
              <w:top w:val="nil"/>
              <w:left w:val="nil"/>
              <w:bottom w:val="nil"/>
              <w:right w:val="nil"/>
            </w:tcBorders>
            <w:shd w:val="clear" w:color="000000" w:fill="FFFFFF"/>
            <w:vAlign w:val="center"/>
          </w:tcPr>
          <w:p>
            <w:pPr>
              <w:widowControl/>
              <w:jc w:val="center"/>
              <w:rPr>
                <w:rFonts w:cs="Times New Roman" w:asciiTheme="minorEastAsia" w:hAnsiTheme="minorEastAsia" w:eastAsiaTheme="minorEastAsia"/>
                <w:kern w:val="0"/>
                <w:sz w:val="32"/>
                <w:szCs w:val="32"/>
              </w:rPr>
            </w:pPr>
            <w:r>
              <w:rPr>
                <w:rFonts w:hint="eastAsia" w:cs="华文中宋" w:asciiTheme="minorEastAsia" w:hAnsiTheme="minorEastAsia" w:eastAsiaTheme="minorEastAsia"/>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4"/>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3"/>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912" w:type="dxa"/>
            <w:gridSpan w:val="4"/>
            <w:tcBorders>
              <w:top w:val="nil"/>
              <w:left w:val="nil"/>
              <w:bottom w:val="nil"/>
              <w:right w:val="nil"/>
            </w:tcBorders>
            <w:shd w:val="clear" w:color="000000" w:fill="FFFFFF"/>
            <w:noWrap/>
            <w:vAlign w:val="center"/>
          </w:tcPr>
          <w:p>
            <w:pPr>
              <w:widowControl/>
              <w:ind w:right="400" w:firstLine="2800" w:firstLineChars="1400"/>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gridAfter w:val="1"/>
          <w:wAfter w:w="1620" w:type="dxa"/>
          <w:trHeight w:val="285" w:hRule="atLeast"/>
        </w:trPr>
        <w:tc>
          <w:tcPr>
            <w:tcW w:w="3215" w:type="dxa"/>
            <w:gridSpan w:val="4"/>
            <w:tcBorders>
              <w:top w:val="nil"/>
              <w:left w:val="nil"/>
              <w:bottom w:val="nil"/>
              <w:right w:val="nil"/>
            </w:tcBorders>
            <w:shd w:val="clear" w:color="000000" w:fill="FFFFFF"/>
            <w:vAlign w:val="center"/>
          </w:tcPr>
          <w:p>
            <w:pPr>
              <w:widowControl/>
              <w:rPr>
                <w:rFonts w:ascii="宋体" w:cs="Times New Roman"/>
                <w:kern w:val="0"/>
                <w:sz w:val="20"/>
                <w:szCs w:val="20"/>
              </w:rPr>
            </w:pPr>
            <w:r>
              <w:rPr>
                <w:rFonts w:hint="eastAsia" w:ascii="宋体" w:hAnsi="宋体" w:cs="宋体"/>
                <w:kern w:val="0"/>
                <w:sz w:val="20"/>
                <w:szCs w:val="20"/>
              </w:rPr>
              <w:t>部门：湘潭县水利局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4"/>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912" w:type="dxa"/>
            <w:gridSpan w:val="5"/>
            <w:tcBorders>
              <w:top w:val="nil"/>
              <w:left w:val="nil"/>
              <w:bottom w:val="nil"/>
              <w:right w:val="nil"/>
            </w:tcBorders>
            <w:shd w:val="clear" w:color="000000" w:fill="FFFFFF"/>
            <w:noWrap/>
            <w:vAlign w:val="center"/>
          </w:tcPr>
          <w:p>
            <w:pPr>
              <w:widowControl/>
              <w:tabs>
                <w:tab w:val="left" w:pos="5520"/>
              </w:tabs>
              <w:wordWrap w:val="0"/>
              <w:ind w:right="315" w:rightChars="150"/>
              <w:jc w:val="right"/>
              <w:rPr>
                <w:rFonts w:ascii="宋体" w:cs="Times New Roman"/>
                <w:color w:val="000000"/>
                <w:kern w:val="0"/>
                <w:sz w:val="20"/>
                <w:szCs w:val="20"/>
              </w:rPr>
            </w:pPr>
            <w:r>
              <w:rPr>
                <w:rFonts w:hint="eastAsia" w:ascii="宋体" w:hAnsi="宋体" w:cs="宋体"/>
                <w:color w:val="000000"/>
                <w:kern w:val="0"/>
                <w:sz w:val="20"/>
                <w:szCs w:val="20"/>
              </w:rPr>
              <w:t xml:space="preserve">             单位：万元</w:t>
            </w:r>
          </w:p>
        </w:tc>
      </w:tr>
      <w:tr>
        <w:tblPrEx>
          <w:tblCellMar>
            <w:top w:w="0" w:type="dxa"/>
            <w:left w:w="108" w:type="dxa"/>
            <w:bottom w:w="0" w:type="dxa"/>
            <w:right w:w="108" w:type="dxa"/>
          </w:tblCellMar>
        </w:tblPrEx>
        <w:trPr>
          <w:gridAfter w:val="2"/>
          <w:wAfter w:w="2045" w:type="dxa"/>
          <w:trHeight w:val="402" w:hRule="atLeast"/>
        </w:trPr>
        <w:tc>
          <w:tcPr>
            <w:tcW w:w="5353" w:type="dxa"/>
            <w:gridSpan w:val="7"/>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项目</w:t>
            </w:r>
          </w:p>
        </w:tc>
        <w:tc>
          <w:tcPr>
            <w:tcW w:w="7194" w:type="dxa"/>
            <w:gridSpan w:val="6"/>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本年支出</w:t>
            </w:r>
          </w:p>
        </w:tc>
      </w:tr>
      <w:tr>
        <w:tblPrEx>
          <w:tblCellMar>
            <w:top w:w="0" w:type="dxa"/>
            <w:left w:w="108" w:type="dxa"/>
            <w:bottom w:w="0" w:type="dxa"/>
            <w:right w:w="108" w:type="dxa"/>
          </w:tblCellMar>
        </w:tblPrEx>
        <w:trPr>
          <w:gridAfter w:val="2"/>
          <w:wAfter w:w="2045" w:type="dxa"/>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功能分类科目编码</w:t>
            </w:r>
          </w:p>
        </w:tc>
        <w:tc>
          <w:tcPr>
            <w:tcW w:w="2644" w:type="dxa"/>
            <w:gridSpan w:val="4"/>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科目名称</w:t>
            </w:r>
          </w:p>
        </w:tc>
        <w:tc>
          <w:tcPr>
            <w:tcW w:w="2033" w:type="dxa"/>
            <w:gridSpan w:val="3"/>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合计</w:t>
            </w:r>
          </w:p>
        </w:tc>
        <w:tc>
          <w:tcPr>
            <w:tcW w:w="2326"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基本支出</w:t>
            </w:r>
          </w:p>
        </w:tc>
        <w:tc>
          <w:tcPr>
            <w:tcW w:w="2835"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项目支出</w:t>
            </w:r>
          </w:p>
        </w:tc>
      </w:tr>
      <w:tr>
        <w:tblPrEx>
          <w:tblCellMar>
            <w:top w:w="0" w:type="dxa"/>
            <w:left w:w="108" w:type="dxa"/>
            <w:bottom w:w="0" w:type="dxa"/>
            <w:right w:w="108" w:type="dxa"/>
          </w:tblCellMar>
        </w:tblPrEx>
        <w:trPr>
          <w:gridAfter w:val="2"/>
          <w:wAfter w:w="2045" w:type="dxa"/>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644" w:type="dxa"/>
            <w:gridSpan w:val="4"/>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033"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2326"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r>
      <w:tr>
        <w:tblPrEx>
          <w:tblCellMar>
            <w:top w:w="0" w:type="dxa"/>
            <w:left w:w="108" w:type="dxa"/>
            <w:bottom w:w="0" w:type="dxa"/>
            <w:right w:w="108" w:type="dxa"/>
          </w:tblCellMar>
        </w:tblPrEx>
        <w:trPr>
          <w:gridAfter w:val="2"/>
          <w:wAfter w:w="2045" w:type="dxa"/>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644" w:type="dxa"/>
            <w:gridSpan w:val="4"/>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033"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2326"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r>
      <w:tr>
        <w:tblPrEx>
          <w:tblCellMar>
            <w:top w:w="0" w:type="dxa"/>
            <w:left w:w="108" w:type="dxa"/>
            <w:bottom w:w="0" w:type="dxa"/>
            <w:right w:w="108" w:type="dxa"/>
          </w:tblCellMar>
        </w:tblPrEx>
        <w:trPr>
          <w:gridAfter w:val="2"/>
          <w:wAfter w:w="2045" w:type="dxa"/>
          <w:trHeight w:val="402" w:hRule="atLeast"/>
        </w:trPr>
        <w:tc>
          <w:tcPr>
            <w:tcW w:w="5353" w:type="dxa"/>
            <w:gridSpan w:val="7"/>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栏次</w:t>
            </w:r>
          </w:p>
        </w:tc>
        <w:tc>
          <w:tcPr>
            <w:tcW w:w="2033"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2326"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2835"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3</w:t>
            </w:r>
          </w:p>
        </w:tc>
      </w:tr>
      <w:tr>
        <w:tblPrEx>
          <w:tblCellMar>
            <w:top w:w="0" w:type="dxa"/>
            <w:left w:w="108" w:type="dxa"/>
            <w:bottom w:w="0" w:type="dxa"/>
            <w:right w:w="108" w:type="dxa"/>
          </w:tblCellMar>
        </w:tblPrEx>
        <w:trPr>
          <w:gridAfter w:val="2"/>
          <w:wAfter w:w="2045" w:type="dxa"/>
          <w:trHeight w:val="402" w:hRule="atLeast"/>
        </w:trPr>
        <w:tc>
          <w:tcPr>
            <w:tcW w:w="5353" w:type="dxa"/>
            <w:gridSpan w:val="7"/>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合计</w:t>
            </w:r>
          </w:p>
        </w:tc>
        <w:tc>
          <w:tcPr>
            <w:tcW w:w="2033"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p>
        </w:tc>
        <w:tc>
          <w:tcPr>
            <w:tcW w:w="3733" w:type="dxa"/>
            <w:gridSpan w:val="5"/>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r>
              <w:rPr>
                <w:rFonts w:hint="eastAsia"/>
                <w:sz w:val="22"/>
              </w:rPr>
              <w:t>本单位无国有资本经营预算支出</w:t>
            </w:r>
          </w:p>
        </w:tc>
        <w:tc>
          <w:tcPr>
            <w:tcW w:w="2033"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733" w:type="dxa"/>
            <w:gridSpan w:val="5"/>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033" w:type="dxa"/>
            <w:gridSpan w:val="3"/>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326"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835"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2"/>
          <w:wAfter w:w="2045" w:type="dxa"/>
          <w:trHeight w:val="720" w:hRule="atLeast"/>
        </w:trPr>
        <w:tc>
          <w:tcPr>
            <w:tcW w:w="12547" w:type="dxa"/>
            <w:gridSpan w:val="13"/>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10"/>
        <w:rPr>
          <w:rFonts w:cs="Times New Roman"/>
          <w:sz w:val="72"/>
          <w:szCs w:val="72"/>
        </w:rPr>
        <w:sectPr>
          <w:pgSz w:w="16838" w:h="11906" w:orient="landscape"/>
          <w:pgMar w:top="720" w:right="720" w:bottom="720" w:left="720" w:header="851" w:footer="992" w:gutter="0"/>
          <w:cols w:space="425" w:num="1"/>
          <w:docGrid w:type="lines" w:linePitch="312" w:charSpace="0"/>
        </w:sectPr>
      </w:pPr>
      <w:r>
        <w:rPr>
          <w:rFonts w:cs="Times New Roman"/>
          <w:sz w:val="72"/>
          <w:szCs w:val="72"/>
        </w:rPr>
        <w:br w:type="textWrapping" w:clear="all"/>
      </w: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ascii="宋体" w:hAnsi="宋体" w:eastAsia="宋体" w:cs="宋体"/>
          <w:sz w:val="72"/>
          <w:szCs w:val="72"/>
        </w:rPr>
      </w:pPr>
    </w:p>
    <w:p>
      <w:pPr>
        <w:pStyle w:val="10"/>
        <w:ind w:firstLine="3240" w:firstLineChars="450"/>
        <w:rPr>
          <w:rFonts w:ascii="宋体" w:hAnsi="宋体" w:eastAsia="宋体" w:cs="宋体"/>
          <w:sz w:val="72"/>
          <w:szCs w:val="72"/>
        </w:rPr>
      </w:pPr>
      <w:r>
        <w:rPr>
          <w:rFonts w:hint="eastAsia" w:ascii="宋体" w:hAnsi="宋体" w:eastAsia="宋体" w:cs="宋体"/>
          <w:sz w:val="72"/>
          <w:szCs w:val="72"/>
        </w:rPr>
        <w:t>第三部分</w:t>
      </w:r>
    </w:p>
    <w:p>
      <w:pPr>
        <w:pStyle w:val="10"/>
        <w:jc w:val="center"/>
        <w:rPr>
          <w:rFonts w:ascii="宋体" w:hAnsi="宋体" w:eastAsia="宋体" w:cs="宋体"/>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2020年度部门决算情况说明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10"/>
        <w:rPr>
          <w:rFonts w:hAnsi="黑体" w:cs="Times New Roman"/>
          <w:b/>
          <w:bCs/>
          <w:sz w:val="32"/>
          <w:szCs w:val="32"/>
        </w:rPr>
      </w:pPr>
      <w:r>
        <w:rPr>
          <w:rFonts w:hint="eastAsia" w:hAnsi="黑体"/>
          <w:b/>
          <w:bCs/>
          <w:sz w:val="32"/>
          <w:szCs w:val="32"/>
        </w:rPr>
        <w:t>一、收入支出决算总体情况说明</w:t>
      </w:r>
    </w:p>
    <w:p>
      <w:pPr>
        <w:pStyle w:val="10"/>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年度收、支总计22408.39万元。与上年相比，减少5236.47万元，减少18.94</w:t>
      </w:r>
      <w:r>
        <w:rPr>
          <w:rFonts w:ascii="宋体" w:hAnsi="宋体" w:eastAsia="宋体" w:cs="宋体"/>
          <w:sz w:val="32"/>
          <w:szCs w:val="32"/>
        </w:rPr>
        <w:t>%</w:t>
      </w:r>
      <w:r>
        <w:rPr>
          <w:rFonts w:hint="eastAsia" w:ascii="宋体" w:hAnsi="宋体" w:eastAsia="宋体" w:cs="宋体"/>
          <w:sz w:val="32"/>
          <w:szCs w:val="32"/>
        </w:rPr>
        <w:t>，主要是上级部门减少了对水利工程建设、水库维修养护、防汛项目、移民项目的投入。</w:t>
      </w:r>
    </w:p>
    <w:p>
      <w:pPr>
        <w:pStyle w:val="10"/>
        <w:rPr>
          <w:rFonts w:hAnsi="黑体" w:cs="Times New Roman"/>
          <w:b/>
          <w:bCs/>
          <w:sz w:val="32"/>
          <w:szCs w:val="32"/>
        </w:rPr>
      </w:pPr>
      <w:r>
        <w:rPr>
          <w:rFonts w:hint="eastAsia" w:hAnsi="黑体"/>
          <w:b/>
          <w:bCs/>
          <w:sz w:val="32"/>
          <w:szCs w:val="32"/>
        </w:rPr>
        <w:t>二、收入决算情况说明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本年收入合计22408.39万元，其中：财政拨款收入22408.39万元，占100</w:t>
      </w:r>
      <w:r>
        <w:rPr>
          <w:rFonts w:ascii="宋体" w:hAnsi="宋体" w:eastAsia="宋体" w:cs="宋体"/>
          <w:sz w:val="32"/>
          <w:szCs w:val="32"/>
        </w:rPr>
        <w:t>%</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；其他收入0万元，占0</w:t>
      </w:r>
      <w:r>
        <w:rPr>
          <w:rFonts w:ascii="宋体" w:hAnsi="宋体" w:eastAsia="宋体" w:cs="宋体"/>
          <w:sz w:val="32"/>
          <w:szCs w:val="32"/>
        </w:rPr>
        <w:t>%</w:t>
      </w:r>
      <w:r>
        <w:rPr>
          <w:rFonts w:hint="eastAsia" w:ascii="宋体" w:hAnsi="宋体" w:eastAsia="宋体" w:cs="宋体"/>
          <w:sz w:val="32"/>
          <w:szCs w:val="32"/>
        </w:rPr>
        <w:t>。</w:t>
      </w:r>
    </w:p>
    <w:p>
      <w:pPr>
        <w:pStyle w:val="10"/>
        <w:rPr>
          <w:rFonts w:hAnsi="黑体" w:cs="Times New Roman"/>
          <w:b/>
          <w:bCs/>
          <w:sz w:val="32"/>
          <w:szCs w:val="32"/>
        </w:rPr>
      </w:pPr>
      <w:r>
        <w:rPr>
          <w:rFonts w:hint="eastAsia" w:hAnsi="黑体"/>
          <w:b/>
          <w:bCs/>
          <w:sz w:val="32"/>
          <w:szCs w:val="32"/>
        </w:rPr>
        <w:t>三、支出决算情况说明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本年支出合计22408.39万元，其中：基本支出1376.89万元，占6.14</w:t>
      </w:r>
      <w:r>
        <w:rPr>
          <w:rFonts w:ascii="宋体" w:hAnsi="宋体" w:eastAsia="宋体" w:cs="宋体"/>
          <w:sz w:val="32"/>
          <w:szCs w:val="32"/>
        </w:rPr>
        <w:t>%</w:t>
      </w:r>
      <w:r>
        <w:rPr>
          <w:rFonts w:hint="eastAsia" w:ascii="宋体" w:hAnsi="宋体" w:eastAsia="宋体" w:cs="宋体"/>
          <w:sz w:val="32"/>
          <w:szCs w:val="32"/>
        </w:rPr>
        <w:t>；项目支出21031.5万元，占93.86</w:t>
      </w:r>
      <w:r>
        <w:rPr>
          <w:rFonts w:ascii="宋体" w:hAnsi="宋体" w:eastAsia="宋体" w:cs="宋体"/>
          <w:sz w:val="32"/>
          <w:szCs w:val="32"/>
        </w:rPr>
        <w:t>%</w:t>
      </w:r>
      <w:r>
        <w:rPr>
          <w:rFonts w:hint="eastAsia" w:ascii="宋体" w:hAnsi="宋体" w:eastAsia="宋体" w:cs="宋体"/>
          <w:sz w:val="32"/>
          <w:szCs w:val="32"/>
        </w:rPr>
        <w:t>；上缴上级支出0万元，占0</w:t>
      </w:r>
      <w:r>
        <w:rPr>
          <w:rFonts w:ascii="宋体" w:hAnsi="宋体" w:eastAsia="宋体" w:cs="宋体"/>
          <w:sz w:val="32"/>
          <w:szCs w:val="32"/>
        </w:rPr>
        <w:t>%</w:t>
      </w:r>
      <w:r>
        <w:rPr>
          <w:rFonts w:hint="eastAsia" w:ascii="宋体" w:hAnsi="宋体" w:eastAsia="宋体" w:cs="宋体"/>
          <w:sz w:val="32"/>
          <w:szCs w:val="32"/>
        </w:rPr>
        <w:t>；经营支出0万元，占0</w:t>
      </w:r>
      <w:r>
        <w:rPr>
          <w:rFonts w:ascii="宋体" w:hAnsi="宋体" w:eastAsia="宋体" w:cs="宋体"/>
          <w:sz w:val="32"/>
          <w:szCs w:val="32"/>
        </w:rPr>
        <w:t>%</w:t>
      </w:r>
      <w:r>
        <w:rPr>
          <w:rFonts w:hint="eastAsia" w:ascii="宋体" w:hAnsi="宋体" w:eastAsia="宋体" w:cs="宋体"/>
          <w:sz w:val="32"/>
          <w:szCs w:val="32"/>
        </w:rPr>
        <w:t>；对附属单位补助支出0万元，占0</w:t>
      </w:r>
      <w:r>
        <w:rPr>
          <w:rFonts w:ascii="宋体" w:hAnsi="宋体" w:eastAsia="宋体" w:cs="宋体"/>
          <w:sz w:val="32"/>
          <w:szCs w:val="32"/>
        </w:rPr>
        <w:t>%</w:t>
      </w:r>
      <w:r>
        <w:rPr>
          <w:rFonts w:hint="eastAsia" w:ascii="宋体" w:hAnsi="宋体" w:eastAsia="宋体" w:cs="宋体"/>
          <w:sz w:val="32"/>
          <w:szCs w:val="32"/>
        </w:rPr>
        <w:t>。</w:t>
      </w:r>
    </w:p>
    <w:p>
      <w:pPr>
        <w:pStyle w:val="10"/>
        <w:rPr>
          <w:rFonts w:hAnsi="黑体" w:cs="Times New Roman"/>
          <w:b/>
          <w:bCs/>
          <w:sz w:val="32"/>
          <w:szCs w:val="32"/>
        </w:rPr>
      </w:pPr>
      <w:r>
        <w:rPr>
          <w:rFonts w:hint="eastAsia" w:hAnsi="黑体"/>
          <w:b/>
          <w:bCs/>
          <w:sz w:val="32"/>
          <w:szCs w:val="32"/>
        </w:rPr>
        <w:t>四、财政拨款收入支出决算总体情况说明</w:t>
      </w:r>
    </w:p>
    <w:p>
      <w:pPr>
        <w:pStyle w:val="10"/>
        <w:ind w:firstLine="645"/>
        <w:rPr>
          <w:rFonts w:ascii="宋体" w:hAnsi="宋体" w:eastAsia="宋体" w:cs="宋体"/>
          <w:sz w:val="32"/>
          <w:szCs w:val="32"/>
        </w:rPr>
      </w:pPr>
      <w:r>
        <w:rPr>
          <w:rFonts w:ascii="宋体" w:hAnsi="宋体" w:eastAsia="宋体" w:cs="宋体"/>
          <w:sz w:val="32"/>
          <w:szCs w:val="32"/>
        </w:rPr>
        <w:t>2020</w:t>
      </w:r>
      <w:r>
        <w:rPr>
          <w:rFonts w:hint="eastAsia" w:ascii="宋体" w:hAnsi="宋体" w:eastAsia="宋体" w:cs="宋体"/>
          <w:sz w:val="32"/>
          <w:szCs w:val="32"/>
        </w:rPr>
        <w:t>年度财政拨款收、支总计22408.39万元，与上年相比，减少5236.47万元，减少18.94</w:t>
      </w:r>
      <w:r>
        <w:rPr>
          <w:rFonts w:ascii="宋体" w:hAnsi="宋体" w:eastAsia="宋体" w:cs="宋体"/>
          <w:sz w:val="32"/>
          <w:szCs w:val="32"/>
        </w:rPr>
        <w:t>%</w:t>
      </w:r>
      <w:r>
        <w:rPr>
          <w:rFonts w:hint="eastAsia" w:ascii="宋体" w:hAnsi="宋体" w:eastAsia="宋体" w:cs="宋体"/>
          <w:sz w:val="32"/>
          <w:szCs w:val="32"/>
        </w:rPr>
        <w:t>，主要是财政拨款减少了对水利工程建设、水库维修养护、防汛项目、移民项目的投入。</w:t>
      </w:r>
    </w:p>
    <w:p>
      <w:pPr>
        <w:pStyle w:val="10"/>
        <w:rPr>
          <w:rFonts w:hAnsi="黑体" w:cs="Times New Roman"/>
          <w:b/>
          <w:bCs/>
          <w:sz w:val="32"/>
          <w:szCs w:val="32"/>
        </w:rPr>
      </w:pPr>
      <w:r>
        <w:rPr>
          <w:rFonts w:hint="eastAsia" w:hAnsi="黑体"/>
          <w:b/>
          <w:bCs/>
          <w:sz w:val="32"/>
          <w:szCs w:val="32"/>
        </w:rPr>
        <w:t>五、一般公共预算财政拨款支出决算情况说明</w:t>
      </w:r>
    </w:p>
    <w:p>
      <w:pPr>
        <w:pStyle w:val="10"/>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pPr>
        <w:pStyle w:val="10"/>
        <w:ind w:firstLine="800" w:firstLineChars="25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年度财政拨款支出18083.53万元，占本年支出合计的80.7</w:t>
      </w:r>
      <w:r>
        <w:rPr>
          <w:rFonts w:ascii="宋体" w:hAnsi="宋体" w:eastAsia="宋体" w:cs="宋体"/>
          <w:sz w:val="32"/>
          <w:szCs w:val="32"/>
        </w:rPr>
        <w:t>%</w:t>
      </w:r>
      <w:r>
        <w:rPr>
          <w:rFonts w:hint="eastAsia" w:ascii="宋体" w:hAnsi="宋体" w:eastAsia="宋体" w:cs="宋体"/>
          <w:sz w:val="32"/>
          <w:szCs w:val="32"/>
        </w:rPr>
        <w:t>，与上年相比，财政拨款支出减少4988.47万元，减少21.62</w:t>
      </w:r>
      <w:r>
        <w:rPr>
          <w:rFonts w:ascii="宋体" w:hAnsi="宋体" w:eastAsia="宋体" w:cs="宋体"/>
          <w:sz w:val="32"/>
          <w:szCs w:val="32"/>
        </w:rPr>
        <w:t>%</w:t>
      </w:r>
      <w:r>
        <w:rPr>
          <w:rFonts w:hint="eastAsia" w:ascii="宋体" w:hAnsi="宋体" w:eastAsia="宋体" w:cs="宋体"/>
          <w:sz w:val="32"/>
          <w:szCs w:val="32"/>
        </w:rPr>
        <w:t>，主要是因为财政拨款减少了对水利工程建设、水库维修养护、防汛项目的投入。</w:t>
      </w:r>
    </w:p>
    <w:p>
      <w:pPr>
        <w:pStyle w:val="10"/>
        <w:ind w:firstLine="480" w:firstLineChars="15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pPr>
        <w:pStyle w:val="10"/>
        <w:ind w:firstLine="640" w:firstLineChars="200"/>
        <w:rPr>
          <w:rFonts w:ascii="宋体" w:hAnsi="宋体" w:eastAsia="宋体" w:cs="宋体"/>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年度财政拨款支出18083.53万元，主要用于以下方面：一般公共服务（类）支出6万元，占0.03</w:t>
      </w:r>
      <w:r>
        <w:rPr>
          <w:rFonts w:ascii="宋体" w:hAnsi="宋体" w:eastAsia="宋体" w:cs="宋体"/>
          <w:sz w:val="32"/>
          <w:szCs w:val="32"/>
        </w:rPr>
        <w:t>%</w:t>
      </w:r>
      <w:r>
        <w:rPr>
          <w:rFonts w:hint="eastAsia" w:ascii="宋体" w:hAnsi="宋体" w:eastAsia="宋体" w:cs="宋体"/>
          <w:sz w:val="32"/>
          <w:szCs w:val="32"/>
        </w:rPr>
        <w:t>；社会保障和就业支出（类）支出19.18万元，占0.11</w:t>
      </w:r>
      <w:r>
        <w:rPr>
          <w:rFonts w:ascii="宋体" w:hAnsi="宋体" w:eastAsia="宋体" w:cs="宋体"/>
          <w:sz w:val="32"/>
          <w:szCs w:val="32"/>
        </w:rPr>
        <w:t>%;</w:t>
      </w:r>
      <w:r>
        <w:rPr>
          <w:rFonts w:hint="eastAsia" w:ascii="宋体" w:hAnsi="宋体" w:eastAsia="宋体" w:cs="宋体"/>
          <w:sz w:val="32"/>
          <w:szCs w:val="32"/>
        </w:rPr>
        <w:t xml:space="preserve">农林水（类）支出18016.35万元，占99.63 </w:t>
      </w:r>
      <w:r>
        <w:rPr>
          <w:rFonts w:ascii="宋体" w:hAnsi="宋体" w:eastAsia="宋体" w:cs="宋体"/>
          <w:sz w:val="32"/>
          <w:szCs w:val="32"/>
        </w:rPr>
        <w:t>%</w:t>
      </w:r>
      <w:r>
        <w:rPr>
          <w:rFonts w:hint="eastAsia" w:ascii="宋体" w:hAnsi="宋体" w:eastAsia="宋体" w:cs="宋体"/>
          <w:sz w:val="32"/>
          <w:szCs w:val="32"/>
        </w:rPr>
        <w:t>；灾害防治及应急管理支出（类）支出40万元，占 0.22</w:t>
      </w:r>
      <w:r>
        <w:rPr>
          <w:rFonts w:ascii="宋体" w:hAnsi="宋体" w:eastAsia="宋体" w:cs="宋体"/>
          <w:sz w:val="32"/>
          <w:szCs w:val="32"/>
        </w:rPr>
        <w:t>%</w:t>
      </w:r>
      <w:r>
        <w:rPr>
          <w:rFonts w:hint="eastAsia" w:ascii="宋体" w:hAnsi="宋体" w:eastAsia="宋体" w:cs="宋体"/>
          <w:sz w:val="32"/>
          <w:szCs w:val="32"/>
        </w:rPr>
        <w:t xml:space="preserve">；其他（类）支出2万元，占0.01 </w:t>
      </w:r>
      <w:r>
        <w:rPr>
          <w:rFonts w:ascii="宋体" w:hAnsi="宋体" w:eastAsia="宋体" w:cs="宋体"/>
          <w:sz w:val="32"/>
          <w:szCs w:val="32"/>
        </w:rPr>
        <w:t>%</w:t>
      </w:r>
      <w:r>
        <w:rPr>
          <w:rFonts w:hint="eastAsia" w:ascii="宋体" w:hAnsi="宋体" w:eastAsia="宋体" w:cs="宋体"/>
          <w:sz w:val="32"/>
          <w:szCs w:val="32"/>
        </w:rPr>
        <w:t>。</w:t>
      </w:r>
    </w:p>
    <w:p>
      <w:pPr>
        <w:pStyle w:val="10"/>
        <w:ind w:firstLine="640" w:firstLineChars="200"/>
        <w:rPr>
          <w:rFonts w:ascii="宋体" w:hAnsi="宋体" w:eastAsia="宋体" w:cs="Times New Roman"/>
          <w:b/>
          <w:bCs/>
          <w:sz w:val="32"/>
          <w:szCs w:val="32"/>
        </w:rPr>
      </w:pPr>
      <w:r>
        <w:rPr>
          <w:rFonts w:hint="eastAsia" w:ascii="宋体" w:hAnsi="宋体" w:eastAsia="宋体" w:cs="宋体"/>
          <w:b/>
          <w:bCs/>
          <w:sz w:val="32"/>
          <w:szCs w:val="32"/>
        </w:rPr>
        <w:t>（三）财政拨款支出决算具体情况</w:t>
      </w:r>
    </w:p>
    <w:p>
      <w:pPr>
        <w:pStyle w:val="10"/>
        <w:ind w:firstLine="800" w:firstLineChars="25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年度财政拨款支出年初预算数为6509.57万元，支出决算数为18083.53万元，完成年初预算的359.97</w:t>
      </w:r>
      <w:r>
        <w:rPr>
          <w:rFonts w:ascii="宋体" w:hAnsi="宋体" w:eastAsia="宋体" w:cs="宋体"/>
          <w:sz w:val="32"/>
          <w:szCs w:val="32"/>
        </w:rPr>
        <w:t>%</w:t>
      </w:r>
      <w:r>
        <w:rPr>
          <w:rFonts w:hint="eastAsia" w:ascii="宋体" w:hAnsi="宋体" w:eastAsia="宋体" w:cs="宋体"/>
          <w:sz w:val="32"/>
          <w:szCs w:val="32"/>
        </w:rPr>
        <w:t>，其中：</w:t>
      </w:r>
    </w:p>
    <w:p>
      <w:pPr>
        <w:pStyle w:val="10"/>
        <w:ind w:firstLine="800" w:firstLineChars="250"/>
        <w:rPr>
          <w:rFonts w:ascii="宋体" w:hAnsi="宋体" w:eastAsia="宋体" w:cs="宋体"/>
          <w:sz w:val="32"/>
          <w:szCs w:val="32"/>
        </w:rPr>
      </w:pPr>
      <w:r>
        <w:rPr>
          <w:rFonts w:ascii="宋体" w:hAnsi="宋体" w:eastAsia="宋体" w:cs="宋体"/>
          <w:sz w:val="32"/>
          <w:szCs w:val="32"/>
        </w:rPr>
        <w:t>1</w:t>
      </w:r>
      <w:r>
        <w:rPr>
          <w:rFonts w:hint="eastAsia" w:ascii="宋体" w:hAnsi="宋体" w:eastAsia="宋体" w:cs="宋体"/>
          <w:sz w:val="32"/>
          <w:szCs w:val="32"/>
        </w:rPr>
        <w:t>、一般公共服务（类）政府办公厅（室）及相关机构事务（款）一般行政管理事务（项）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年初预算为0万元，支出决算为6万元，决算数大于年初预算数的主要原因是：年中追加局机关正常的行政运行经费;</w:t>
      </w:r>
    </w:p>
    <w:p>
      <w:pPr>
        <w:pStyle w:val="10"/>
        <w:ind w:firstLine="800" w:firstLineChars="250"/>
        <w:rPr>
          <w:rFonts w:ascii="宋体" w:hAnsi="宋体" w:eastAsia="宋体" w:cs="宋体"/>
          <w:sz w:val="32"/>
          <w:szCs w:val="32"/>
        </w:rPr>
      </w:pPr>
      <w:r>
        <w:rPr>
          <w:rFonts w:ascii="宋体" w:hAnsi="宋体" w:eastAsia="宋体" w:cs="宋体"/>
          <w:sz w:val="32"/>
          <w:szCs w:val="32"/>
        </w:rPr>
        <w:t>2</w:t>
      </w:r>
      <w:r>
        <w:rPr>
          <w:rFonts w:hint="eastAsia" w:ascii="宋体" w:hAnsi="宋体" w:eastAsia="宋体" w:cs="宋体"/>
          <w:sz w:val="32"/>
          <w:szCs w:val="32"/>
        </w:rPr>
        <w:t>、社会保障和就业支出（类）抚恤（款）死亡抚恤（项）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年初预算为0万元，支出决算为19.18万元，决算数大于年初预算数的主要原因是：年中有退休干部去世，追加死亡抚恤指标；</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3、农林水支出（类）水利（款）行政运行（项）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ascii="宋体" w:hAnsi="宋体" w:eastAsia="宋体" w:cs="宋体"/>
          <w:sz w:val="32"/>
          <w:szCs w:val="32"/>
        </w:rPr>
        <w:t>1038.59</w:t>
      </w:r>
      <w:r>
        <w:rPr>
          <w:rFonts w:hint="eastAsia" w:ascii="宋体" w:hAnsi="宋体" w:eastAsia="宋体" w:cs="宋体"/>
          <w:sz w:val="32"/>
          <w:szCs w:val="32"/>
        </w:rPr>
        <w:t>万元，支出决算为1124.41万元，完成年初预算的108.26</w:t>
      </w:r>
      <w:r>
        <w:rPr>
          <w:rFonts w:ascii="宋体" w:hAnsi="宋体" w:eastAsia="宋体" w:cs="宋体"/>
          <w:sz w:val="32"/>
          <w:szCs w:val="32"/>
        </w:rPr>
        <w:t>%</w:t>
      </w:r>
      <w:r>
        <w:rPr>
          <w:rFonts w:hint="eastAsia" w:ascii="宋体" w:hAnsi="宋体" w:eastAsia="宋体" w:cs="宋体"/>
          <w:sz w:val="32"/>
          <w:szCs w:val="32"/>
        </w:rPr>
        <w:t>，决算数大于年初预算数的主要原因是：年中追加工资福利、委托业务费等行政运行经费；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4、农林水支出（类）水利（款）一般行政管理事务（项）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年初预算为0万元，支出决算为1078.08万元，决算数大于年初预算数的主要原因是：一是年中追加了其他商品和服务支出等行政管理费用支出，二是调剂了部分水利行业业务管理指标；</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5、农林水支出（类）水利（款）水利行业业务管理（项）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年初预算为1250.49万元，支出决算为921.45万元，完成年初预算的73.68</w:t>
      </w:r>
      <w:r>
        <w:rPr>
          <w:rFonts w:ascii="宋体" w:hAnsi="宋体" w:eastAsia="宋体" w:cs="宋体"/>
          <w:sz w:val="32"/>
          <w:szCs w:val="32"/>
        </w:rPr>
        <w:t>%</w:t>
      </w:r>
      <w:r>
        <w:rPr>
          <w:rFonts w:hint="eastAsia" w:ascii="宋体" w:hAnsi="宋体" w:eastAsia="宋体" w:cs="宋体"/>
          <w:sz w:val="32"/>
          <w:szCs w:val="32"/>
        </w:rPr>
        <w:t>，决算数小于年初预算数的主要原因是：部分水利行业业务管理指标调剂到一般行政管理</w:t>
      </w:r>
      <w:bookmarkStart w:id="3" w:name="_GoBack"/>
      <w:bookmarkEnd w:id="3"/>
      <w:r>
        <w:rPr>
          <w:rFonts w:hint="eastAsia" w:ascii="宋体" w:hAnsi="宋体" w:eastAsia="宋体" w:cs="宋体"/>
          <w:sz w:val="32"/>
          <w:szCs w:val="32"/>
          <w:lang w:eastAsia="zh-CN"/>
        </w:rPr>
        <w:t>事务</w:t>
      </w:r>
      <w:r>
        <w:rPr>
          <w:rFonts w:hint="eastAsia" w:ascii="宋体" w:hAnsi="宋体" w:eastAsia="宋体" w:cs="宋体"/>
          <w:sz w:val="32"/>
          <w:szCs w:val="32"/>
        </w:rPr>
        <w:t>使用；</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6、农林水支出（类）水利（款）水利工程建设（项）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年初预算为3478.08万元，支出决算为10654.86万元，完成年初预算的306.34</w:t>
      </w:r>
      <w:r>
        <w:rPr>
          <w:rFonts w:ascii="宋体" w:hAnsi="宋体" w:eastAsia="宋体" w:cs="宋体"/>
          <w:sz w:val="32"/>
          <w:szCs w:val="32"/>
        </w:rPr>
        <w:t>%</w:t>
      </w:r>
      <w:r>
        <w:rPr>
          <w:rFonts w:hint="eastAsia" w:ascii="宋体" w:hAnsi="宋体" w:eastAsia="宋体" w:cs="宋体"/>
          <w:sz w:val="32"/>
          <w:szCs w:val="32"/>
        </w:rPr>
        <w:t>，决算数大于年初预算数的主要原因是：上级安排水利工程建设项目资金投入；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7、农林水支出（类）水利（款）水利工程运行与维护（项）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年初预算为369.4万元，支出决算为2457.79万元，完成年初预算的665.35</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，决算数大于年初预算数的主要原因是：上级增加了水利工程运行与维护项目资金投入；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8、农林水支出（类）水利（款）水利前期工作（项）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年初预算为0万元，支出决算为121.03万元，决算数大于年初预算数的主要原因是：年中追加水利前期工作经费；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9、农林水支出（类）水利（款）水利执法监督（项）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年初预算为70万元，支出决算为112.64万元，完成年初预算的160.91</w:t>
      </w:r>
      <w:r>
        <w:rPr>
          <w:rFonts w:ascii="宋体" w:hAnsi="宋体" w:eastAsia="宋体" w:cs="宋体"/>
          <w:sz w:val="32"/>
          <w:szCs w:val="32"/>
        </w:rPr>
        <w:t>%</w:t>
      </w:r>
      <w:r>
        <w:rPr>
          <w:rFonts w:hint="eastAsia" w:ascii="宋体" w:hAnsi="宋体" w:eastAsia="宋体" w:cs="宋体"/>
          <w:sz w:val="32"/>
          <w:szCs w:val="32"/>
        </w:rPr>
        <w:t>，决算数大于年初预算数的主要原因是：依据复杂的执法环境，财政加强了水利执法工作的经费投入；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10、农林水支出（类）水利（款）水资源节约管理与保护（项）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年初预算为18万元，支出决算为9.5万元，完成年初预算的52.78</w:t>
      </w:r>
      <w:r>
        <w:rPr>
          <w:rFonts w:ascii="宋体" w:hAnsi="宋体" w:eastAsia="宋体" w:cs="宋体"/>
          <w:sz w:val="32"/>
          <w:szCs w:val="32"/>
        </w:rPr>
        <w:t>%</w:t>
      </w:r>
      <w:r>
        <w:rPr>
          <w:rFonts w:hint="eastAsia" w:ascii="宋体" w:hAnsi="宋体" w:eastAsia="宋体" w:cs="宋体"/>
          <w:sz w:val="32"/>
          <w:szCs w:val="32"/>
        </w:rPr>
        <w:t>，决算数小于年初预算数的主要原因是：水资源节约管理和保护工作在使用完成的情况下结余了经费；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11、农林水支出（类）水利（款）水质监测（项）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年初预算为95万元，支出决算为95万元，完成年初预算的100</w:t>
      </w:r>
      <w:r>
        <w:rPr>
          <w:rFonts w:ascii="宋体" w:hAnsi="宋体" w:eastAsia="宋体" w:cs="宋体"/>
          <w:sz w:val="32"/>
          <w:szCs w:val="32"/>
        </w:rPr>
        <w:t>%</w:t>
      </w:r>
      <w:r>
        <w:rPr>
          <w:rFonts w:hint="eastAsia" w:ascii="宋体" w:hAnsi="宋体" w:eastAsia="宋体" w:cs="宋体"/>
          <w:sz w:val="32"/>
          <w:szCs w:val="32"/>
        </w:rPr>
        <w:t>，决算数等于年初预算数的主要原因是：此项目按年初预算稳步实施；</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12、农林水支出（类）水利（款）防汛（项）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年初预算为0万元，支出决算为380.32万元，决算数大于年初预算数的主要原因是：上级增加了防汛项目资金投入；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13、农林水支出（类）水利（款）抗旱（项）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年初预算为0万元，支出决算为80万元，决算数大于年初预算数的主要原因是：上级增加了抗旱项目资金投入；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14、农林水支出（类）水利（款）农田水利（项）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年初预算为0万元，支出决算为52万元，决算数大于年初预算数的主要原因是：上级增加了农田水利项目资金投入；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15、农林水支出（类）水利（款）大中型水库移民后期扶持专项支出（项）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年初预算为90万元，支出决算为11万元，完成年初预算的12.22</w:t>
      </w:r>
      <w:r>
        <w:rPr>
          <w:rFonts w:ascii="宋体" w:hAnsi="宋体" w:eastAsia="宋体" w:cs="宋体"/>
          <w:sz w:val="32"/>
          <w:szCs w:val="32"/>
        </w:rPr>
        <w:t>%</w:t>
      </w:r>
      <w:r>
        <w:rPr>
          <w:rFonts w:hint="eastAsia" w:ascii="宋体" w:hAnsi="宋体" w:eastAsia="宋体" w:cs="宋体"/>
          <w:sz w:val="32"/>
          <w:szCs w:val="32"/>
        </w:rPr>
        <w:t>，决算数小于年初预算数的主要原因是：跨年度实施，在以后年度支付；</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16、农林水支出（类）水利（款）农村人畜饮水（项）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年初预算为0万元，支出决算为313.6万元，决算数大于年初预算数的主要原因是：上级增加了农村安全饮水项目资金投入；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17、农林水支出（类）水利（款）其他水利支出（项）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年初预算为0万元，支出决算为7.67万元，决算数大于年初预算数的主要原因是：上级增加了其他水利项目投入；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18、农林水支出（类）扶贫（款）农村基础设施建设（项）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年初预算为0万元，支出决算为140万元，决算数大于年初预算数的主要原因是：上级增拨了农村基础设施建设资金；</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19、农林水支出（类）扶贫（款）其他扶贫支出（项）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年初预算为0万元，支出决算为457万元，决算数大于年初预算数的主要原因是：上级增拨了其他扶贫资金；</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20、灾害防治及应急管理支出（类）自然灾害防治（款）其他自然灾害防治支出（项）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年初预算为0万元，支出决算为40万元，决算数大于年初预算数的主要原因是：上级安排了山洪灾害防治资金40万元。</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21、农林水支出（类）水利（款）其他支出（项）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年初预算为0万元，支出决算为2万元，决算数大于年初预算数的主要原因是：上级安排了其他支出资金2万元。</w:t>
      </w:r>
    </w:p>
    <w:p>
      <w:pPr>
        <w:pStyle w:val="10"/>
        <w:rPr>
          <w:rFonts w:hAnsi="黑体" w:cs="Times New Roman"/>
          <w:b/>
          <w:bCs/>
          <w:sz w:val="32"/>
          <w:szCs w:val="32"/>
        </w:rPr>
      </w:pPr>
      <w:r>
        <w:rPr>
          <w:rFonts w:hint="eastAsia" w:hAnsi="黑体"/>
          <w:b/>
          <w:bCs/>
          <w:sz w:val="32"/>
          <w:szCs w:val="32"/>
        </w:rPr>
        <w:t>六、一般公共预算财政拨款基本支出决算情况说明</w:t>
      </w:r>
    </w:p>
    <w:p>
      <w:pPr>
        <w:autoSpaceDE w:val="0"/>
        <w:autoSpaceDN w:val="0"/>
        <w:ind w:firstLine="640" w:firstLineChars="200"/>
        <w:jc w:val="left"/>
        <w:rPr>
          <w:rFonts w:ascii="宋体" w:hAnsi="宋体" w:cs="宋体"/>
          <w:color w:val="000000"/>
          <w:kern w:val="0"/>
          <w:sz w:val="32"/>
          <w:szCs w:val="32"/>
        </w:rPr>
      </w:pPr>
      <w:r>
        <w:rPr>
          <w:rFonts w:ascii="宋体" w:hAnsi="宋体" w:cs="宋体"/>
          <w:color w:val="000000"/>
          <w:kern w:val="0"/>
          <w:sz w:val="32"/>
          <w:szCs w:val="32"/>
        </w:rPr>
        <w:t>20</w:t>
      </w:r>
      <w:r>
        <w:rPr>
          <w:rFonts w:hint="eastAsia" w:ascii="宋体" w:hAnsi="宋体" w:cs="宋体"/>
          <w:color w:val="000000"/>
          <w:kern w:val="0"/>
          <w:sz w:val="32"/>
          <w:szCs w:val="32"/>
        </w:rPr>
        <w:t>20年度财政拨款基本支出1376.89万元，其中：人员经费1118.71万元，占基本支出的81.25</w:t>
      </w:r>
      <w:r>
        <w:rPr>
          <w:rFonts w:ascii="宋体" w:hAnsi="宋体" w:cs="宋体"/>
          <w:color w:val="000000"/>
          <w:kern w:val="0"/>
          <w:sz w:val="32"/>
          <w:szCs w:val="32"/>
        </w:rPr>
        <w:t>%,</w:t>
      </w:r>
      <w:r>
        <w:rPr>
          <w:rFonts w:hint="eastAsia" w:ascii="宋体" w:hAnsi="宋体" w:cs="宋体"/>
          <w:color w:val="000000"/>
          <w:kern w:val="0"/>
          <w:sz w:val="32"/>
          <w:szCs w:val="32"/>
        </w:rPr>
        <w:t>主要包括基本工资、津贴补贴、奖金、伙食补助费等；公用经费258.18万元，占基本支出的18.75</w:t>
      </w:r>
      <w:r>
        <w:rPr>
          <w:rFonts w:ascii="宋体" w:hAnsi="宋体" w:cs="宋体"/>
          <w:color w:val="000000"/>
          <w:kern w:val="0"/>
          <w:sz w:val="32"/>
          <w:szCs w:val="32"/>
        </w:rPr>
        <w:t>%</w:t>
      </w:r>
      <w:r>
        <w:rPr>
          <w:rFonts w:hint="eastAsia" w:ascii="宋体" w:hAnsi="宋体" w:cs="宋体"/>
          <w:color w:val="000000"/>
          <w:kern w:val="0"/>
          <w:sz w:val="32"/>
          <w:szCs w:val="32"/>
        </w:rPr>
        <w:t>，主要包括办公费、印刷费、咨询费、委托业务费等。</w:t>
      </w:r>
    </w:p>
    <w:p>
      <w:pPr>
        <w:pStyle w:val="10"/>
        <w:rPr>
          <w:rFonts w:hAnsi="黑体" w:cs="Times New Roman"/>
          <w:b/>
          <w:bCs/>
          <w:sz w:val="32"/>
          <w:szCs w:val="32"/>
        </w:rPr>
      </w:pPr>
      <w:r>
        <w:rPr>
          <w:rFonts w:hint="eastAsia" w:hAnsi="黑体"/>
          <w:b/>
          <w:bCs/>
          <w:sz w:val="32"/>
          <w:szCs w:val="32"/>
        </w:rPr>
        <w:t>七、一般公共预算财政拨款三公经费支出决算情况说明</w:t>
      </w:r>
    </w:p>
    <w:p>
      <w:pPr>
        <w:pStyle w:val="10"/>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“三公”经费财政拨款支出预算为27.1万元，支出决算为27.1万元，完成预算的100</w:t>
      </w:r>
      <w:r>
        <w:rPr>
          <w:rFonts w:ascii="宋体" w:hAnsi="宋体" w:eastAsia="宋体" w:cs="宋体"/>
          <w:sz w:val="32"/>
          <w:szCs w:val="32"/>
        </w:rPr>
        <w:t>%</w:t>
      </w:r>
      <w:r>
        <w:rPr>
          <w:rFonts w:hint="eastAsia" w:ascii="宋体" w:hAnsi="宋体" w:eastAsia="宋体" w:cs="宋体"/>
          <w:sz w:val="32"/>
          <w:szCs w:val="32"/>
        </w:rPr>
        <w:t>，其中：</w:t>
      </w:r>
    </w:p>
    <w:p>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因公出国（境）费支出预算为0万元，支出决算为0万元，完成预算的0</w:t>
      </w:r>
      <w:r>
        <w:rPr>
          <w:rFonts w:ascii="宋体" w:hAnsi="宋体" w:eastAsia="宋体" w:cs="宋体"/>
          <w:sz w:val="32"/>
          <w:szCs w:val="32"/>
        </w:rPr>
        <w:t>%</w:t>
      </w:r>
      <w:r>
        <w:rPr>
          <w:rFonts w:hint="eastAsia" w:ascii="宋体" w:hAnsi="宋体" w:eastAsia="宋体" w:cs="宋体"/>
          <w:sz w:val="32"/>
          <w:szCs w:val="32"/>
        </w:rPr>
        <w:t>。</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公务接待费支出预算为7.9万元，支出决算为7.9万元，完成预算的100</w:t>
      </w:r>
      <w:r>
        <w:rPr>
          <w:rFonts w:ascii="宋体" w:hAnsi="宋体" w:eastAsia="宋体" w:cs="宋体"/>
          <w:sz w:val="32"/>
          <w:szCs w:val="32"/>
        </w:rPr>
        <w:t>%</w:t>
      </w:r>
      <w:r>
        <w:rPr>
          <w:rFonts w:hint="eastAsia" w:ascii="宋体" w:hAnsi="宋体" w:eastAsia="宋体" w:cs="宋体"/>
          <w:sz w:val="32"/>
          <w:szCs w:val="32"/>
        </w:rPr>
        <w:t>，决算数等于预算数的主要原因是单位厉行节约，严格遵守八项规定，没有铺张浪费和超标；与上年相比1.86万元，增加30.79</w:t>
      </w:r>
      <w:r>
        <w:rPr>
          <w:rFonts w:ascii="宋体" w:hAnsi="宋体" w:eastAsia="宋体" w:cs="宋体"/>
          <w:sz w:val="32"/>
          <w:szCs w:val="32"/>
        </w:rPr>
        <w:t>%,</w:t>
      </w:r>
      <w:r>
        <w:rPr>
          <w:rFonts w:hint="eastAsia" w:ascii="宋体" w:hAnsi="宋体" w:eastAsia="宋体" w:cs="宋体"/>
          <w:sz w:val="32"/>
          <w:szCs w:val="32"/>
        </w:rPr>
        <w:t>增加的主要原因是上级检查较多，相应增加接待费用。</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公务用车购置费及运行维护费支出预算为19.2万元，支出决算为19.2万元，完成预算的100</w:t>
      </w:r>
      <w:r>
        <w:rPr>
          <w:rFonts w:ascii="宋体" w:hAnsi="宋体" w:eastAsia="宋体" w:cs="宋体"/>
          <w:sz w:val="32"/>
          <w:szCs w:val="32"/>
        </w:rPr>
        <w:t>%</w:t>
      </w:r>
      <w:r>
        <w:rPr>
          <w:rFonts w:hint="eastAsia" w:ascii="宋体" w:hAnsi="宋体" w:eastAsia="宋体" w:cs="宋体"/>
          <w:sz w:val="32"/>
          <w:szCs w:val="32"/>
        </w:rPr>
        <w:t>，决算数等于年初预算数，与上年相比增加7.2万元，增长60</w:t>
      </w:r>
      <w:r>
        <w:rPr>
          <w:rFonts w:ascii="宋体" w:hAnsi="宋体" w:eastAsia="宋体" w:cs="宋体"/>
          <w:sz w:val="32"/>
          <w:szCs w:val="32"/>
        </w:rPr>
        <w:t>%,</w:t>
      </w:r>
      <w:r>
        <w:rPr>
          <w:rFonts w:hint="eastAsia" w:ascii="宋体" w:hAnsi="宋体" w:eastAsia="宋体" w:cs="宋体"/>
          <w:sz w:val="32"/>
          <w:szCs w:val="32"/>
        </w:rPr>
        <w:t>增长的主要原因是上年度纳入决算的只有2台公车，今年纳入决算有4台公车。</w:t>
      </w:r>
    </w:p>
    <w:p>
      <w:pPr>
        <w:pStyle w:val="10"/>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0"/>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年度“三公”经费财政拨款支出决算中，公务接待费支出决算7.9万元，占29.15</w:t>
      </w:r>
      <w:r>
        <w:rPr>
          <w:rFonts w:ascii="宋体" w:hAnsi="宋体" w:eastAsia="宋体" w:cs="宋体"/>
          <w:sz w:val="32"/>
          <w:szCs w:val="32"/>
        </w:rPr>
        <w:t>%,</w:t>
      </w:r>
      <w:r>
        <w:rPr>
          <w:rFonts w:hint="eastAsia" w:ascii="宋体" w:hAnsi="宋体" w:eastAsia="宋体" w:cs="宋体"/>
          <w:sz w:val="32"/>
          <w:szCs w:val="32"/>
        </w:rPr>
        <w:t>因公出国（境）费支出决算0万元，占0</w:t>
      </w:r>
      <w:r>
        <w:rPr>
          <w:rFonts w:ascii="宋体" w:hAnsi="宋体" w:eastAsia="宋体" w:cs="宋体"/>
          <w:sz w:val="32"/>
          <w:szCs w:val="32"/>
        </w:rPr>
        <w:t>%,</w:t>
      </w:r>
      <w:r>
        <w:rPr>
          <w:rFonts w:hint="eastAsia" w:ascii="宋体" w:hAnsi="宋体" w:eastAsia="宋体" w:cs="宋体"/>
          <w:sz w:val="32"/>
          <w:szCs w:val="32"/>
        </w:rPr>
        <w:t>公务用车购置费及运行维护费支出决算19.2万元，占70.85</w:t>
      </w:r>
      <w:r>
        <w:rPr>
          <w:rFonts w:ascii="宋体" w:hAnsi="宋体" w:eastAsia="宋体" w:cs="宋体"/>
          <w:sz w:val="32"/>
          <w:szCs w:val="32"/>
        </w:rPr>
        <w:t>%</w:t>
      </w:r>
      <w:r>
        <w:rPr>
          <w:rFonts w:hint="eastAsia" w:ascii="宋体" w:hAnsi="宋体" w:eastAsia="宋体" w:cs="宋体"/>
          <w:sz w:val="32"/>
          <w:szCs w:val="32"/>
        </w:rPr>
        <w:t>。其中：</w:t>
      </w:r>
    </w:p>
    <w:p>
      <w:pPr>
        <w:pStyle w:val="10"/>
        <w:ind w:firstLine="640" w:firstLineChars="20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、因公出国（境）费支出决算为0万元，全年安排因公出国（境）团组0个，累计0人次。</w:t>
      </w:r>
    </w:p>
    <w:p>
      <w:pPr>
        <w:pStyle w:val="10"/>
        <w:ind w:firstLine="640" w:firstLineChars="20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、公务接待费支出决算为7.9万元，全年共接待来访团组187个、来宾1975人次，主要是上级考察、检查、调研、友邻县市区相互交流学习发生的接待支出。</w:t>
      </w:r>
    </w:p>
    <w:p>
      <w:pPr>
        <w:ind w:firstLine="640" w:firstLineChars="20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、公务用车购置费及运行维护费支出决算为19.2万元，其中：车辆购置数0辆，公务用车购置费0万元</w:t>
      </w:r>
      <w:r>
        <w:rPr>
          <w:rFonts w:hint="eastAsia" w:ascii="宋体" w:hAnsi="宋体" w:cs="宋体"/>
          <w:color w:val="000000"/>
          <w:sz w:val="32"/>
          <w:szCs w:val="32"/>
        </w:rPr>
        <w:t>。</w:t>
      </w:r>
      <w:r>
        <w:rPr>
          <w:rFonts w:hint="eastAsia" w:ascii="宋体" w:hAnsi="宋体" w:cs="宋体"/>
          <w:sz w:val="32"/>
          <w:szCs w:val="32"/>
        </w:rPr>
        <w:t>公务用车运行维护费19.2万元，主要是车辆加油、维修保养、购买保险的支出，截止</w:t>
      </w:r>
      <w:r>
        <w:rPr>
          <w:rFonts w:ascii="宋体" w:hAnsi="宋体" w:cs="宋体"/>
          <w:sz w:val="32"/>
          <w:szCs w:val="32"/>
        </w:rPr>
        <w:t>2020</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日，我单位开支财政拨款的公务用车保有量为4辆。</w:t>
      </w:r>
    </w:p>
    <w:p>
      <w:pPr>
        <w:pStyle w:val="10"/>
        <w:rPr>
          <w:rFonts w:hAnsi="黑体" w:cs="Times New Roman"/>
          <w:b/>
          <w:bCs/>
          <w:sz w:val="32"/>
          <w:szCs w:val="32"/>
        </w:rPr>
      </w:pPr>
      <w:r>
        <w:rPr>
          <w:rFonts w:hint="eastAsia" w:hAnsi="黑体"/>
          <w:b/>
          <w:bCs/>
          <w:sz w:val="32"/>
          <w:szCs w:val="32"/>
        </w:rPr>
        <w:t>八、政府性基金预算收入支出决算情况</w:t>
      </w:r>
    </w:p>
    <w:p>
      <w:pPr>
        <w:pStyle w:val="10"/>
        <w:rPr>
          <w:rFonts w:ascii="宋体" w:hAnsi="宋体" w:eastAsia="宋体" w:cs="Times New Roman"/>
          <w:i/>
          <w:iCs/>
          <w:color w:val="FF0000"/>
          <w:sz w:val="32"/>
          <w:szCs w:val="32"/>
        </w:rPr>
      </w:pPr>
      <w:r>
        <w:rPr>
          <w:rFonts w:ascii="宋体" w:hAnsi="宋体" w:eastAsia="宋体" w:cs="宋体"/>
          <w:sz w:val="32"/>
          <w:szCs w:val="32"/>
        </w:rPr>
        <w:t xml:space="preserve">    </w:t>
      </w:r>
      <w:r>
        <w:rPr>
          <w:rFonts w:ascii="宋体" w:hAnsi="宋体" w:eastAsia="宋体" w:cs="宋体"/>
          <w:color w:val="auto"/>
          <w:kern w:val="2"/>
          <w:sz w:val="32"/>
          <w:szCs w:val="32"/>
        </w:rPr>
        <w:t xml:space="preserve"> 2020</w:t>
      </w:r>
      <w:r>
        <w:rPr>
          <w:rFonts w:hint="eastAsia" w:ascii="宋体" w:hAnsi="宋体" w:eastAsia="宋体" w:cs="宋体"/>
          <w:color w:val="auto"/>
          <w:kern w:val="2"/>
          <w:sz w:val="32"/>
          <w:szCs w:val="32"/>
        </w:rPr>
        <w:t>年度政府性基金预算财政拨款收入4324.86万元；年初结转和结余0万元；支出4324.86万元，其中基本支出0万元，项目支出4324.86万元；年末结转和结余0万元。</w:t>
      </w:r>
    </w:p>
    <w:p>
      <w:pPr>
        <w:pStyle w:val="10"/>
        <w:rPr>
          <w:rFonts w:hint="eastAsia" w:hAnsi="黑体"/>
          <w:b/>
          <w:bCs/>
          <w:sz w:val="32"/>
          <w:szCs w:val="32"/>
        </w:rPr>
      </w:pPr>
      <w:r>
        <w:rPr>
          <w:rFonts w:hint="eastAsia" w:hAnsi="黑体"/>
          <w:b/>
          <w:bCs/>
          <w:sz w:val="32"/>
          <w:szCs w:val="32"/>
        </w:rPr>
        <w:t>九、国有资本经营预算财政拨款支出决算情况</w:t>
      </w:r>
    </w:p>
    <w:p>
      <w:pPr>
        <w:pStyle w:val="10"/>
        <w:ind w:firstLine="640" w:firstLineChars="200"/>
        <w:rPr>
          <w:rFonts w:hint="eastAsia" w:ascii="宋体" w:hAnsi="宋体" w:eastAsia="宋体" w:cs="宋体"/>
          <w:color w:val="auto"/>
          <w:kern w:val="2"/>
          <w:sz w:val="32"/>
          <w:szCs w:val="32"/>
        </w:rPr>
      </w:pPr>
      <w:r>
        <w:rPr>
          <w:rFonts w:hint="eastAsia" w:ascii="宋体" w:hAnsi="宋体" w:eastAsia="宋体" w:cs="宋体"/>
          <w:color w:val="auto"/>
          <w:kern w:val="2"/>
          <w:sz w:val="32"/>
          <w:szCs w:val="32"/>
        </w:rPr>
        <w:t>本单位无国有资本经营预算支出。</w:t>
      </w:r>
    </w:p>
    <w:p>
      <w:pPr>
        <w:pStyle w:val="10"/>
        <w:rPr>
          <w:rFonts w:hAnsi="黑体"/>
          <w:b/>
          <w:bCs/>
          <w:sz w:val="32"/>
          <w:szCs w:val="32"/>
        </w:rPr>
      </w:pPr>
      <w:r>
        <w:rPr>
          <w:rFonts w:hint="eastAsia" w:hAnsi="黑体"/>
          <w:b/>
          <w:bCs/>
          <w:sz w:val="32"/>
          <w:szCs w:val="32"/>
        </w:rPr>
        <w:t>十、关于机关运行经费支出说明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2020</w:t>
      </w:r>
      <w:r>
        <w:rPr>
          <w:rFonts w:hint="eastAsia" w:ascii="宋体" w:hAnsi="宋体" w:eastAsia="宋体" w:cs="宋体"/>
          <w:sz w:val="32"/>
          <w:szCs w:val="32"/>
        </w:rPr>
        <w:t>年度机关运行经费支出</w:t>
      </w:r>
      <w:r>
        <w:rPr>
          <w:rFonts w:ascii="宋体" w:hAnsi="宋体" w:eastAsia="宋体" w:cs="宋体"/>
          <w:sz w:val="32"/>
          <w:szCs w:val="32"/>
        </w:rPr>
        <w:t>258.18</w:t>
      </w:r>
      <w:r>
        <w:rPr>
          <w:rFonts w:hint="eastAsia" w:ascii="宋体" w:hAnsi="宋体" w:eastAsia="宋体" w:cs="宋体"/>
          <w:sz w:val="32"/>
          <w:szCs w:val="32"/>
        </w:rPr>
        <w:t>万元，比年初预算数增加149.5万元，增长137.55</w:t>
      </w:r>
      <w:r>
        <w:rPr>
          <w:rFonts w:ascii="宋体" w:hAnsi="宋体" w:eastAsia="宋体" w:cs="宋体"/>
          <w:sz w:val="32"/>
          <w:szCs w:val="32"/>
        </w:rPr>
        <w:t>%</w:t>
      </w:r>
      <w:r>
        <w:rPr>
          <w:rFonts w:hint="eastAsia" w:ascii="宋体" w:hAnsi="宋体" w:eastAsia="宋体" w:cs="宋体"/>
          <w:sz w:val="32"/>
          <w:szCs w:val="32"/>
        </w:rPr>
        <w:t>。主要原因是：增加了办公费、印刷费、差旅费、委托业务费的支出。</w:t>
      </w:r>
    </w:p>
    <w:p>
      <w:pPr>
        <w:pStyle w:val="10"/>
        <w:rPr>
          <w:rFonts w:hAnsi="黑体" w:cs="Times New Roman"/>
          <w:b/>
          <w:bCs/>
          <w:sz w:val="32"/>
          <w:szCs w:val="32"/>
        </w:rPr>
      </w:pPr>
      <w:r>
        <w:rPr>
          <w:rFonts w:hint="eastAsia" w:hAnsi="黑体"/>
          <w:b/>
          <w:bCs/>
          <w:sz w:val="32"/>
          <w:szCs w:val="32"/>
        </w:rPr>
        <w:t>十一、一般性支出情况</w:t>
      </w:r>
    </w:p>
    <w:p>
      <w:pPr>
        <w:pStyle w:val="10"/>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本部门开支会议费0万元；开支培训费0.3万元，用于开展安全生产培训，人数70人，内容为2020年度安全生产培训；开支培训费0.42万元，用于开展法律知识培训，人数70人，内容为2020年度法律知识培训；开支培训费0.4万元，用于开展交通和消防安全培训，人数70人，内容为2020年度交通和消防安全培训；开支培训费0.8万元，用于取水核查登记培训，人数200人，内容为2020年度取水核查登记培训；开支培训费0.4万元，用于河长制工作培训，人数150人，内容为2020年度河长制考核细则和工作要点培训；开支培训费0.4万元，用于水利执法工作培训，人数70人，内容为水利执法步骤和注意事项培训。无</w:t>
      </w:r>
      <w:r>
        <w:rPr>
          <w:rFonts w:ascii="宋体" w:hAnsi="宋体" w:eastAsia="宋体" w:cs="宋体"/>
          <w:sz w:val="32"/>
          <w:szCs w:val="32"/>
        </w:rPr>
        <w:t>举办节庆、晚会、论坛、赛事活动，开支</w:t>
      </w:r>
      <w:r>
        <w:rPr>
          <w:rFonts w:hint="eastAsia" w:ascii="宋体" w:hAnsi="宋体" w:eastAsia="宋体" w:cs="宋体"/>
          <w:sz w:val="32"/>
          <w:szCs w:val="32"/>
        </w:rPr>
        <w:t>0</w:t>
      </w:r>
      <w:r>
        <w:rPr>
          <w:rFonts w:ascii="宋体" w:hAnsi="宋体" w:eastAsia="宋体" w:cs="宋体"/>
          <w:sz w:val="32"/>
          <w:szCs w:val="32"/>
        </w:rPr>
        <w:t>万元，主要是</w:t>
      </w:r>
      <w:r>
        <w:rPr>
          <w:rFonts w:hint="eastAsia" w:ascii="宋体" w:hAnsi="宋体" w:eastAsia="宋体" w:cs="宋体"/>
          <w:sz w:val="32"/>
          <w:szCs w:val="32"/>
        </w:rPr>
        <w:t>此类活动由工会组织进行</w:t>
      </w:r>
      <w:r>
        <w:rPr>
          <w:rFonts w:ascii="宋体" w:hAnsi="宋体" w:eastAsia="宋体" w:cs="宋体"/>
          <w:sz w:val="32"/>
          <w:szCs w:val="32"/>
        </w:rPr>
        <w:t>。</w:t>
      </w:r>
    </w:p>
    <w:p>
      <w:pPr>
        <w:pStyle w:val="10"/>
        <w:rPr>
          <w:rFonts w:hAnsi="黑体" w:cs="Times New Roman"/>
          <w:b/>
          <w:bCs/>
          <w:sz w:val="32"/>
          <w:szCs w:val="32"/>
        </w:rPr>
      </w:pPr>
      <w:r>
        <w:rPr>
          <w:rFonts w:hint="eastAsia" w:hAnsi="黑体"/>
          <w:b/>
          <w:bCs/>
          <w:sz w:val="32"/>
          <w:szCs w:val="32"/>
        </w:rPr>
        <w:t>十二、关于政府采购支出说明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2020</w:t>
      </w:r>
      <w:r>
        <w:rPr>
          <w:rFonts w:hint="eastAsia" w:ascii="宋体" w:hAnsi="宋体" w:eastAsia="宋体" w:cs="宋体"/>
          <w:sz w:val="32"/>
          <w:szCs w:val="32"/>
        </w:rPr>
        <w:t>年度政府采购支出总额41.9万元，其中：政府采购货物支出21.9万元、政府采购工程支出0万元、政府采购服务支出20万元。授予中小企业合同金额41.9万元，占政府采购支出总额的100</w:t>
      </w:r>
      <w:r>
        <w:rPr>
          <w:rFonts w:ascii="宋体" w:hAnsi="宋体" w:eastAsia="宋体" w:cs="宋体"/>
          <w:sz w:val="32"/>
          <w:szCs w:val="32"/>
        </w:rPr>
        <w:t>%</w:t>
      </w:r>
      <w:r>
        <w:rPr>
          <w:rFonts w:hint="eastAsia" w:ascii="宋体" w:hAnsi="宋体" w:eastAsia="宋体" w:cs="宋体"/>
          <w:sz w:val="32"/>
          <w:szCs w:val="32"/>
        </w:rPr>
        <w:t>，其中：授予小微企业合同金额41.9万元，占政府采购支出总额的100</w:t>
      </w:r>
      <w:r>
        <w:rPr>
          <w:rFonts w:ascii="宋体" w:hAnsi="宋体" w:eastAsia="宋体" w:cs="宋体"/>
          <w:sz w:val="32"/>
          <w:szCs w:val="32"/>
        </w:rPr>
        <w:t>%</w:t>
      </w:r>
      <w:r>
        <w:rPr>
          <w:rFonts w:hint="eastAsia" w:ascii="宋体" w:hAnsi="宋体" w:eastAsia="宋体" w:cs="宋体"/>
          <w:sz w:val="32"/>
          <w:szCs w:val="32"/>
        </w:rPr>
        <w:t>。</w:t>
      </w:r>
    </w:p>
    <w:p>
      <w:pPr>
        <w:pStyle w:val="10"/>
        <w:rPr>
          <w:rFonts w:hAnsi="黑体" w:cs="Times New Roman"/>
          <w:b/>
          <w:bCs/>
          <w:sz w:val="32"/>
          <w:szCs w:val="32"/>
        </w:rPr>
      </w:pPr>
      <w:r>
        <w:rPr>
          <w:rFonts w:hint="eastAsia" w:hAnsi="黑体"/>
          <w:b/>
          <w:bCs/>
          <w:sz w:val="32"/>
          <w:szCs w:val="32"/>
        </w:rPr>
        <w:t>十三、关于国有资产占用情况说明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2020</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日，本单位共有车辆4辆，其中，主要领导干部用车0辆，机要通信用车0辆、应急保障用车0辆、执法执勤用车1辆、特种专业技术用车1辆、其他用车2辆，其他用车主要是皮卡车2台；单位价值</w:t>
      </w:r>
      <w:r>
        <w:rPr>
          <w:rFonts w:ascii="宋体" w:hAnsi="宋体" w:eastAsia="宋体" w:cs="宋体"/>
          <w:sz w:val="32"/>
          <w:szCs w:val="32"/>
        </w:rPr>
        <w:t>50</w:t>
      </w:r>
      <w:r>
        <w:rPr>
          <w:rFonts w:hint="eastAsia" w:ascii="宋体" w:hAnsi="宋体" w:eastAsia="宋体" w:cs="宋体"/>
          <w:sz w:val="32"/>
          <w:szCs w:val="32"/>
        </w:rPr>
        <w:t>万元以上通用设备0台（套）；单位价值</w:t>
      </w:r>
      <w:r>
        <w:rPr>
          <w:rFonts w:ascii="宋体" w:hAnsi="宋体" w:eastAsia="宋体" w:cs="宋体"/>
          <w:sz w:val="32"/>
          <w:szCs w:val="32"/>
        </w:rPr>
        <w:t>100</w:t>
      </w:r>
      <w:r>
        <w:rPr>
          <w:rFonts w:hint="eastAsia" w:ascii="宋体" w:hAnsi="宋体" w:eastAsia="宋体" w:cs="宋体"/>
          <w:sz w:val="32"/>
          <w:szCs w:val="32"/>
        </w:rPr>
        <w:t>万元以上专用设备1台（套）。</w:t>
      </w:r>
    </w:p>
    <w:p>
      <w:pPr>
        <w:pStyle w:val="10"/>
        <w:rPr>
          <w:rFonts w:hAnsi="黑体" w:cs="Times New Roman"/>
          <w:b/>
          <w:bCs/>
          <w:sz w:val="32"/>
          <w:szCs w:val="32"/>
        </w:rPr>
      </w:pPr>
      <w:r>
        <w:rPr>
          <w:rFonts w:hint="eastAsia" w:hAnsi="黑体"/>
          <w:b/>
          <w:bCs/>
          <w:sz w:val="32"/>
          <w:szCs w:val="32"/>
        </w:rPr>
        <w:t>十四、关于</w:t>
      </w:r>
      <w:r>
        <w:rPr>
          <w:rFonts w:hAnsi="黑体"/>
          <w:b/>
          <w:bCs/>
          <w:sz w:val="32"/>
          <w:szCs w:val="32"/>
        </w:rPr>
        <w:t>2020</w:t>
      </w:r>
      <w:r>
        <w:rPr>
          <w:rFonts w:hint="eastAsia" w:hAnsi="黑体"/>
          <w:b/>
          <w:bCs/>
          <w:sz w:val="32"/>
          <w:szCs w:val="32"/>
        </w:rPr>
        <w:t>年度预算绩效情况的说明</w:t>
      </w:r>
    </w:p>
    <w:p>
      <w:pPr>
        <w:pStyle w:val="10"/>
        <w:ind w:firstLine="640" w:firstLineChars="200"/>
        <w:rPr>
          <w:rFonts w:cs="Times New Roman"/>
          <w:sz w:val="72"/>
          <w:szCs w:val="72"/>
        </w:rPr>
      </w:pPr>
      <w:r>
        <w:rPr>
          <w:rFonts w:hint="eastAsia" w:ascii="宋体" w:hAnsi="宋体" w:eastAsia="宋体" w:cs="宋体"/>
          <w:sz w:val="32"/>
          <w:szCs w:val="32"/>
        </w:rPr>
        <w:t>本部门预算绩效管理进行了五个内容：水利建设、水淹区口粮补贴、除杂扫障、白石思变涵拆除重建、部门整体支出；年初制定了绩效管理工作方案，并做好了绩效目标申报；按季度申报了项目绩效运行跟踪监控管理表，项目完工后，按要求做好了绩效自评报告，并在局网站进行公开，详情见附件。本单位无重点绩效。</w:t>
      </w: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sectPr>
          <w:pgSz w:w="11906" w:h="16838"/>
          <w:pgMar w:top="1440" w:right="1797" w:bottom="1440" w:left="1797" w:header="851" w:footer="992" w:gutter="0"/>
          <w:cols w:space="0" w:num="1"/>
          <w:docGrid w:type="linesAndChars" w:linePitch="312" w:charSpace="0"/>
        </w:sectPr>
      </w:pPr>
    </w:p>
    <w:p>
      <w:pPr>
        <w:pStyle w:val="10"/>
        <w:jc w:val="center"/>
        <w:rPr>
          <w:rFonts w:cs="Times New Roman"/>
          <w:sz w:val="72"/>
          <w:szCs w:val="72"/>
        </w:rPr>
      </w:pPr>
    </w:p>
    <w:p>
      <w:pPr>
        <w:pStyle w:val="10"/>
        <w:ind w:firstLine="1130" w:firstLineChars="157"/>
        <w:rPr>
          <w:rFonts w:cs="Times New Roman"/>
          <w:sz w:val="72"/>
          <w:szCs w:val="72"/>
        </w:rPr>
      </w:pPr>
    </w:p>
    <w:p>
      <w:pPr>
        <w:pStyle w:val="10"/>
        <w:jc w:val="center"/>
        <w:rPr>
          <w:rFonts w:cs="Times New Roman"/>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第四部分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名词解释</w:t>
      </w:r>
    </w:p>
    <w:p>
      <w:pPr>
        <w:ind w:left="706" w:hanging="705" w:hangingChars="98"/>
        <w:jc w:val="center"/>
        <w:rPr>
          <w:rFonts w:ascii="宋体" w:hAnsi="宋体" w:cs="宋体"/>
          <w:color w:val="000000"/>
          <w:kern w:val="0"/>
          <w:sz w:val="72"/>
          <w:szCs w:val="72"/>
        </w:rPr>
      </w:pPr>
    </w:p>
    <w:p>
      <w:pPr>
        <w:ind w:left="707" w:leftChars="337" w:right="825" w:rightChars="393" w:firstLine="352" w:firstLineChars="110"/>
        <w:rPr>
          <w:rFonts w:cs="仿宋_GB2312" w:asciiTheme="minorEastAsia" w:hAnsiTheme="minorEastAsia" w:eastAsiaTheme="minorEastAsia"/>
          <w:sz w:val="32"/>
          <w:szCs w:val="32"/>
        </w:rPr>
      </w:pPr>
      <w:r>
        <w:rPr>
          <w:rFonts w:hint="eastAsia" w:cs="仿宋_GB2312" w:asciiTheme="minorEastAsia" w:hAnsiTheme="minorEastAsia" w:eastAsiaTheme="minorEastAsia"/>
          <w:sz w:val="32"/>
          <w:szCs w:val="32"/>
        </w:rPr>
        <w:t>一、基本支出：是指为保障机构正常运转、完成日常工作任务所必需的开支，包括人员经费和日常公用经费两部分。</w:t>
      </w:r>
    </w:p>
    <w:p>
      <w:pPr>
        <w:ind w:left="707" w:leftChars="337" w:right="825" w:rightChars="393" w:firstLine="352" w:firstLineChars="110"/>
        <w:rPr>
          <w:rFonts w:cs="仿宋_GB2312" w:asciiTheme="minorEastAsia" w:hAnsiTheme="minorEastAsia" w:eastAsiaTheme="minorEastAsia"/>
          <w:sz w:val="32"/>
          <w:szCs w:val="32"/>
        </w:rPr>
      </w:pPr>
      <w:r>
        <w:rPr>
          <w:rFonts w:hint="eastAsia" w:cs="仿宋_GB2312" w:asciiTheme="minorEastAsia" w:hAnsiTheme="minorEastAsia" w:eastAsiaTheme="minorEastAsia"/>
          <w:sz w:val="32"/>
          <w:szCs w:val="32"/>
        </w:rPr>
        <w:t>二、专项支出：是指在基本支出之外，为完成特定的行政工作任务或事业发展目标所发生的支出。</w:t>
      </w:r>
    </w:p>
    <w:p>
      <w:pPr>
        <w:ind w:left="707" w:leftChars="337" w:right="825" w:rightChars="393" w:firstLine="352" w:firstLineChars="110"/>
        <w:rPr>
          <w:rFonts w:asciiTheme="minorEastAsia" w:hAnsiTheme="minorEastAsia" w:eastAsiaTheme="minorEastAsia"/>
          <w:sz w:val="32"/>
          <w:szCs w:val="32"/>
        </w:rPr>
      </w:pPr>
      <w:r>
        <w:rPr>
          <w:rFonts w:hint="eastAsia" w:cs="仿宋_GB2312" w:asciiTheme="minorEastAsia" w:hAnsiTheme="minorEastAsia" w:eastAsiaTheme="minorEastAsia"/>
          <w:sz w:val="32"/>
          <w:szCs w:val="32"/>
        </w:rPr>
        <w:t>三、“三公”经费：是指纳入本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ind w:firstLine="3960" w:firstLineChars="550"/>
        <w:rPr>
          <w:rFonts w:ascii="宋体" w:hAnsi="宋体" w:eastAsia="宋体" w:cs="宋体"/>
          <w:sz w:val="72"/>
          <w:szCs w:val="72"/>
        </w:rPr>
      </w:pPr>
    </w:p>
    <w:p>
      <w:pPr>
        <w:pStyle w:val="10"/>
        <w:ind w:firstLine="3960" w:firstLineChars="550"/>
        <w:rPr>
          <w:rFonts w:ascii="宋体" w:hAnsi="宋体" w:eastAsia="宋体" w:cs="宋体"/>
          <w:sz w:val="72"/>
          <w:szCs w:val="72"/>
        </w:rPr>
      </w:pPr>
    </w:p>
    <w:p>
      <w:pPr>
        <w:pStyle w:val="10"/>
        <w:ind w:firstLine="3960" w:firstLineChars="550"/>
        <w:rPr>
          <w:rFonts w:ascii="宋体" w:hAnsi="宋体" w:eastAsia="宋体" w:cs="宋体"/>
          <w:sz w:val="72"/>
          <w:szCs w:val="72"/>
        </w:rPr>
      </w:pPr>
      <w:r>
        <w:rPr>
          <w:rFonts w:hint="eastAsia" w:ascii="宋体" w:hAnsi="宋体" w:eastAsia="宋体" w:cs="宋体"/>
          <w:sz w:val="72"/>
          <w:szCs w:val="72"/>
        </w:rPr>
        <w:t>第五部分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ind w:firstLine="640" w:firstLineChars="200"/>
        <w:rPr>
          <w:rFonts w:ascii="仿宋" w:hAnsi="仿宋" w:eastAsia="仿宋"/>
          <w:sz w:val="32"/>
          <w:szCs w:val="32"/>
        </w:rPr>
      </w:pPr>
      <w:r>
        <w:rPr>
          <w:rFonts w:hint="eastAsia" w:ascii="仿宋" w:hAnsi="仿宋" w:eastAsia="仿宋"/>
          <w:sz w:val="32"/>
          <w:szCs w:val="32"/>
        </w:rPr>
        <w:t>一、2020年度水淹区口粮补贴绩效自评报告</w:t>
      </w:r>
    </w:p>
    <w:p>
      <w:pPr>
        <w:tabs>
          <w:tab w:val="left" w:pos="620"/>
        </w:tabs>
        <w:rPr>
          <w:rFonts w:ascii="仿宋" w:hAnsi="仿宋" w:eastAsia="仿宋"/>
          <w:sz w:val="32"/>
          <w:szCs w:val="32"/>
        </w:rPr>
      </w:pPr>
      <w:r>
        <w:rPr>
          <w:rFonts w:ascii="仿宋" w:hAnsi="仿宋" w:eastAsia="仿宋"/>
          <w:sz w:val="32"/>
          <w:szCs w:val="32"/>
        </w:rPr>
        <w:tab/>
      </w:r>
      <w:r>
        <w:rPr>
          <w:rFonts w:hint="eastAsia" w:ascii="仿宋" w:hAnsi="仿宋" w:eastAsia="仿宋"/>
          <w:sz w:val="32"/>
          <w:szCs w:val="32"/>
        </w:rPr>
        <w:t>二、2020年度水利建设绩效自评报告</w:t>
      </w:r>
    </w:p>
    <w:p>
      <w:pPr>
        <w:tabs>
          <w:tab w:val="left" w:pos="620"/>
        </w:tabs>
        <w:rPr>
          <w:rFonts w:ascii="仿宋" w:hAnsi="仿宋" w:eastAsia="仿宋"/>
          <w:sz w:val="32"/>
          <w:szCs w:val="32"/>
        </w:rPr>
      </w:pPr>
      <w:r>
        <w:rPr>
          <w:rFonts w:ascii="仿宋" w:hAnsi="仿宋" w:eastAsia="仿宋"/>
          <w:sz w:val="32"/>
          <w:szCs w:val="32"/>
        </w:rPr>
        <w:tab/>
      </w:r>
      <w:r>
        <w:rPr>
          <w:rFonts w:hint="eastAsia" w:ascii="仿宋" w:hAnsi="仿宋" w:eastAsia="仿宋"/>
          <w:sz w:val="32"/>
          <w:szCs w:val="32"/>
        </w:rPr>
        <w:t>三、2020年除杂扫障绩效自评报告</w:t>
      </w:r>
    </w:p>
    <w:p>
      <w:pPr>
        <w:tabs>
          <w:tab w:val="left" w:pos="620"/>
        </w:tabs>
        <w:ind w:firstLine="640" w:firstLineChars="200"/>
        <w:rPr>
          <w:rFonts w:ascii="仿宋" w:hAnsi="仿宋" w:eastAsia="仿宋"/>
          <w:sz w:val="32"/>
          <w:szCs w:val="32"/>
        </w:rPr>
      </w:pPr>
      <w:r>
        <w:rPr>
          <w:rFonts w:hint="eastAsia" w:ascii="仿宋" w:hAnsi="仿宋" w:eastAsia="仿宋"/>
          <w:sz w:val="32"/>
          <w:szCs w:val="32"/>
        </w:rPr>
        <w:t>四、2020年白石思变涵拆除重建项目绩效自评报告</w:t>
      </w:r>
    </w:p>
    <w:p>
      <w:pPr>
        <w:tabs>
          <w:tab w:val="left" w:pos="620"/>
        </w:tabs>
        <w:ind w:firstLine="640" w:firstLineChars="200"/>
        <w:rPr>
          <w:rFonts w:ascii="仿宋" w:hAnsi="仿宋" w:eastAsia="仿宋"/>
          <w:sz w:val="32"/>
          <w:szCs w:val="32"/>
        </w:rPr>
      </w:pPr>
      <w:r>
        <w:rPr>
          <w:rFonts w:hint="eastAsia" w:ascii="仿宋" w:hAnsi="仿宋" w:eastAsia="仿宋"/>
          <w:sz w:val="32"/>
          <w:szCs w:val="32"/>
        </w:rPr>
        <w:t>五、2020年度部门整体绩效自评报告</w:t>
      </w:r>
    </w:p>
    <w:p>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EFF" w:usb1="C000785B" w:usb2="00000009" w:usb3="00000000" w:csb0="400001FF" w:csb1="FFFF0000"/>
  </w:font>
  <w:font w:name="方正小标宋_GBK">
    <w:altName w:val="Arial Unicode MS"/>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06F9"/>
    <w:rsid w:val="0002229B"/>
    <w:rsid w:val="0002612F"/>
    <w:rsid w:val="000273BD"/>
    <w:rsid w:val="000415B7"/>
    <w:rsid w:val="00041E3F"/>
    <w:rsid w:val="00055DAA"/>
    <w:rsid w:val="000603B4"/>
    <w:rsid w:val="00061F7B"/>
    <w:rsid w:val="000658A3"/>
    <w:rsid w:val="00074155"/>
    <w:rsid w:val="00081053"/>
    <w:rsid w:val="000969EB"/>
    <w:rsid w:val="000970BA"/>
    <w:rsid w:val="000A3F69"/>
    <w:rsid w:val="000A5056"/>
    <w:rsid w:val="000D45BD"/>
    <w:rsid w:val="000D7AC6"/>
    <w:rsid w:val="000E5D8A"/>
    <w:rsid w:val="000F0259"/>
    <w:rsid w:val="000F4EB5"/>
    <w:rsid w:val="00103957"/>
    <w:rsid w:val="00141B71"/>
    <w:rsid w:val="00152C6D"/>
    <w:rsid w:val="0015524D"/>
    <w:rsid w:val="00161642"/>
    <w:rsid w:val="00162D39"/>
    <w:rsid w:val="001678BD"/>
    <w:rsid w:val="00184141"/>
    <w:rsid w:val="001A67DB"/>
    <w:rsid w:val="001C3C29"/>
    <w:rsid w:val="001D51E5"/>
    <w:rsid w:val="001D7D5F"/>
    <w:rsid w:val="001E080D"/>
    <w:rsid w:val="001E53D0"/>
    <w:rsid w:val="001F0C3B"/>
    <w:rsid w:val="001F5B81"/>
    <w:rsid w:val="00202C82"/>
    <w:rsid w:val="00214427"/>
    <w:rsid w:val="00221EAF"/>
    <w:rsid w:val="00222FCB"/>
    <w:rsid w:val="00226CB7"/>
    <w:rsid w:val="00235C28"/>
    <w:rsid w:val="00264552"/>
    <w:rsid w:val="00264EF9"/>
    <w:rsid w:val="00265724"/>
    <w:rsid w:val="00272E5C"/>
    <w:rsid w:val="0027426B"/>
    <w:rsid w:val="00275B0E"/>
    <w:rsid w:val="00286B2E"/>
    <w:rsid w:val="00296F42"/>
    <w:rsid w:val="002D0D74"/>
    <w:rsid w:val="002D11E4"/>
    <w:rsid w:val="002D4F22"/>
    <w:rsid w:val="002E0A30"/>
    <w:rsid w:val="002F6F17"/>
    <w:rsid w:val="003130C4"/>
    <w:rsid w:val="00316C4B"/>
    <w:rsid w:val="003211EB"/>
    <w:rsid w:val="0032192B"/>
    <w:rsid w:val="00342D3E"/>
    <w:rsid w:val="003479BD"/>
    <w:rsid w:val="0035558D"/>
    <w:rsid w:val="00355697"/>
    <w:rsid w:val="00360D6F"/>
    <w:rsid w:val="0037197D"/>
    <w:rsid w:val="003768D5"/>
    <w:rsid w:val="00381BC6"/>
    <w:rsid w:val="003C47E6"/>
    <w:rsid w:val="003C4FC2"/>
    <w:rsid w:val="00416E61"/>
    <w:rsid w:val="00421642"/>
    <w:rsid w:val="0042643B"/>
    <w:rsid w:val="0042790C"/>
    <w:rsid w:val="00450153"/>
    <w:rsid w:val="004506F9"/>
    <w:rsid w:val="00462550"/>
    <w:rsid w:val="00470253"/>
    <w:rsid w:val="004717A2"/>
    <w:rsid w:val="00473CA2"/>
    <w:rsid w:val="00473DF3"/>
    <w:rsid w:val="0048297F"/>
    <w:rsid w:val="00483534"/>
    <w:rsid w:val="00485F9A"/>
    <w:rsid w:val="004868EF"/>
    <w:rsid w:val="00487911"/>
    <w:rsid w:val="00491741"/>
    <w:rsid w:val="00493968"/>
    <w:rsid w:val="0049506D"/>
    <w:rsid w:val="004C1589"/>
    <w:rsid w:val="004F4DC6"/>
    <w:rsid w:val="004F713B"/>
    <w:rsid w:val="00500070"/>
    <w:rsid w:val="00500E5F"/>
    <w:rsid w:val="005122EF"/>
    <w:rsid w:val="0051441A"/>
    <w:rsid w:val="00517C33"/>
    <w:rsid w:val="00523644"/>
    <w:rsid w:val="0054069E"/>
    <w:rsid w:val="00544866"/>
    <w:rsid w:val="00564D7D"/>
    <w:rsid w:val="005767CC"/>
    <w:rsid w:val="00590D9F"/>
    <w:rsid w:val="00593C02"/>
    <w:rsid w:val="00595D26"/>
    <w:rsid w:val="005A29C1"/>
    <w:rsid w:val="005A74E6"/>
    <w:rsid w:val="005B404E"/>
    <w:rsid w:val="005C2870"/>
    <w:rsid w:val="005C596D"/>
    <w:rsid w:val="005D4D55"/>
    <w:rsid w:val="005E2CFB"/>
    <w:rsid w:val="005F3D1C"/>
    <w:rsid w:val="0062378F"/>
    <w:rsid w:val="00641842"/>
    <w:rsid w:val="00651EEC"/>
    <w:rsid w:val="00665D17"/>
    <w:rsid w:val="00691E8C"/>
    <w:rsid w:val="006A22C4"/>
    <w:rsid w:val="006A351B"/>
    <w:rsid w:val="006A41B2"/>
    <w:rsid w:val="006B0422"/>
    <w:rsid w:val="006B3857"/>
    <w:rsid w:val="006C1481"/>
    <w:rsid w:val="006C1B53"/>
    <w:rsid w:val="006C347A"/>
    <w:rsid w:val="006D7730"/>
    <w:rsid w:val="006E5284"/>
    <w:rsid w:val="006F10EB"/>
    <w:rsid w:val="006F1762"/>
    <w:rsid w:val="006F3EB5"/>
    <w:rsid w:val="006F7D7D"/>
    <w:rsid w:val="00702E34"/>
    <w:rsid w:val="00704395"/>
    <w:rsid w:val="00717621"/>
    <w:rsid w:val="00720FF1"/>
    <w:rsid w:val="007276D1"/>
    <w:rsid w:val="00727A53"/>
    <w:rsid w:val="00743152"/>
    <w:rsid w:val="00751D3E"/>
    <w:rsid w:val="007629B6"/>
    <w:rsid w:val="007667A2"/>
    <w:rsid w:val="00787B42"/>
    <w:rsid w:val="007C0FD1"/>
    <w:rsid w:val="007C3368"/>
    <w:rsid w:val="007C4539"/>
    <w:rsid w:val="007E1658"/>
    <w:rsid w:val="007F088C"/>
    <w:rsid w:val="007F3657"/>
    <w:rsid w:val="00812ED5"/>
    <w:rsid w:val="008259D8"/>
    <w:rsid w:val="008277D9"/>
    <w:rsid w:val="0084478C"/>
    <w:rsid w:val="0086638C"/>
    <w:rsid w:val="00873F80"/>
    <w:rsid w:val="008A3E8D"/>
    <w:rsid w:val="008B48BF"/>
    <w:rsid w:val="008D1E1F"/>
    <w:rsid w:val="008D2409"/>
    <w:rsid w:val="00907DA1"/>
    <w:rsid w:val="009237C4"/>
    <w:rsid w:val="0093231F"/>
    <w:rsid w:val="00944C48"/>
    <w:rsid w:val="00950252"/>
    <w:rsid w:val="00960EB0"/>
    <w:rsid w:val="00961259"/>
    <w:rsid w:val="00967F5D"/>
    <w:rsid w:val="0097004A"/>
    <w:rsid w:val="00993CB1"/>
    <w:rsid w:val="00997D7A"/>
    <w:rsid w:val="009A0F95"/>
    <w:rsid w:val="009A1A34"/>
    <w:rsid w:val="009B3ADF"/>
    <w:rsid w:val="009B4703"/>
    <w:rsid w:val="009B4E88"/>
    <w:rsid w:val="009B50EE"/>
    <w:rsid w:val="009C3B52"/>
    <w:rsid w:val="009D09F6"/>
    <w:rsid w:val="009D2977"/>
    <w:rsid w:val="009E6817"/>
    <w:rsid w:val="009E6E9A"/>
    <w:rsid w:val="009F1406"/>
    <w:rsid w:val="00A01D2B"/>
    <w:rsid w:val="00A42218"/>
    <w:rsid w:val="00A70249"/>
    <w:rsid w:val="00A70B02"/>
    <w:rsid w:val="00A71D9F"/>
    <w:rsid w:val="00A82A21"/>
    <w:rsid w:val="00A92E9F"/>
    <w:rsid w:val="00A93F75"/>
    <w:rsid w:val="00A96685"/>
    <w:rsid w:val="00AE6851"/>
    <w:rsid w:val="00B02B39"/>
    <w:rsid w:val="00B12CA9"/>
    <w:rsid w:val="00B26B3D"/>
    <w:rsid w:val="00B33BEA"/>
    <w:rsid w:val="00B36351"/>
    <w:rsid w:val="00B36887"/>
    <w:rsid w:val="00B41330"/>
    <w:rsid w:val="00B54CD0"/>
    <w:rsid w:val="00B57C9F"/>
    <w:rsid w:val="00B63572"/>
    <w:rsid w:val="00B813D8"/>
    <w:rsid w:val="00B81408"/>
    <w:rsid w:val="00B845B3"/>
    <w:rsid w:val="00B85D8B"/>
    <w:rsid w:val="00BA2341"/>
    <w:rsid w:val="00BB1C90"/>
    <w:rsid w:val="00BB4A40"/>
    <w:rsid w:val="00BD6C3E"/>
    <w:rsid w:val="00BE3426"/>
    <w:rsid w:val="00BE3674"/>
    <w:rsid w:val="00BF4F1A"/>
    <w:rsid w:val="00C10681"/>
    <w:rsid w:val="00C1713B"/>
    <w:rsid w:val="00C3049A"/>
    <w:rsid w:val="00C317AB"/>
    <w:rsid w:val="00C31B1E"/>
    <w:rsid w:val="00C4554B"/>
    <w:rsid w:val="00C77645"/>
    <w:rsid w:val="00C91C37"/>
    <w:rsid w:val="00CC61BD"/>
    <w:rsid w:val="00CE04C3"/>
    <w:rsid w:val="00CE76A0"/>
    <w:rsid w:val="00D148C6"/>
    <w:rsid w:val="00D17152"/>
    <w:rsid w:val="00D174D4"/>
    <w:rsid w:val="00D17A8A"/>
    <w:rsid w:val="00D3478D"/>
    <w:rsid w:val="00D415BA"/>
    <w:rsid w:val="00D4194D"/>
    <w:rsid w:val="00D465EE"/>
    <w:rsid w:val="00D5679D"/>
    <w:rsid w:val="00D644EE"/>
    <w:rsid w:val="00D91A56"/>
    <w:rsid w:val="00DD06FF"/>
    <w:rsid w:val="00DD5FE9"/>
    <w:rsid w:val="00DF7FB2"/>
    <w:rsid w:val="00E00C7A"/>
    <w:rsid w:val="00E15C4B"/>
    <w:rsid w:val="00E37D6C"/>
    <w:rsid w:val="00E41685"/>
    <w:rsid w:val="00E4473C"/>
    <w:rsid w:val="00E53E0D"/>
    <w:rsid w:val="00E55B68"/>
    <w:rsid w:val="00E67BE6"/>
    <w:rsid w:val="00E70755"/>
    <w:rsid w:val="00E8683C"/>
    <w:rsid w:val="00EA2B72"/>
    <w:rsid w:val="00EB088B"/>
    <w:rsid w:val="00EE5BEF"/>
    <w:rsid w:val="00F25650"/>
    <w:rsid w:val="00F464D9"/>
    <w:rsid w:val="00F525A9"/>
    <w:rsid w:val="00F544DB"/>
    <w:rsid w:val="00F5651E"/>
    <w:rsid w:val="00F74360"/>
    <w:rsid w:val="00F85D19"/>
    <w:rsid w:val="00F93D09"/>
    <w:rsid w:val="00FA455F"/>
    <w:rsid w:val="00FB462F"/>
    <w:rsid w:val="00FD7086"/>
    <w:rsid w:val="00FE16FA"/>
    <w:rsid w:val="00FE328A"/>
    <w:rsid w:val="00FE6269"/>
    <w:rsid w:val="00FF3163"/>
    <w:rsid w:val="203E5E18"/>
    <w:rsid w:val="284E65ED"/>
    <w:rsid w:val="474B2221"/>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页眉 Char"/>
    <w:basedOn w:val="7"/>
    <w:link w:val="4"/>
    <w:qFormat/>
    <w:locked/>
    <w:uiPriority w:val="99"/>
    <w:rPr>
      <w:sz w:val="18"/>
      <w:szCs w:val="18"/>
    </w:rPr>
  </w:style>
  <w:style w:type="character" w:customStyle="1" w:styleId="9">
    <w:name w:val="页脚 Char"/>
    <w:basedOn w:val="7"/>
    <w:link w:val="3"/>
    <w:qFormat/>
    <w:locked/>
    <w:uiPriority w:val="99"/>
    <w:rPr>
      <w:sz w:val="18"/>
      <w:szCs w:val="18"/>
    </w:rPr>
  </w:style>
  <w:style w:type="paragraph" w:customStyle="1" w:styleId="10">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1">
    <w:name w:val="List Paragraph"/>
    <w:basedOn w:val="1"/>
    <w:qFormat/>
    <w:uiPriority w:val="99"/>
    <w:pPr>
      <w:ind w:firstLine="420" w:firstLineChars="200"/>
    </w:pPr>
  </w:style>
  <w:style w:type="character" w:customStyle="1" w:styleId="12">
    <w:name w:val="批注框文本 Char"/>
    <w:basedOn w:val="7"/>
    <w:link w:val="2"/>
    <w:semiHidden/>
    <w:qFormat/>
    <w:locked/>
    <w:uiPriority w:val="99"/>
    <w:rPr>
      <w:sz w:val="18"/>
      <w:szCs w:val="18"/>
    </w:rPr>
  </w:style>
  <w:style w:type="paragraph" w:customStyle="1" w:styleId="13">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2252</Words>
  <Characters>12843</Characters>
  <Lines>107</Lines>
  <Paragraphs>30</Paragraphs>
  <TotalTime>2684</TotalTime>
  <ScaleCrop>false</ScaleCrop>
  <LinksUpToDate>false</LinksUpToDate>
  <CharactersWithSpaces>15065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2021-07-28T00:12:00Z</cp:lastPrinted>
  <dcterms:modified xsi:type="dcterms:W3CDTF">2023-03-22T03:01:11Z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2052-11.1.0.10132</vt:lpwstr>
  </property>
  <property fmtid="{D5CDD505-2E9C-101B-9397-08002B2CF9AE}" pid="4" name="ICV">
    <vt:lpwstr>A657EFB301FC4D5FB16B55F61293875A</vt:lpwstr>
  </property>
</Properties>
</file>