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2022年湘潭县政府信息公开工作年度报告</w:t>
      </w:r>
    </w:p>
    <w:p>
      <w:pPr>
        <w:pStyle w:val="5"/>
        <w:widowControl/>
        <w:spacing w:before="0" w:beforeAutospacing="0" w:after="0" w:afterAutospacing="0" w:line="560" w:lineRule="exact"/>
        <w:ind w:firstLine="640" w:firstLineChars="200"/>
        <w:jc w:val="both"/>
        <w:rPr>
          <w:rFonts w:ascii="方正仿宋_GBK" w:hAnsi="方正仿宋_GBK" w:eastAsia="方正仿宋_GBK" w:cs="方正仿宋_GBK"/>
          <w:color w:val="000000" w:themeColor="text1"/>
          <w:sz w:val="32"/>
          <w:szCs w:val="32"/>
          <w:shd w:val="clear" w:color="auto" w:fill="FFFFFF"/>
        </w:rPr>
      </w:pPr>
      <w:r>
        <w:rPr>
          <w:rFonts w:hint="eastAsia" w:ascii="方正仿宋_GBK" w:hAnsi="方正仿宋_GBK" w:eastAsia="方正仿宋_GBK" w:cs="方正仿宋_GBK"/>
          <w:color w:val="000000" w:themeColor="text1"/>
          <w:sz w:val="32"/>
          <w:szCs w:val="32"/>
          <w:shd w:val="clear" w:color="auto" w:fill="FFFFFF"/>
        </w:rPr>
        <w:t>2022年湘潭县认真贯彻执行《中华人民共和国政府信息公开条例》以及省市有关文件精神，坚持“以公开为常态，不公开为例外”原则，主动公开政府信息，依法依规办理政府信息依申请公开件，及时回应社会关切，深化重点领域信息公开，切实做好了政府信息公开工作。</w:t>
      </w:r>
    </w:p>
    <w:p>
      <w:pPr>
        <w:ind w:left="79" w:firstLine="640" w:firstLineChars="200"/>
        <w:rPr>
          <w:rFonts w:hint="eastAsia" w:ascii="黑体" w:hAnsi="黑体" w:eastAsia="黑体" w:cs="黑体"/>
          <w:color w:val="424242"/>
          <w:sz w:val="32"/>
          <w:szCs w:val="32"/>
          <w:shd w:val="clear" w:color="auto" w:fill="FFFFFF"/>
        </w:rPr>
      </w:pPr>
      <w:r>
        <w:rPr>
          <w:rFonts w:hint="eastAsia" w:ascii="黑体" w:hAnsi="黑体" w:eastAsia="黑体" w:cs="黑体"/>
          <w:color w:val="424242"/>
          <w:sz w:val="32"/>
          <w:szCs w:val="32"/>
          <w:shd w:val="clear" w:color="auto" w:fill="FFFFFF"/>
        </w:rPr>
        <w:t>一、总体情况</w:t>
      </w:r>
    </w:p>
    <w:p>
      <w:pPr>
        <w:ind w:left="79" w:firstLine="640" w:firstLineChars="200"/>
        <w:rPr>
          <w:rFonts w:hint="eastAsia" w:ascii="方正仿宋_GBK" w:hAnsi="方正仿宋_GBK" w:eastAsia="方正仿宋_GBK" w:cs="方正仿宋_GBK"/>
          <w:color w:val="000000" w:themeColor="text1"/>
          <w:kern w:val="0"/>
          <w:sz w:val="32"/>
          <w:szCs w:val="32"/>
          <w:shd w:val="clear" w:color="auto" w:fill="FFFFFF"/>
        </w:rPr>
      </w:pPr>
      <w:r>
        <w:rPr>
          <w:rFonts w:hint="eastAsia" w:ascii="方正仿宋_GBK" w:hAnsi="方正仿宋_GBK" w:eastAsia="方正仿宋_GBK" w:cs="方正仿宋_GBK"/>
          <w:color w:val="000000" w:themeColor="text1"/>
          <w:kern w:val="0"/>
          <w:sz w:val="32"/>
          <w:szCs w:val="32"/>
          <w:shd w:val="clear" w:color="auto" w:fill="FFFFFF"/>
        </w:rPr>
        <w:t>2022年，湘潭县人民政府全面落实国、省、市关于深化政务公开各项决策部署和要求，全面服务于省委“三高四新”战略定位和使命任务、市委加快建设“四区一地一圈一强”决策部署和县委“三提一领”发展目标，更好发挥以公开促落实、强监管的积极作用，不断提升政务公开的含金量、覆盖面、参与度。</w:t>
      </w:r>
    </w:p>
    <w:p>
      <w:pPr>
        <w:ind w:firstLine="640" w:firstLineChars="200"/>
        <w:rPr>
          <w:rFonts w:ascii="方正仿宋_GBK" w:hAnsi="方正仿宋_GBK" w:eastAsia="方正仿宋_GBK" w:cs="方正仿宋_GBK"/>
          <w:color w:val="000000" w:themeColor="text1"/>
          <w:kern w:val="0"/>
          <w:sz w:val="32"/>
          <w:szCs w:val="32"/>
          <w:shd w:val="clear" w:color="auto" w:fill="FFFFFF"/>
        </w:rPr>
      </w:pPr>
      <w:r>
        <w:rPr>
          <w:rFonts w:hint="eastAsia" w:ascii="黑体" w:hAnsi="黑体" w:eastAsia="黑体" w:cs="黑体"/>
          <w:color w:val="424242"/>
          <w:sz w:val="32"/>
          <w:szCs w:val="32"/>
          <w:shd w:val="clear" w:color="auto" w:fill="FFFFFF"/>
        </w:rPr>
        <w:t>（一）主动公开方面。</w:t>
      </w:r>
      <w:r>
        <w:rPr>
          <w:rFonts w:hint="eastAsia" w:ascii="方正仿宋_GBK" w:hAnsi="方正仿宋_GBK" w:eastAsia="方正仿宋_GBK" w:cs="方正仿宋_GBK"/>
          <w:color w:val="000000" w:themeColor="text1"/>
          <w:kern w:val="0"/>
          <w:sz w:val="32"/>
          <w:szCs w:val="32"/>
          <w:shd w:val="clear" w:color="auto" w:fill="FFFFFF"/>
        </w:rPr>
        <w:t>下发《湘潭县2022年政务公开工作要点》，围绕县委“三提一领”发展目标和推动高质量发展深化政务公开，加强优化营商环境、“六稳”“六保”、生态文明建设、乡村振兴、疫情防控等重点领域信息公开。健全完善政务公开制度，将政务公开纳入全县绩效考核，严格按照市局相关文件制度落实各项工作。2022年，湘潭县人民政府通过政府信息公开平台公开政府信息1.5万余条，办理群众留言191条，主动公开规范性文件11条；发布文件解读22条。定期印发《政报》并在线上线下双重公开，全年编辑政报4期。</w:t>
      </w:r>
    </w:p>
    <w:p>
      <w:pPr>
        <w:ind w:left="79" w:firstLine="640" w:firstLineChars="200"/>
        <w:rPr>
          <w:rFonts w:ascii="方正仿宋_GBK" w:hAnsi="方正仿宋_GBK" w:eastAsia="方正仿宋_GBK" w:cs="方正仿宋_GBK"/>
          <w:color w:val="000000" w:themeColor="text1"/>
          <w:kern w:val="0"/>
          <w:sz w:val="32"/>
          <w:szCs w:val="32"/>
          <w:shd w:val="clear" w:color="auto" w:fill="FFFFFF"/>
        </w:rPr>
      </w:pPr>
      <w:r>
        <w:rPr>
          <w:rFonts w:hint="eastAsia" w:ascii="黑体" w:hAnsi="黑体" w:eastAsia="黑体" w:cs="黑体"/>
          <w:color w:val="333333"/>
          <w:sz w:val="32"/>
          <w:szCs w:val="32"/>
          <w:shd w:val="clear" w:color="auto" w:fill="FFFFFF"/>
        </w:rPr>
        <w:t>（二）依申请公开方面。</w:t>
      </w:r>
      <w:r>
        <w:rPr>
          <w:rFonts w:hint="eastAsia" w:ascii="方正仿宋_GBK" w:hAnsi="方正仿宋_GBK" w:eastAsia="方正仿宋_GBK" w:cs="方正仿宋_GBK"/>
          <w:color w:val="000000" w:themeColor="text1"/>
          <w:kern w:val="0"/>
          <w:sz w:val="32"/>
          <w:szCs w:val="32"/>
          <w:shd w:val="clear" w:color="auto" w:fill="FFFFFF"/>
        </w:rPr>
        <w:t>认真贯彻落实《政府信息公开条例》，按照法定时限和程序，严谨规范、慎重稳妥地做好</w:t>
      </w:r>
      <w:r>
        <w:rPr>
          <w:rFonts w:hint="eastAsia" w:ascii="方正仿宋_GBK" w:hAnsi="方正仿宋_GBK" w:eastAsia="方正仿宋_GBK" w:cs="方正仿宋_GBK"/>
          <w:color w:val="000000" w:themeColor="text1"/>
          <w:kern w:val="0"/>
          <w:sz w:val="32"/>
          <w:szCs w:val="32"/>
          <w:shd w:val="clear" w:color="auto" w:fill="FFFFFF"/>
          <w:lang w:eastAsia="zh-CN"/>
        </w:rPr>
        <w:t>政府</w:t>
      </w:r>
      <w:r>
        <w:rPr>
          <w:rFonts w:hint="eastAsia" w:ascii="方正仿宋_GBK" w:hAnsi="方正仿宋_GBK" w:eastAsia="方正仿宋_GBK" w:cs="方正仿宋_GBK"/>
          <w:color w:val="000000" w:themeColor="text1"/>
          <w:kern w:val="0"/>
          <w:sz w:val="32"/>
          <w:szCs w:val="32"/>
          <w:shd w:val="clear" w:color="auto" w:fill="FFFFFF"/>
        </w:rPr>
        <w:t>信息公开申请答复工作，增设线下申请录入功能，全面推进依申请公开电子化管理。全年共受理依申请公开97件，共办理完成97件，回复率100%。</w:t>
      </w:r>
    </w:p>
    <w:p>
      <w:pPr>
        <w:ind w:left="79" w:firstLine="640" w:firstLineChars="200"/>
        <w:rPr>
          <w:rFonts w:ascii="方正仿宋_GBK" w:hAnsi="方正仿宋_GBK" w:eastAsia="方正仿宋_GBK" w:cs="方正仿宋_GBK"/>
          <w:color w:val="000000" w:themeColor="text1"/>
          <w:kern w:val="0"/>
          <w:sz w:val="32"/>
          <w:szCs w:val="32"/>
          <w:shd w:val="clear" w:color="auto" w:fill="FFFFFF"/>
        </w:rPr>
      </w:pPr>
      <w:r>
        <w:rPr>
          <w:rFonts w:hint="eastAsia" w:ascii="黑体" w:hAnsi="黑体" w:eastAsia="黑体" w:cs="黑体"/>
          <w:color w:val="333333"/>
          <w:sz w:val="32"/>
          <w:szCs w:val="32"/>
          <w:shd w:val="clear" w:color="auto" w:fill="FFFFFF"/>
        </w:rPr>
        <w:t>（三）政府信息管理方面。</w:t>
      </w:r>
      <w:r>
        <w:rPr>
          <w:rFonts w:hint="eastAsia" w:ascii="方正仿宋_GBK" w:hAnsi="方正仿宋_GBK" w:eastAsia="方正仿宋_GBK" w:cs="方正仿宋_GBK"/>
          <w:color w:val="000000" w:themeColor="text1"/>
          <w:kern w:val="0"/>
          <w:sz w:val="32"/>
          <w:szCs w:val="32"/>
          <w:shd w:val="clear" w:color="auto" w:fill="FFFFFF"/>
        </w:rPr>
        <w:t>进一步强化政务公开信息规范化管理，按照政府信息公开审查要求，规范审核流程，对涉及人民群众切身利益的政府信息进行全面梳理，保证信息发布权威、及时、准确、安全。</w:t>
      </w:r>
    </w:p>
    <w:p>
      <w:pPr>
        <w:pStyle w:val="5"/>
        <w:widowControl/>
        <w:spacing w:before="0" w:beforeAutospacing="0" w:after="0" w:afterAutospacing="0" w:line="560" w:lineRule="exact"/>
        <w:ind w:left="79" w:firstLine="640" w:firstLineChars="200"/>
        <w:jc w:val="both"/>
        <w:rPr>
          <w:rFonts w:ascii="方正仿宋_GBK" w:hAnsi="方正仿宋_GBK" w:eastAsia="方正仿宋_GBK" w:cs="方正仿宋_GBK"/>
          <w:color w:val="000000" w:themeColor="text1"/>
          <w:sz w:val="32"/>
          <w:szCs w:val="32"/>
          <w:shd w:val="clear" w:color="auto" w:fill="FFFFFF"/>
        </w:rPr>
      </w:pPr>
      <w:r>
        <w:rPr>
          <w:rFonts w:hint="eastAsia" w:ascii="黑体" w:hAnsi="黑体" w:eastAsia="黑体" w:cs="黑体"/>
          <w:color w:val="333333"/>
          <w:kern w:val="2"/>
          <w:sz w:val="32"/>
          <w:szCs w:val="32"/>
          <w:shd w:val="clear" w:color="auto" w:fill="FFFFFF"/>
        </w:rPr>
        <w:t>（四）政府信息公开平台建设方面。</w:t>
      </w:r>
      <w:r>
        <w:rPr>
          <w:rFonts w:hint="eastAsia" w:ascii="方正仿宋_GBK" w:hAnsi="方正仿宋_GBK" w:eastAsia="方正仿宋_GBK" w:cs="方正仿宋_GBK"/>
          <w:color w:val="000000" w:themeColor="text1"/>
          <w:sz w:val="32"/>
          <w:szCs w:val="32"/>
          <w:shd w:val="clear" w:color="auto" w:fill="FFFFFF"/>
        </w:rPr>
        <w:t>加强不同平台和渠道发布信息的衔接协调，确保公开内容准确、一致。积极运用“莲乡微政务”移动客户端等发布政务信息，抓好政务新媒体管理，全年完成上级重要信息转载93条，累计发布信息436条，发布视频54条，其中政务小莲说政策短视频发布4期，信息发布粉丝数达1264人次，视频号粉丝数为344人次，阅读量达8.5万余次；</w:t>
      </w:r>
    </w:p>
    <w:p>
      <w:pPr>
        <w:spacing w:line="560" w:lineRule="exact"/>
        <w:ind w:firstLine="640" w:firstLineChars="200"/>
        <w:rPr>
          <w:rFonts w:ascii="方正仿宋_GBK" w:hAnsi="方正仿宋_GBK" w:eastAsia="方正仿宋_GBK" w:cs="方正仿宋_GBK"/>
          <w:color w:val="000000" w:themeColor="text1"/>
          <w:kern w:val="0"/>
          <w:sz w:val="32"/>
          <w:szCs w:val="32"/>
          <w:shd w:val="clear" w:color="auto" w:fill="FFFFFF"/>
        </w:rPr>
      </w:pPr>
      <w:r>
        <w:rPr>
          <w:rFonts w:hint="eastAsia" w:ascii="黑体" w:hAnsi="黑体" w:eastAsia="黑体" w:cs="黑体"/>
          <w:color w:val="333333"/>
          <w:sz w:val="32"/>
          <w:szCs w:val="32"/>
          <w:shd w:val="clear" w:color="auto" w:fill="FFFFFF"/>
        </w:rPr>
        <w:t>（五）监督保障方面。强化管理，确保</w:t>
      </w:r>
      <w:r>
        <w:rPr>
          <w:rFonts w:hint="eastAsia" w:ascii="方正仿宋_GBK" w:hAnsi="方正仿宋_GBK" w:eastAsia="方正仿宋_GBK" w:cs="方正仿宋_GBK"/>
          <w:color w:val="000000" w:themeColor="text1"/>
          <w:kern w:val="0"/>
          <w:sz w:val="32"/>
          <w:szCs w:val="32"/>
          <w:shd w:val="clear" w:color="auto" w:fill="FFFFFF"/>
        </w:rPr>
        <w:t>“12345”便民服务热线整合7条部门热线后受理、并联转接、双线并行、部门热线整合等功能的正常发挥。设立“优化营商环境服务专席”、“政企通专席”、“暖心服务专席”、“办不成事反映专席”、“政协微建议专席”、“人大代表反映专席”。县便民热线全年话务总量102541（呼出26271；呼入76270），总满意率99.88%；派单总量20431，退单率7.55%，工单延期率6.2%，按时反馈率98.54%，回访满意率82.01%，有效反馈率100%。同时针对政务公开制度建设、政府信息主动公开、政府信息依申请公开、政策解读工作、政府网站与政务新媒体、专项工作任务等工作落实情况，对17个乡镇，30个县直单位开展政务公开年度考核，切实履行政府信息公开主管部门的职责。</w:t>
      </w:r>
    </w:p>
    <w:p>
      <w:pPr>
        <w:pStyle w:val="5"/>
        <w:widowControl/>
        <w:spacing w:before="0" w:beforeAutospacing="0" w:after="0" w:afterAutospacing="0" w:line="560" w:lineRule="exact"/>
        <w:ind w:left="79" w:firstLine="640" w:firstLineChars="200"/>
        <w:jc w:val="both"/>
        <w:rPr>
          <w:rFonts w:ascii="黑体" w:hAnsi="黑体" w:eastAsia="黑体" w:cs="黑体"/>
          <w:color w:val="333333"/>
          <w:kern w:val="2"/>
          <w:sz w:val="32"/>
          <w:szCs w:val="32"/>
          <w:shd w:val="clear" w:color="auto" w:fill="FFFFFF"/>
        </w:rPr>
      </w:pPr>
      <w:r>
        <w:rPr>
          <w:rFonts w:hint="eastAsia" w:ascii="黑体" w:hAnsi="黑体" w:eastAsia="黑体" w:cs="黑体"/>
          <w:color w:val="333333"/>
          <w:kern w:val="2"/>
          <w:sz w:val="32"/>
          <w:szCs w:val="32"/>
          <w:shd w:val="clear" w:color="auto" w:fill="FFFFFF"/>
        </w:rPr>
        <w:t>（六）政务公开工作要点及省政务公开第三方评估工作落实情况</w:t>
      </w:r>
    </w:p>
    <w:p>
      <w:pPr>
        <w:ind w:firstLine="640" w:firstLineChars="200"/>
        <w:rPr>
          <w:rFonts w:hint="eastAsia" w:ascii="方正仿宋_GBK" w:hAnsi="方正仿宋_GBK" w:eastAsia="方正仿宋_GBK" w:cs="方正仿宋_GBK"/>
          <w:color w:val="000000" w:themeColor="text1"/>
          <w:sz w:val="32"/>
          <w:szCs w:val="32"/>
          <w:shd w:val="clear" w:color="auto" w:fill="FFFFFF"/>
        </w:rPr>
      </w:pPr>
      <w:r>
        <w:rPr>
          <w:rFonts w:hint="eastAsia" w:ascii="方正仿宋_GBK" w:hAnsi="方正仿宋_GBK" w:eastAsia="方正仿宋_GBK" w:cs="方正仿宋_GBK"/>
          <w:color w:val="000000" w:themeColor="text1"/>
          <w:sz w:val="32"/>
          <w:szCs w:val="32"/>
          <w:shd w:val="clear" w:color="auto" w:fill="FFFFFF"/>
        </w:rPr>
        <w:t>根据市局2022年政务公开工作要点的要求，县人民政府积极响应，及时制定切实可行的政务公开工作要点，</w:t>
      </w:r>
      <w:r>
        <w:rPr>
          <w:rFonts w:hint="eastAsia" w:ascii="方正仿宋_GBK" w:hAnsi="方正仿宋_GBK" w:eastAsia="方正仿宋_GBK" w:cs="方正仿宋_GBK"/>
          <w:color w:val="000000" w:themeColor="text1"/>
          <w:kern w:val="0"/>
          <w:sz w:val="32"/>
          <w:szCs w:val="32"/>
          <w:shd w:val="clear" w:color="auto" w:fill="FFFFFF"/>
        </w:rPr>
        <w:t>建设湘潭县政务公开工作要点专栏，涵盖重点领域信息公开、政务公开精准服务、夯实基层基础，涉及3大块，10大类，50个一级栏目，120余个子栏目。</w:t>
      </w:r>
      <w:r>
        <w:rPr>
          <w:rFonts w:hint="eastAsia" w:ascii="方正仿宋_GBK" w:hAnsi="方正仿宋_GBK" w:eastAsia="方正仿宋_GBK" w:cs="方正仿宋_GBK"/>
          <w:color w:val="000000" w:themeColor="text1"/>
          <w:sz w:val="32"/>
          <w:szCs w:val="32"/>
          <w:shd w:val="clear" w:color="auto" w:fill="FFFFFF"/>
        </w:rPr>
        <w:t>严格压实责任，及时更新发布相关政策文件，搭建政务公开工作要点专栏和重点领域信息公开专栏，组织各单位全面公开各领域政府信息，推进公共企事业单位信息公开，充分发挥政府网站作为政府信息公开第一平台作用。根据《中华人民共和国政府信息公开条例》和国、省《2022年政务公开工作要点》等文件精神及省政务服务领导小组的相关工作要求，认真对照省政务公开第三方评估指标逐项自查整改，对基础信息公开、重点领域信息公开、依申请公开、解读回应等方面内容进行了详细清查核实，并对重点领域信息公开做了全面调整，涉及22个重点领域信息公示，并新增了法治政府建设、市政建设、公共服务、公益事业、土地征收、房屋征收、治安管理、社会救助等方面信息的公示。</w:t>
      </w:r>
    </w:p>
    <w:p>
      <w:pPr>
        <w:pStyle w:val="5"/>
        <w:widowControl/>
        <w:spacing w:before="0" w:beforeAutospacing="0" w:after="0" w:afterAutospacing="0" w:line="560" w:lineRule="exact"/>
        <w:ind w:firstLine="420"/>
        <w:jc w:val="both"/>
        <w:rPr>
          <w:rFonts w:ascii="黑体" w:hAnsi="黑体" w:eastAsia="黑体" w:cs="黑体"/>
          <w:bCs/>
          <w:sz w:val="32"/>
          <w:szCs w:val="32"/>
        </w:rPr>
      </w:pPr>
      <w:r>
        <w:rPr>
          <w:rFonts w:hint="eastAsia" w:ascii="黑体" w:hAnsi="黑体" w:eastAsia="黑体" w:cs="黑体"/>
          <w:bCs/>
          <w:sz w:val="32"/>
          <w:szCs w:val="32"/>
        </w:rPr>
        <w:t>二、主动公开政府信息情况</w:t>
      </w:r>
    </w:p>
    <w:tbl>
      <w:tblPr>
        <w:tblStyle w:val="6"/>
        <w:tblW w:w="9064" w:type="dxa"/>
        <w:jc w:val="center"/>
        <w:tblLayout w:type="fixed"/>
        <w:tblCellMar>
          <w:top w:w="0" w:type="dxa"/>
          <w:left w:w="0" w:type="dxa"/>
          <w:bottom w:w="0" w:type="dxa"/>
          <w:right w:w="0" w:type="dxa"/>
        </w:tblCellMar>
      </w:tblPr>
      <w:tblGrid>
        <w:gridCol w:w="3113"/>
        <w:gridCol w:w="1881"/>
        <w:gridCol w:w="1979"/>
        <w:gridCol w:w="2091"/>
      </w:tblGrid>
      <w:tr>
        <w:tblPrEx>
          <w:tblCellMar>
            <w:top w:w="0" w:type="dxa"/>
            <w:left w:w="0" w:type="dxa"/>
            <w:bottom w:w="0" w:type="dxa"/>
            <w:right w:w="0" w:type="dxa"/>
          </w:tblCellMar>
        </w:tblPrEx>
        <w:trPr>
          <w:trHeight w:val="606" w:hRule="atLeast"/>
          <w:jc w:val="center"/>
        </w:trPr>
        <w:tc>
          <w:tcPr>
            <w:tcW w:w="9064" w:type="dxa"/>
            <w:gridSpan w:val="4"/>
            <w:tcBorders>
              <w:top w:val="single" w:color="auto" w:sz="8" w:space="0"/>
              <w:left w:val="single" w:color="auto" w:sz="8" w:space="0"/>
              <w:bottom w:val="single" w:color="auto" w:sz="8" w:space="0"/>
              <w:right w:val="single" w:color="auto" w:sz="8" w:space="0"/>
            </w:tcBorders>
            <w:shd w:val="clear" w:color="auto" w:fill="C6D9F1"/>
            <w:noWrap/>
            <w:tcMar>
              <w:left w:w="108" w:type="dxa"/>
              <w:right w:w="108" w:type="dxa"/>
            </w:tcMar>
            <w:vAlign w:val="center"/>
          </w:tcPr>
          <w:p>
            <w:pPr>
              <w:widowControl/>
              <w:spacing w:line="300" w:lineRule="exact"/>
              <w:jc w:val="center"/>
              <w:rPr>
                <w:rFonts w:ascii="宋体"/>
                <w:szCs w:val="21"/>
              </w:rPr>
            </w:pPr>
            <w:r>
              <w:rPr>
                <w:rFonts w:hint="eastAsia" w:ascii="宋体" w:cs="宋体"/>
                <w:color w:val="000000"/>
                <w:kern w:val="0"/>
                <w:szCs w:val="21"/>
              </w:rPr>
              <w:t>第二十条第（一）项</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spacing w:line="300" w:lineRule="exact"/>
              <w:jc w:val="center"/>
              <w:rPr>
                <w:rFonts w:ascii="宋体"/>
                <w:szCs w:val="21"/>
              </w:rPr>
            </w:pPr>
            <w:r>
              <w:rPr>
                <w:rFonts w:hint="eastAsia" w:ascii="宋体" w:cs="宋体"/>
                <w:color w:val="000000"/>
                <w:kern w:val="0"/>
                <w:szCs w:val="21"/>
              </w:rPr>
              <w:t>信息内容</w:t>
            </w:r>
          </w:p>
        </w:tc>
        <w:tc>
          <w:tcPr>
            <w:tcW w:w="1881" w:type="dxa"/>
            <w:tcBorders>
              <w:top w:val="single" w:color="auto" w:sz="8" w:space="0"/>
              <w:left w:val="nil"/>
              <w:bottom w:val="single" w:color="auto" w:sz="8" w:space="0"/>
              <w:right w:val="single" w:color="auto" w:sz="8" w:space="0"/>
            </w:tcBorders>
            <w:noWrap/>
            <w:tcMar>
              <w:left w:w="108" w:type="dxa"/>
              <w:right w:w="108" w:type="dxa"/>
            </w:tcMar>
            <w:vAlign w:val="center"/>
          </w:tcPr>
          <w:p>
            <w:pPr>
              <w:widowControl/>
              <w:spacing w:line="300" w:lineRule="exact"/>
              <w:jc w:val="center"/>
              <w:rPr>
                <w:rFonts w:ascii="宋体"/>
                <w:szCs w:val="21"/>
              </w:rPr>
            </w:pPr>
            <w:r>
              <w:rPr>
                <w:rFonts w:hint="eastAsia" w:ascii="宋体"/>
                <w:szCs w:val="21"/>
              </w:rPr>
              <w:t>本年制发件数</w:t>
            </w:r>
          </w:p>
        </w:tc>
        <w:tc>
          <w:tcPr>
            <w:tcW w:w="1979"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00" w:lineRule="exact"/>
              <w:jc w:val="center"/>
              <w:rPr>
                <w:rFonts w:ascii="宋体"/>
                <w:szCs w:val="21"/>
              </w:rPr>
            </w:pPr>
            <w:r>
              <w:rPr>
                <w:rFonts w:hint="eastAsia" w:ascii="宋体"/>
                <w:szCs w:val="21"/>
              </w:rPr>
              <w:t>本年废止件数</w:t>
            </w:r>
          </w:p>
        </w:tc>
        <w:tc>
          <w:tcPr>
            <w:tcW w:w="2091" w:type="dxa"/>
            <w:tcBorders>
              <w:top w:val="nil"/>
              <w:left w:val="nil"/>
              <w:bottom w:val="single" w:color="auto" w:sz="8" w:space="0"/>
              <w:right w:val="single" w:color="auto" w:sz="8" w:space="0"/>
            </w:tcBorders>
            <w:noWrap/>
            <w:tcMar>
              <w:left w:w="108" w:type="dxa"/>
              <w:right w:w="108" w:type="dxa"/>
            </w:tcMar>
            <w:vAlign w:val="center"/>
          </w:tcPr>
          <w:p>
            <w:pPr>
              <w:widowControl/>
              <w:spacing w:line="300" w:lineRule="exact"/>
              <w:jc w:val="center"/>
              <w:rPr>
                <w:rFonts w:ascii="宋体"/>
                <w:szCs w:val="21"/>
              </w:rPr>
            </w:pPr>
            <w:r>
              <w:rPr>
                <w:rFonts w:hint="eastAsia" w:ascii="宋体"/>
                <w:szCs w:val="21"/>
              </w:rPr>
              <w:t>现行有效件数</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spacing w:line="300" w:lineRule="exact"/>
              <w:jc w:val="center"/>
              <w:rPr>
                <w:rFonts w:ascii="宋体"/>
                <w:szCs w:val="21"/>
              </w:rPr>
            </w:pPr>
            <w:r>
              <w:rPr>
                <w:rFonts w:hint="eastAsia" w:ascii="宋体" w:cs="宋体"/>
                <w:color w:val="000000"/>
                <w:kern w:val="0"/>
                <w:szCs w:val="21"/>
              </w:rPr>
              <w:t>规章</w:t>
            </w:r>
          </w:p>
        </w:tc>
        <w:tc>
          <w:tcPr>
            <w:tcW w:w="1881" w:type="dxa"/>
            <w:tcBorders>
              <w:top w:val="nil"/>
              <w:left w:val="nil"/>
              <w:bottom w:val="single" w:color="auto" w:sz="8" w:space="0"/>
              <w:right w:val="single" w:color="auto" w:sz="8" w:space="0"/>
            </w:tcBorders>
            <w:noWrap/>
            <w:tcMar>
              <w:left w:w="108" w:type="dxa"/>
              <w:right w:w="108" w:type="dxa"/>
            </w:tcMar>
            <w:vAlign w:val="center"/>
          </w:tcPr>
          <w:p>
            <w:pPr>
              <w:widowControl/>
              <w:spacing w:line="300" w:lineRule="exact"/>
              <w:jc w:val="center"/>
              <w:rPr>
                <w:rFonts w:hint="eastAsia" w:ascii="宋体" w:eastAsia="宋体"/>
                <w:szCs w:val="21"/>
                <w:lang w:val="en-US" w:eastAsia="zh-CN"/>
              </w:rPr>
            </w:pPr>
            <w:r>
              <w:rPr>
                <w:rFonts w:hint="eastAsia" w:ascii="宋体" w:eastAsia="宋体"/>
                <w:szCs w:val="21"/>
                <w:lang w:val="en-US" w:eastAsia="zh-CN"/>
              </w:rPr>
              <w:t>0</w:t>
            </w:r>
          </w:p>
        </w:tc>
        <w:tc>
          <w:tcPr>
            <w:tcW w:w="1979"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ascii="宋体" w:eastAsia="宋体"/>
                <w:szCs w:val="21"/>
              </w:rPr>
            </w:pPr>
            <w:r>
              <w:rPr>
                <w:rFonts w:hint="eastAsia" w:ascii="宋体" w:eastAsia="宋体"/>
                <w:szCs w:val="21"/>
              </w:rPr>
              <w:t>0</w:t>
            </w:r>
          </w:p>
        </w:tc>
        <w:tc>
          <w:tcPr>
            <w:tcW w:w="2091" w:type="dxa"/>
            <w:tcBorders>
              <w:top w:val="nil"/>
              <w:left w:val="nil"/>
              <w:bottom w:val="single" w:color="auto" w:sz="8" w:space="0"/>
              <w:right w:val="single" w:color="auto" w:sz="8" w:space="0"/>
            </w:tcBorders>
            <w:noWrap/>
            <w:tcMar>
              <w:left w:w="108" w:type="dxa"/>
              <w:right w:w="108" w:type="dxa"/>
            </w:tcMar>
            <w:vAlign w:val="center"/>
          </w:tcPr>
          <w:p>
            <w:pPr>
              <w:widowControl/>
              <w:spacing w:line="300" w:lineRule="exact"/>
              <w:jc w:val="center"/>
              <w:rPr>
                <w:rFonts w:hint="eastAsia" w:ascii="宋体" w:eastAsia="宋体"/>
                <w:szCs w:val="21"/>
                <w:lang w:val="en-US" w:eastAsia="zh-CN"/>
              </w:rPr>
            </w:pPr>
            <w:r>
              <w:rPr>
                <w:rFonts w:hint="eastAsia" w:ascii="宋体" w:eastAsia="宋体"/>
                <w:szCs w:val="21"/>
                <w:lang w:val="en-US" w:eastAsia="zh-CN"/>
              </w:rPr>
              <w:t>0</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spacing w:line="300" w:lineRule="exact"/>
              <w:jc w:val="center"/>
              <w:rPr>
                <w:rFonts w:ascii="宋体"/>
                <w:szCs w:val="21"/>
              </w:rPr>
            </w:pPr>
            <w:r>
              <w:rPr>
                <w:rFonts w:hint="eastAsia" w:ascii="宋体" w:cs="宋体"/>
                <w:color w:val="000000"/>
                <w:kern w:val="0"/>
                <w:szCs w:val="21"/>
              </w:rPr>
              <w:t>行政规范性文件</w:t>
            </w:r>
          </w:p>
        </w:tc>
        <w:tc>
          <w:tcPr>
            <w:tcW w:w="1881" w:type="dxa"/>
            <w:tcBorders>
              <w:top w:val="nil"/>
              <w:left w:val="nil"/>
              <w:bottom w:val="single" w:color="auto" w:sz="8" w:space="0"/>
              <w:right w:val="single" w:color="auto" w:sz="8" w:space="0"/>
            </w:tcBorders>
            <w:noWrap/>
            <w:tcMar>
              <w:left w:w="108" w:type="dxa"/>
              <w:right w:w="108" w:type="dxa"/>
            </w:tcMar>
            <w:vAlign w:val="center"/>
          </w:tcPr>
          <w:p>
            <w:pPr>
              <w:widowControl/>
              <w:spacing w:line="300" w:lineRule="exact"/>
              <w:jc w:val="center"/>
              <w:rPr>
                <w:rFonts w:hint="default" w:ascii="宋体" w:eastAsia="宋体"/>
                <w:szCs w:val="21"/>
                <w:lang w:val="en-US" w:eastAsia="zh-CN"/>
              </w:rPr>
            </w:pPr>
            <w:r>
              <w:rPr>
                <w:rFonts w:hint="eastAsia" w:ascii="宋体" w:eastAsia="宋体"/>
                <w:szCs w:val="21"/>
                <w:lang w:val="en-US" w:eastAsia="zh-CN"/>
              </w:rPr>
              <w:t>11</w:t>
            </w:r>
          </w:p>
        </w:tc>
        <w:tc>
          <w:tcPr>
            <w:tcW w:w="1979"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default" w:ascii="宋体" w:eastAsia="宋体"/>
                <w:szCs w:val="21"/>
                <w:lang w:val="en-US" w:eastAsia="zh-CN"/>
              </w:rPr>
            </w:pPr>
            <w:r>
              <w:rPr>
                <w:rFonts w:hint="eastAsia" w:ascii="宋体" w:eastAsia="宋体"/>
                <w:szCs w:val="21"/>
                <w:lang w:val="en-US" w:eastAsia="zh-CN"/>
              </w:rPr>
              <w:t>0</w:t>
            </w:r>
          </w:p>
        </w:tc>
        <w:tc>
          <w:tcPr>
            <w:tcW w:w="2091" w:type="dxa"/>
            <w:tcBorders>
              <w:top w:val="nil"/>
              <w:left w:val="nil"/>
              <w:bottom w:val="single" w:color="auto" w:sz="8" w:space="0"/>
              <w:right w:val="single" w:color="auto" w:sz="8" w:space="0"/>
            </w:tcBorders>
            <w:noWrap/>
            <w:tcMar>
              <w:left w:w="108" w:type="dxa"/>
              <w:right w:w="108" w:type="dxa"/>
            </w:tcMar>
            <w:vAlign w:val="center"/>
          </w:tcPr>
          <w:p>
            <w:pPr>
              <w:widowControl/>
              <w:spacing w:line="300" w:lineRule="exact"/>
              <w:jc w:val="center"/>
              <w:rPr>
                <w:rFonts w:hint="default" w:ascii="宋体" w:eastAsia="宋体"/>
                <w:szCs w:val="21"/>
                <w:lang w:val="en-US" w:eastAsia="zh-CN"/>
              </w:rPr>
            </w:pPr>
            <w:r>
              <w:rPr>
                <w:rFonts w:hint="eastAsia" w:ascii="宋体" w:eastAsia="宋体"/>
                <w:szCs w:val="21"/>
                <w:lang w:val="en-US" w:eastAsia="zh-CN"/>
              </w:rPr>
              <w:t>143</w:t>
            </w:r>
          </w:p>
        </w:tc>
      </w:tr>
      <w:tr>
        <w:tblPrEx>
          <w:tblCellMar>
            <w:top w:w="0" w:type="dxa"/>
            <w:left w:w="0" w:type="dxa"/>
            <w:bottom w:w="0" w:type="dxa"/>
            <w:right w:w="0" w:type="dxa"/>
          </w:tblCellMar>
        </w:tblPrEx>
        <w:trPr>
          <w:trHeight w:val="606" w:hRule="atLeast"/>
          <w:jc w:val="center"/>
        </w:trPr>
        <w:tc>
          <w:tcPr>
            <w:tcW w:w="9064"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widowControl/>
              <w:spacing w:line="300" w:lineRule="exact"/>
              <w:jc w:val="center"/>
              <w:rPr>
                <w:rFonts w:ascii="宋体"/>
                <w:szCs w:val="21"/>
              </w:rPr>
            </w:pPr>
            <w:r>
              <w:rPr>
                <w:rFonts w:hint="eastAsia" w:ascii="宋体"/>
                <w:szCs w:val="21"/>
              </w:rPr>
              <w:t>第二十条第（五）项</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spacing w:line="300" w:lineRule="exact"/>
              <w:jc w:val="center"/>
              <w:rPr>
                <w:rFonts w:ascii="宋体"/>
                <w:szCs w:val="21"/>
              </w:rPr>
            </w:pPr>
            <w:r>
              <w:rPr>
                <w:rFonts w:hint="eastAsia" w:ascii="宋体" w:cs="宋体"/>
                <w:color w:val="000000"/>
                <w:kern w:val="0"/>
                <w:szCs w:val="21"/>
              </w:rPr>
              <w:t>信息内容</w:t>
            </w:r>
          </w:p>
        </w:tc>
        <w:tc>
          <w:tcPr>
            <w:tcW w:w="5951" w:type="dxa"/>
            <w:gridSpan w:val="3"/>
            <w:tcBorders>
              <w:top w:val="single" w:color="auto" w:sz="8" w:space="0"/>
              <w:left w:val="nil"/>
              <w:bottom w:val="single" w:color="auto" w:sz="8" w:space="0"/>
              <w:right w:val="single" w:color="auto" w:sz="8" w:space="0"/>
            </w:tcBorders>
            <w:noWrap/>
            <w:tcMar>
              <w:left w:w="108" w:type="dxa"/>
              <w:right w:w="108" w:type="dxa"/>
            </w:tcMar>
            <w:vAlign w:val="center"/>
          </w:tcPr>
          <w:p>
            <w:pPr>
              <w:widowControl/>
              <w:spacing w:line="300" w:lineRule="exact"/>
              <w:jc w:val="center"/>
              <w:rPr>
                <w:rFonts w:ascii="宋体"/>
                <w:szCs w:val="21"/>
              </w:rPr>
            </w:pPr>
            <w:r>
              <w:rPr>
                <w:rFonts w:ascii="宋体" w:eastAsia="宋体" w:cs="宋体"/>
                <w:color w:val="000000"/>
                <w:kern w:val="0"/>
                <w:szCs w:val="21"/>
              </w:rPr>
              <w:t>本年处理决定数量</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spacing w:line="300" w:lineRule="exact"/>
              <w:jc w:val="center"/>
              <w:rPr>
                <w:rFonts w:ascii="宋体"/>
                <w:szCs w:val="21"/>
              </w:rPr>
            </w:pPr>
            <w:r>
              <w:rPr>
                <w:rFonts w:hint="eastAsia" w:ascii="宋体" w:cs="宋体"/>
                <w:color w:val="000000"/>
                <w:kern w:val="0"/>
                <w:szCs w:val="21"/>
              </w:rPr>
              <w:t>行政许可</w:t>
            </w:r>
          </w:p>
        </w:tc>
        <w:tc>
          <w:tcPr>
            <w:tcW w:w="5951" w:type="dxa"/>
            <w:gridSpan w:val="3"/>
            <w:tcBorders>
              <w:top w:val="nil"/>
              <w:left w:val="nil"/>
              <w:bottom w:val="single" w:color="auto" w:sz="8" w:space="0"/>
              <w:right w:val="single" w:color="auto" w:sz="8" w:space="0"/>
            </w:tcBorders>
            <w:noWrap/>
            <w:tcMar>
              <w:left w:w="108" w:type="dxa"/>
              <w:right w:w="108" w:type="dxa"/>
            </w:tcMar>
            <w:vAlign w:val="center"/>
          </w:tcPr>
          <w:p>
            <w:pPr>
              <w:widowControl/>
              <w:spacing w:line="300" w:lineRule="exact"/>
              <w:jc w:val="center"/>
              <w:rPr>
                <w:rFonts w:ascii="宋体" w:eastAsia="宋体"/>
                <w:szCs w:val="21"/>
              </w:rPr>
            </w:pPr>
            <w:r>
              <w:rPr>
                <w:rFonts w:hint="eastAsia" w:ascii="宋体" w:eastAsia="宋体"/>
                <w:szCs w:val="21"/>
              </w:rPr>
              <w:t>7302</w:t>
            </w:r>
          </w:p>
        </w:tc>
      </w:tr>
      <w:tr>
        <w:tblPrEx>
          <w:tblCellMar>
            <w:top w:w="0" w:type="dxa"/>
            <w:left w:w="0" w:type="dxa"/>
            <w:bottom w:w="0" w:type="dxa"/>
            <w:right w:w="0" w:type="dxa"/>
          </w:tblCellMar>
        </w:tblPrEx>
        <w:trPr>
          <w:trHeight w:val="606" w:hRule="atLeast"/>
          <w:jc w:val="center"/>
        </w:trPr>
        <w:tc>
          <w:tcPr>
            <w:tcW w:w="9064"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widowControl/>
              <w:spacing w:line="300" w:lineRule="exact"/>
              <w:jc w:val="center"/>
              <w:rPr>
                <w:rFonts w:ascii="宋体"/>
                <w:szCs w:val="21"/>
              </w:rPr>
            </w:pPr>
            <w:r>
              <w:rPr>
                <w:rFonts w:hint="eastAsia" w:ascii="宋体"/>
                <w:szCs w:val="21"/>
              </w:rPr>
              <w:t>第二十条第（六）项</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spacing w:line="300" w:lineRule="exact"/>
              <w:jc w:val="center"/>
              <w:rPr>
                <w:rFonts w:ascii="宋体"/>
                <w:szCs w:val="21"/>
              </w:rPr>
            </w:pPr>
            <w:r>
              <w:rPr>
                <w:rFonts w:hint="eastAsia" w:ascii="宋体" w:cs="宋体"/>
                <w:color w:val="000000"/>
                <w:kern w:val="0"/>
                <w:szCs w:val="21"/>
              </w:rPr>
              <w:t>信息内容</w:t>
            </w:r>
          </w:p>
        </w:tc>
        <w:tc>
          <w:tcPr>
            <w:tcW w:w="5951" w:type="dxa"/>
            <w:gridSpan w:val="3"/>
            <w:tcBorders>
              <w:top w:val="single" w:color="auto" w:sz="8" w:space="0"/>
              <w:left w:val="nil"/>
              <w:bottom w:val="single" w:color="auto" w:sz="8" w:space="0"/>
              <w:right w:val="single" w:color="auto" w:sz="8" w:space="0"/>
            </w:tcBorders>
            <w:noWrap/>
            <w:tcMar>
              <w:left w:w="108" w:type="dxa"/>
              <w:right w:w="108" w:type="dxa"/>
            </w:tcMar>
            <w:vAlign w:val="center"/>
          </w:tcPr>
          <w:p>
            <w:pPr>
              <w:widowControl/>
              <w:spacing w:line="300" w:lineRule="exact"/>
              <w:jc w:val="center"/>
              <w:rPr>
                <w:rFonts w:ascii="宋体"/>
                <w:szCs w:val="21"/>
              </w:rPr>
            </w:pPr>
            <w:r>
              <w:rPr>
                <w:rFonts w:ascii="宋体" w:eastAsia="宋体" w:cs="宋体"/>
                <w:color w:val="000000"/>
                <w:kern w:val="0"/>
                <w:szCs w:val="21"/>
              </w:rPr>
              <w:t>本年处理决定数量</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spacing w:line="300" w:lineRule="exact"/>
              <w:jc w:val="center"/>
              <w:rPr>
                <w:rFonts w:ascii="宋体"/>
                <w:szCs w:val="21"/>
              </w:rPr>
            </w:pPr>
            <w:r>
              <w:rPr>
                <w:rFonts w:hint="eastAsia" w:ascii="宋体" w:cs="宋体"/>
                <w:color w:val="000000"/>
                <w:kern w:val="0"/>
                <w:szCs w:val="21"/>
              </w:rPr>
              <w:t>行政处罚</w:t>
            </w:r>
          </w:p>
        </w:tc>
        <w:tc>
          <w:tcPr>
            <w:tcW w:w="5951" w:type="dxa"/>
            <w:gridSpan w:val="3"/>
            <w:tcBorders>
              <w:top w:val="nil"/>
              <w:left w:val="nil"/>
              <w:bottom w:val="single" w:color="auto" w:sz="8" w:space="0"/>
              <w:right w:val="single" w:color="auto" w:sz="8" w:space="0"/>
            </w:tcBorders>
            <w:noWrap/>
            <w:tcMar>
              <w:left w:w="108" w:type="dxa"/>
              <w:right w:w="108" w:type="dxa"/>
            </w:tcMar>
            <w:vAlign w:val="center"/>
          </w:tcPr>
          <w:p>
            <w:pPr>
              <w:widowControl/>
              <w:spacing w:line="300" w:lineRule="exact"/>
              <w:jc w:val="center"/>
              <w:rPr>
                <w:rFonts w:ascii="宋体" w:eastAsia="宋体"/>
                <w:szCs w:val="21"/>
              </w:rPr>
            </w:pPr>
            <w:r>
              <w:rPr>
                <w:rFonts w:hint="eastAsia" w:ascii="宋体" w:eastAsia="宋体"/>
                <w:szCs w:val="21"/>
              </w:rPr>
              <w:t>2449</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spacing w:line="300" w:lineRule="exact"/>
              <w:jc w:val="center"/>
              <w:rPr>
                <w:rFonts w:ascii="宋体"/>
                <w:szCs w:val="21"/>
              </w:rPr>
            </w:pPr>
            <w:r>
              <w:rPr>
                <w:rFonts w:hint="eastAsia" w:ascii="宋体" w:cs="宋体"/>
                <w:color w:val="000000"/>
                <w:kern w:val="0"/>
                <w:szCs w:val="21"/>
              </w:rPr>
              <w:t>行政强制</w:t>
            </w:r>
          </w:p>
        </w:tc>
        <w:tc>
          <w:tcPr>
            <w:tcW w:w="5951" w:type="dxa"/>
            <w:gridSpan w:val="3"/>
            <w:tcBorders>
              <w:top w:val="nil"/>
              <w:left w:val="nil"/>
              <w:bottom w:val="single" w:color="auto" w:sz="8" w:space="0"/>
              <w:right w:val="single" w:color="auto" w:sz="8" w:space="0"/>
            </w:tcBorders>
            <w:noWrap/>
            <w:tcMar>
              <w:left w:w="108" w:type="dxa"/>
              <w:right w:w="108" w:type="dxa"/>
            </w:tcMar>
            <w:vAlign w:val="center"/>
          </w:tcPr>
          <w:p>
            <w:pPr>
              <w:widowControl/>
              <w:spacing w:line="300" w:lineRule="exact"/>
              <w:jc w:val="center"/>
              <w:rPr>
                <w:rFonts w:ascii="宋体" w:eastAsia="宋体"/>
                <w:szCs w:val="21"/>
              </w:rPr>
            </w:pPr>
            <w:r>
              <w:rPr>
                <w:rFonts w:hint="eastAsia" w:ascii="宋体" w:eastAsia="宋体"/>
                <w:szCs w:val="21"/>
              </w:rPr>
              <w:t>602</w:t>
            </w:r>
          </w:p>
        </w:tc>
      </w:tr>
      <w:tr>
        <w:tblPrEx>
          <w:tblCellMar>
            <w:top w:w="0" w:type="dxa"/>
            <w:left w:w="0" w:type="dxa"/>
            <w:bottom w:w="0" w:type="dxa"/>
            <w:right w:w="0" w:type="dxa"/>
          </w:tblCellMar>
        </w:tblPrEx>
        <w:trPr>
          <w:trHeight w:val="606" w:hRule="atLeast"/>
          <w:jc w:val="center"/>
        </w:trPr>
        <w:tc>
          <w:tcPr>
            <w:tcW w:w="9064"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widowControl/>
              <w:spacing w:line="300" w:lineRule="exact"/>
              <w:jc w:val="center"/>
              <w:rPr>
                <w:rFonts w:ascii="宋体"/>
                <w:szCs w:val="21"/>
              </w:rPr>
            </w:pPr>
            <w:r>
              <w:rPr>
                <w:rFonts w:hint="eastAsia" w:ascii="宋体"/>
                <w:szCs w:val="21"/>
              </w:rPr>
              <w:t>第二十条第（八）项</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spacing w:line="300" w:lineRule="exact"/>
              <w:jc w:val="center"/>
              <w:rPr>
                <w:rFonts w:ascii="宋体"/>
                <w:szCs w:val="21"/>
              </w:rPr>
            </w:pPr>
            <w:r>
              <w:rPr>
                <w:rFonts w:hint="eastAsia" w:ascii="宋体" w:cs="宋体"/>
                <w:color w:val="000000"/>
                <w:kern w:val="0"/>
                <w:szCs w:val="21"/>
              </w:rPr>
              <w:t>信息内容</w:t>
            </w:r>
          </w:p>
        </w:tc>
        <w:tc>
          <w:tcPr>
            <w:tcW w:w="5951" w:type="dxa"/>
            <w:gridSpan w:val="3"/>
            <w:tcBorders>
              <w:top w:val="nil"/>
              <w:left w:val="nil"/>
              <w:bottom w:val="single" w:color="auto" w:sz="8" w:space="0"/>
              <w:right w:val="single" w:color="000000" w:sz="8" w:space="0"/>
            </w:tcBorders>
            <w:noWrap/>
            <w:tcMar>
              <w:left w:w="108" w:type="dxa"/>
              <w:right w:w="108" w:type="dxa"/>
            </w:tcMar>
            <w:vAlign w:val="center"/>
          </w:tcPr>
          <w:p>
            <w:pPr>
              <w:widowControl/>
              <w:spacing w:line="300" w:lineRule="exact"/>
              <w:jc w:val="center"/>
              <w:rPr>
                <w:rFonts w:ascii="宋体"/>
                <w:szCs w:val="21"/>
              </w:rPr>
            </w:pPr>
            <w:r>
              <w:rPr>
                <w:rFonts w:ascii="宋体" w:eastAsia="宋体" w:cs="宋体"/>
                <w:color w:val="000000"/>
                <w:kern w:val="0"/>
                <w:szCs w:val="21"/>
              </w:rPr>
              <w:t>本年收费金额（单位：万元）</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spacing w:line="300" w:lineRule="exact"/>
              <w:jc w:val="center"/>
              <w:rPr>
                <w:rFonts w:ascii="宋体"/>
                <w:szCs w:val="21"/>
              </w:rPr>
            </w:pPr>
            <w:r>
              <w:rPr>
                <w:rFonts w:hint="eastAsia" w:ascii="宋体" w:cs="宋体"/>
                <w:color w:val="000000"/>
                <w:kern w:val="0"/>
                <w:szCs w:val="21"/>
              </w:rPr>
              <w:t>行政事业性收费</w:t>
            </w:r>
          </w:p>
        </w:tc>
        <w:tc>
          <w:tcPr>
            <w:tcW w:w="5951" w:type="dxa"/>
            <w:gridSpan w:val="3"/>
            <w:tcBorders>
              <w:top w:val="nil"/>
              <w:left w:val="nil"/>
              <w:bottom w:val="single" w:color="auto" w:sz="8" w:space="0"/>
              <w:right w:val="single" w:color="000000" w:sz="8" w:space="0"/>
            </w:tcBorders>
            <w:noWrap/>
            <w:tcMar>
              <w:left w:w="108" w:type="dxa"/>
              <w:right w:w="108" w:type="dxa"/>
            </w:tcMar>
            <w:vAlign w:val="center"/>
          </w:tcPr>
          <w:p>
            <w:pPr>
              <w:widowControl/>
              <w:spacing w:line="300" w:lineRule="exact"/>
              <w:jc w:val="center"/>
              <w:rPr>
                <w:rFonts w:ascii="宋体"/>
                <w:szCs w:val="21"/>
              </w:rPr>
            </w:pPr>
            <w:r>
              <w:rPr>
                <w:rFonts w:hint="eastAsia" w:ascii="宋体"/>
                <w:szCs w:val="21"/>
              </w:rPr>
              <w:t>5040.4751</w:t>
            </w:r>
          </w:p>
        </w:tc>
      </w:tr>
    </w:tbl>
    <w:p>
      <w:pPr>
        <w:pStyle w:val="5"/>
        <w:widowControl/>
        <w:spacing w:before="0" w:beforeAutospacing="0" w:after="240" w:afterAutospacing="0"/>
        <w:jc w:val="both"/>
        <w:rPr>
          <w:rFonts w:hint="eastAsia" w:eastAsia="黑体"/>
          <w:bCs/>
          <w:sz w:val="32"/>
          <w:szCs w:val="32"/>
        </w:rPr>
      </w:pPr>
    </w:p>
    <w:p>
      <w:pPr>
        <w:pStyle w:val="5"/>
        <w:widowControl/>
        <w:spacing w:before="0" w:beforeAutospacing="0" w:after="240" w:afterAutospacing="0"/>
        <w:jc w:val="both"/>
        <w:rPr>
          <w:rFonts w:hint="eastAsia" w:eastAsia="黑体"/>
          <w:bCs/>
          <w:sz w:val="32"/>
          <w:szCs w:val="32"/>
        </w:rPr>
      </w:pPr>
    </w:p>
    <w:p>
      <w:pPr>
        <w:pStyle w:val="5"/>
        <w:widowControl/>
        <w:spacing w:before="0" w:beforeAutospacing="0" w:after="240" w:afterAutospacing="0"/>
        <w:jc w:val="both"/>
        <w:rPr>
          <w:rFonts w:hint="eastAsia" w:eastAsia="黑体"/>
          <w:bCs/>
          <w:sz w:val="32"/>
          <w:szCs w:val="32"/>
        </w:rPr>
      </w:pPr>
    </w:p>
    <w:p>
      <w:pPr>
        <w:pStyle w:val="5"/>
        <w:widowControl/>
        <w:spacing w:before="0" w:beforeAutospacing="0" w:after="240" w:afterAutospacing="0"/>
        <w:jc w:val="both"/>
        <w:rPr>
          <w:rFonts w:eastAsia="黑体"/>
          <w:bCs/>
          <w:sz w:val="32"/>
          <w:szCs w:val="32"/>
        </w:rPr>
      </w:pPr>
      <w:r>
        <w:rPr>
          <w:rFonts w:hint="eastAsia" w:eastAsia="黑体"/>
          <w:bCs/>
          <w:sz w:val="32"/>
          <w:szCs w:val="32"/>
        </w:rPr>
        <w:t>三</w:t>
      </w:r>
      <w:r>
        <w:rPr>
          <w:rFonts w:eastAsia="黑体"/>
          <w:bCs/>
          <w:sz w:val="32"/>
          <w:szCs w:val="32"/>
        </w:rPr>
        <w:t>、</w:t>
      </w:r>
      <w:r>
        <w:rPr>
          <w:rFonts w:eastAsia="黑体"/>
          <w:bCs/>
          <w:color w:val="333333"/>
          <w:sz w:val="32"/>
          <w:szCs w:val="32"/>
          <w:shd w:val="clear" w:color="auto" w:fill="FFFFFF"/>
        </w:rPr>
        <w:t>收到和处理政府信息公开申请情况</w:t>
      </w:r>
    </w:p>
    <w:tbl>
      <w:tblPr>
        <w:tblStyle w:val="6"/>
        <w:tblW w:w="9624"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825"/>
        <w:gridCol w:w="855"/>
        <w:gridCol w:w="2998"/>
        <w:gridCol w:w="555"/>
        <w:gridCol w:w="776"/>
        <w:gridCol w:w="720"/>
        <w:gridCol w:w="750"/>
        <w:gridCol w:w="660"/>
        <w:gridCol w:w="735"/>
        <w:gridCol w:w="75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0" w:hRule="atLeast"/>
          <w:jc w:val="center"/>
        </w:trPr>
        <w:tc>
          <w:tcPr>
            <w:tcW w:w="4678" w:type="dxa"/>
            <w:gridSpan w:val="3"/>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rFonts w:eastAsia="楷体"/>
                <w:sz w:val="24"/>
              </w:rPr>
              <w:t>（本列数据的勾稽关系为：第一项加第二项之和，等于第三项加第四项之和）</w:t>
            </w:r>
          </w:p>
        </w:tc>
        <w:tc>
          <w:tcPr>
            <w:tcW w:w="4946" w:type="dxa"/>
            <w:gridSpan w:val="7"/>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kern w:val="0"/>
                <w:szCs w:val="21"/>
              </w:rPr>
              <w:t>申请人情况</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0" w:hRule="atLeast"/>
          <w:jc w:val="center"/>
        </w:trPr>
        <w:tc>
          <w:tcPr>
            <w:tcW w:w="4678" w:type="dxa"/>
            <w:gridSpan w:val="3"/>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szCs w:val="21"/>
              </w:rPr>
            </w:pPr>
          </w:p>
        </w:tc>
        <w:tc>
          <w:tcPr>
            <w:tcW w:w="555" w:type="dxa"/>
            <w:vMerge w:val="restart"/>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rPr>
                <w:szCs w:val="21"/>
              </w:rPr>
            </w:pPr>
            <w:r>
              <w:rPr>
                <w:kern w:val="0"/>
                <w:szCs w:val="21"/>
              </w:rPr>
              <w:t>自然人</w:t>
            </w:r>
          </w:p>
        </w:tc>
        <w:tc>
          <w:tcPr>
            <w:tcW w:w="3641" w:type="dxa"/>
            <w:gridSpan w:val="5"/>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260" w:lineRule="exact"/>
              <w:jc w:val="center"/>
              <w:rPr>
                <w:szCs w:val="21"/>
              </w:rPr>
            </w:pPr>
            <w:r>
              <w:rPr>
                <w:kern w:val="0"/>
                <w:szCs w:val="21"/>
              </w:rPr>
              <w:t>法人或其他组织</w:t>
            </w:r>
          </w:p>
        </w:tc>
        <w:tc>
          <w:tcPr>
            <w:tcW w:w="750"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kern w:val="0"/>
                <w:szCs w:val="21"/>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48" w:hRule="atLeast"/>
          <w:jc w:val="center"/>
        </w:trPr>
        <w:tc>
          <w:tcPr>
            <w:tcW w:w="4678" w:type="dxa"/>
            <w:gridSpan w:val="3"/>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szCs w:val="21"/>
              </w:rPr>
            </w:pPr>
          </w:p>
        </w:tc>
        <w:tc>
          <w:tcPr>
            <w:tcW w:w="555" w:type="dxa"/>
            <w:vMerge w:val="continue"/>
            <w:tcBorders>
              <w:top w:val="nil"/>
              <w:left w:val="nil"/>
              <w:bottom w:val="single" w:color="auto" w:sz="8" w:space="0"/>
              <w:right w:val="single" w:color="auto" w:sz="8" w:space="0"/>
            </w:tcBorders>
            <w:tcMar>
              <w:left w:w="108" w:type="dxa"/>
              <w:right w:w="108" w:type="dxa"/>
            </w:tcMar>
            <w:vAlign w:val="center"/>
          </w:tcPr>
          <w:p>
            <w:pPr>
              <w:rPr>
                <w:szCs w:val="21"/>
              </w:rPr>
            </w:pP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rPr>
                <w:szCs w:val="21"/>
              </w:rPr>
            </w:pPr>
            <w:r>
              <w:rPr>
                <w:kern w:val="0"/>
                <w:szCs w:val="21"/>
              </w:rPr>
              <w:t>商业企业</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rPr>
                <w:szCs w:val="21"/>
              </w:rPr>
            </w:pPr>
            <w:r>
              <w:rPr>
                <w:kern w:val="0"/>
                <w:szCs w:val="21"/>
              </w:rPr>
              <w:t>科研机构</w:t>
            </w:r>
          </w:p>
        </w:tc>
        <w:tc>
          <w:tcPr>
            <w:tcW w:w="750"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260" w:lineRule="exact"/>
              <w:jc w:val="center"/>
              <w:rPr>
                <w:szCs w:val="21"/>
              </w:rPr>
            </w:pPr>
            <w:r>
              <w:rPr>
                <w:kern w:val="0"/>
                <w:szCs w:val="21"/>
              </w:rPr>
              <w:t>社会公益组织</w:t>
            </w:r>
          </w:p>
        </w:tc>
        <w:tc>
          <w:tcPr>
            <w:tcW w:w="660"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260" w:lineRule="exact"/>
              <w:jc w:val="center"/>
              <w:rPr>
                <w:szCs w:val="21"/>
              </w:rPr>
            </w:pPr>
            <w:r>
              <w:rPr>
                <w:kern w:val="0"/>
                <w:szCs w:val="21"/>
              </w:rPr>
              <w:t>法律服务机构</w:t>
            </w:r>
          </w:p>
        </w:tc>
        <w:tc>
          <w:tcPr>
            <w:tcW w:w="735"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260" w:lineRule="exact"/>
              <w:jc w:val="center"/>
              <w:rPr>
                <w:szCs w:val="21"/>
              </w:rPr>
            </w:pPr>
            <w:r>
              <w:rPr>
                <w:kern w:val="0"/>
                <w:szCs w:val="21"/>
              </w:rPr>
              <w:t>其他</w:t>
            </w:r>
          </w:p>
        </w:tc>
        <w:tc>
          <w:tcPr>
            <w:tcW w:w="750"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rPr>
                <w:szCs w:val="21"/>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7" w:hRule="atLeast"/>
          <w:jc w:val="center"/>
        </w:trPr>
        <w:tc>
          <w:tcPr>
            <w:tcW w:w="4678" w:type="dxa"/>
            <w:gridSpan w:val="3"/>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300" w:lineRule="exact"/>
              <w:jc w:val="left"/>
              <w:rPr>
                <w:szCs w:val="21"/>
              </w:rPr>
            </w:pPr>
            <w:r>
              <w:rPr>
                <w:kern w:val="0"/>
                <w:szCs w:val="21"/>
              </w:rPr>
              <w:t>一、本年新收政府信息公开申请数量</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97</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97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7" w:hRule="atLeast"/>
          <w:jc w:val="center"/>
        </w:trPr>
        <w:tc>
          <w:tcPr>
            <w:tcW w:w="4678" w:type="dxa"/>
            <w:gridSpan w:val="3"/>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300" w:lineRule="exact"/>
              <w:jc w:val="left"/>
              <w:rPr>
                <w:szCs w:val="21"/>
              </w:rPr>
            </w:pPr>
            <w:r>
              <w:rPr>
                <w:kern w:val="0"/>
                <w:szCs w:val="21"/>
              </w:rPr>
              <w:t>二、上年结转政府信息公开申请数量</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72" w:hRule="exact"/>
          <w:jc w:val="center"/>
        </w:trPr>
        <w:tc>
          <w:tcPr>
            <w:tcW w:w="825" w:type="dxa"/>
            <w:vMerge w:val="restart"/>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kern w:val="0"/>
                <w:szCs w:val="21"/>
              </w:rPr>
              <w:t>三、本年度办理结果</w:t>
            </w:r>
          </w:p>
        </w:tc>
        <w:tc>
          <w:tcPr>
            <w:tcW w:w="3853" w:type="dxa"/>
            <w:gridSpan w:val="2"/>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szCs w:val="21"/>
              </w:rPr>
            </w:pPr>
            <w:r>
              <w:rPr>
                <w:kern w:val="0"/>
                <w:szCs w:val="21"/>
              </w:rPr>
              <w:t>（一）予以公开</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31</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750"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31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5"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szCs w:val="21"/>
              </w:rPr>
            </w:pPr>
          </w:p>
        </w:tc>
        <w:tc>
          <w:tcPr>
            <w:tcW w:w="3853" w:type="dxa"/>
            <w:gridSpan w:val="2"/>
            <w:tcBorders>
              <w:top w:val="nil"/>
              <w:left w:val="nil"/>
              <w:bottom w:val="single" w:color="auto" w:sz="8" w:space="0"/>
              <w:right w:val="single" w:color="auto" w:sz="8" w:space="0"/>
            </w:tcBorders>
            <w:tcMar>
              <w:left w:w="108" w:type="dxa"/>
              <w:right w:w="108" w:type="dxa"/>
            </w:tcMar>
            <w:vAlign w:val="center"/>
          </w:tcPr>
          <w:p>
            <w:pPr>
              <w:widowControl/>
              <w:spacing w:line="240" w:lineRule="exact"/>
              <w:jc w:val="left"/>
              <w:rPr>
                <w:szCs w:val="21"/>
              </w:rPr>
            </w:pPr>
            <w:r>
              <w:rPr>
                <w:kern w:val="0"/>
                <w:szCs w:val="21"/>
              </w:rPr>
              <w:t>（二）部分公开</w:t>
            </w:r>
            <w:r>
              <w:rPr>
                <w:rFonts w:eastAsia="楷体"/>
                <w:kern w:val="0"/>
                <w:szCs w:val="21"/>
              </w:rPr>
              <w:t>（区分处理的，只计这一情形，不计其他情形）</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19</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19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szCs w:val="21"/>
              </w:rPr>
            </w:pPr>
          </w:p>
        </w:tc>
        <w:tc>
          <w:tcPr>
            <w:tcW w:w="855" w:type="dxa"/>
            <w:vMerge w:val="restart"/>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szCs w:val="21"/>
              </w:rPr>
            </w:pPr>
            <w:r>
              <w:rPr>
                <w:kern w:val="0"/>
                <w:szCs w:val="21"/>
              </w:rPr>
              <w:t>（三）不予公开</w:t>
            </w: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szCs w:val="21"/>
              </w:rPr>
            </w:pPr>
            <w:r>
              <w:rPr>
                <w:kern w:val="0"/>
                <w:szCs w:val="21"/>
              </w:rPr>
              <w:t>1.属于国家秘密</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4</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750"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pPr>
              <w:rPr>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szCs w:val="21"/>
              </w:rPr>
            </w:pPr>
            <w:r>
              <w:rPr>
                <w:kern w:val="0"/>
                <w:szCs w:val="21"/>
              </w:rPr>
              <w:t>2.其他法律行政法规禁止公开</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pPr>
              <w:rPr>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szCs w:val="21"/>
              </w:rPr>
            </w:pPr>
            <w:r>
              <w:rPr>
                <w:kern w:val="0"/>
                <w:szCs w:val="21"/>
              </w:rPr>
              <w:t>3.危及“三安全一稳定”</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pPr>
              <w:rPr>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szCs w:val="21"/>
              </w:rPr>
            </w:pPr>
            <w:r>
              <w:rPr>
                <w:kern w:val="0"/>
                <w:szCs w:val="21"/>
              </w:rPr>
              <w:t>4.保护第三方合法权益</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3</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pPr>
              <w:rPr>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szCs w:val="21"/>
              </w:rPr>
            </w:pPr>
            <w:r>
              <w:rPr>
                <w:kern w:val="0"/>
                <w:szCs w:val="21"/>
              </w:rPr>
              <w:t>5.属于三类内部事务信息</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6</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pPr>
              <w:rPr>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szCs w:val="21"/>
              </w:rPr>
            </w:pPr>
            <w:r>
              <w:rPr>
                <w:kern w:val="0"/>
                <w:szCs w:val="21"/>
              </w:rPr>
              <w:t>6.属于四类过程性信息</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pPr>
              <w:rPr>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szCs w:val="21"/>
              </w:rPr>
            </w:pPr>
            <w:r>
              <w:rPr>
                <w:kern w:val="0"/>
                <w:szCs w:val="21"/>
              </w:rPr>
              <w:t>7.属于行政执法案卷</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3</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pPr>
              <w:rPr>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szCs w:val="21"/>
              </w:rPr>
            </w:pPr>
            <w:r>
              <w:rPr>
                <w:kern w:val="0"/>
                <w:szCs w:val="21"/>
              </w:rPr>
              <w:t>8.属于行政查询事项</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1</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06"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szCs w:val="21"/>
              </w:rPr>
            </w:pPr>
          </w:p>
        </w:tc>
        <w:tc>
          <w:tcPr>
            <w:tcW w:w="855" w:type="dxa"/>
            <w:vMerge w:val="restart"/>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szCs w:val="21"/>
              </w:rPr>
            </w:pPr>
            <w:r>
              <w:rPr>
                <w:kern w:val="0"/>
                <w:szCs w:val="21"/>
              </w:rPr>
              <w:t>（四）无法提供</w:t>
            </w: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szCs w:val="21"/>
              </w:rPr>
            </w:pPr>
            <w:r>
              <w:rPr>
                <w:kern w:val="0"/>
                <w:szCs w:val="21"/>
              </w:rPr>
              <w:t>1.本机关不掌握相关政府信息</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19</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19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pPr>
              <w:rPr>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szCs w:val="21"/>
              </w:rPr>
            </w:pPr>
            <w:r>
              <w:rPr>
                <w:kern w:val="0"/>
                <w:szCs w:val="21"/>
              </w:rPr>
              <w:t>2.没有现成信息需要另行制作</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pPr>
              <w:rPr>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szCs w:val="21"/>
              </w:rPr>
            </w:pPr>
            <w:r>
              <w:rPr>
                <w:kern w:val="0"/>
                <w:szCs w:val="21"/>
              </w:rPr>
              <w:t>3.补正后申请内容仍不明确</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szCs w:val="21"/>
              </w:rPr>
            </w:pPr>
          </w:p>
        </w:tc>
        <w:tc>
          <w:tcPr>
            <w:tcW w:w="855" w:type="dxa"/>
            <w:vMerge w:val="restart"/>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szCs w:val="21"/>
              </w:rPr>
            </w:pPr>
            <w:r>
              <w:rPr>
                <w:kern w:val="0"/>
                <w:szCs w:val="21"/>
              </w:rPr>
              <w:t>（五）不予处理</w:t>
            </w: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szCs w:val="21"/>
              </w:rPr>
            </w:pPr>
            <w:r>
              <w:rPr>
                <w:kern w:val="0"/>
                <w:szCs w:val="21"/>
              </w:rPr>
              <w:t>1.信访举报投诉类申请</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76"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pPr>
              <w:rPr>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szCs w:val="21"/>
              </w:rPr>
            </w:pPr>
            <w:r>
              <w:rPr>
                <w:kern w:val="0"/>
                <w:szCs w:val="21"/>
              </w:rPr>
              <w:t>2.重复申请</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5</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46"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pPr>
              <w:rPr>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szCs w:val="21"/>
              </w:rPr>
            </w:pPr>
            <w:r>
              <w:rPr>
                <w:kern w:val="0"/>
                <w:szCs w:val="21"/>
              </w:rPr>
              <w:t>3.要求提供公开出版物</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pPr>
              <w:rPr>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szCs w:val="21"/>
              </w:rPr>
            </w:pPr>
            <w:r>
              <w:rPr>
                <w:kern w:val="0"/>
                <w:szCs w:val="21"/>
              </w:rPr>
              <w:t>4.无正当理由大量反复申请</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1</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5"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pPr>
              <w:rPr>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240" w:lineRule="exact"/>
              <w:jc w:val="left"/>
              <w:rPr>
                <w:szCs w:val="21"/>
              </w:rPr>
            </w:pPr>
            <w:r>
              <w:rPr>
                <w:kern w:val="0"/>
                <w:szCs w:val="21"/>
              </w:rPr>
              <w:t>5.要求行政机关确认或重新出具已获取信息</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40"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szCs w:val="21"/>
              </w:rPr>
            </w:pPr>
          </w:p>
        </w:tc>
        <w:tc>
          <w:tcPr>
            <w:tcW w:w="855" w:type="dxa"/>
            <w:vMerge w:val="restart"/>
            <w:tcBorders>
              <w:top w:val="nil"/>
              <w:left w:val="nil"/>
              <w:right w:val="single" w:color="auto" w:sz="8" w:space="0"/>
            </w:tcBorders>
            <w:tcMar>
              <w:left w:w="108" w:type="dxa"/>
              <w:right w:w="108" w:type="dxa"/>
            </w:tcMar>
            <w:vAlign w:val="center"/>
          </w:tcPr>
          <w:p>
            <w:pPr>
              <w:rPr>
                <w:szCs w:val="21"/>
              </w:rPr>
            </w:pPr>
            <w:r>
              <w:rPr>
                <w:kern w:val="0"/>
                <w:szCs w:val="21"/>
              </w:rPr>
              <w:t>（六）其他处理</w:t>
            </w: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240" w:lineRule="exact"/>
              <w:jc w:val="left"/>
              <w:rPr>
                <w:kern w:val="0"/>
                <w:szCs w:val="21"/>
              </w:rPr>
            </w:pPr>
            <w:r>
              <w:rPr>
                <w:kern w:val="0"/>
                <w:szCs w:val="21"/>
              </w:rPr>
              <w:t>1.申请人无正当理由逾期不补正、行政机关不再处理其政府信息公开申请</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35"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szCs w:val="21"/>
              </w:rPr>
            </w:pPr>
          </w:p>
        </w:tc>
        <w:tc>
          <w:tcPr>
            <w:tcW w:w="855" w:type="dxa"/>
            <w:vMerge w:val="continue"/>
            <w:tcBorders>
              <w:left w:val="nil"/>
              <w:right w:val="single" w:color="auto" w:sz="8" w:space="0"/>
            </w:tcBorders>
            <w:tcMar>
              <w:left w:w="108" w:type="dxa"/>
              <w:right w:w="108" w:type="dxa"/>
            </w:tcMar>
            <w:vAlign w:val="center"/>
          </w:tcPr>
          <w:p>
            <w:pPr>
              <w:rPr>
                <w:kern w:val="0"/>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240" w:lineRule="exact"/>
              <w:jc w:val="left"/>
              <w:rPr>
                <w:kern w:val="0"/>
                <w:szCs w:val="21"/>
              </w:rPr>
            </w:pPr>
            <w:r>
              <w:rPr>
                <w:kern w:val="0"/>
                <w:szCs w:val="21"/>
              </w:rPr>
              <w:t>2.申请人逾期未按收费通知要求缴纳费用、行政机关不再处理其政府信息公开申请</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9"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szCs w:val="21"/>
              </w:rPr>
            </w:pPr>
          </w:p>
        </w:tc>
        <w:tc>
          <w:tcPr>
            <w:tcW w:w="855" w:type="dxa"/>
            <w:vMerge w:val="continue"/>
            <w:tcBorders>
              <w:left w:val="nil"/>
              <w:bottom w:val="single" w:color="auto" w:sz="8" w:space="0"/>
              <w:right w:val="single" w:color="auto" w:sz="8" w:space="0"/>
            </w:tcBorders>
            <w:tcMar>
              <w:left w:w="108" w:type="dxa"/>
              <w:right w:w="108" w:type="dxa"/>
            </w:tcMar>
            <w:vAlign w:val="center"/>
          </w:tcPr>
          <w:p>
            <w:pPr>
              <w:rPr>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kern w:val="0"/>
                <w:szCs w:val="21"/>
              </w:rPr>
            </w:pPr>
            <w:r>
              <w:rPr>
                <w:kern w:val="0"/>
                <w:szCs w:val="21"/>
              </w:rPr>
              <w:t>3.其他</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5</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szCs w:val="21"/>
              </w:rPr>
            </w:pPr>
            <w:r>
              <w:rPr>
                <w:szCs w:val="21"/>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14"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szCs w:val="21"/>
              </w:rPr>
            </w:pPr>
          </w:p>
        </w:tc>
        <w:tc>
          <w:tcPr>
            <w:tcW w:w="3853" w:type="dxa"/>
            <w:gridSpan w:val="2"/>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szCs w:val="21"/>
              </w:rPr>
            </w:pPr>
            <w:r>
              <w:rPr>
                <w:kern w:val="0"/>
                <w:szCs w:val="21"/>
              </w:rPr>
              <w:t>（七）总计</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97</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97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4" w:hRule="atLeast"/>
          <w:jc w:val="center"/>
        </w:trPr>
        <w:tc>
          <w:tcPr>
            <w:tcW w:w="4678" w:type="dxa"/>
            <w:gridSpan w:val="3"/>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300" w:lineRule="exact"/>
              <w:jc w:val="left"/>
              <w:rPr>
                <w:szCs w:val="21"/>
              </w:rPr>
            </w:pPr>
            <w:r>
              <w:rPr>
                <w:kern w:val="0"/>
                <w:szCs w:val="21"/>
              </w:rPr>
              <w:t>四、结转下年度继续办理</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eastAsia="宋体"/>
                <w:szCs w:val="21"/>
              </w:rPr>
            </w:pPr>
            <w:r>
              <w:rPr>
                <w:rFonts w:hint="eastAsia"/>
                <w:szCs w:val="21"/>
              </w:rPr>
              <w:t>0</w:t>
            </w:r>
          </w:p>
        </w:tc>
        <w:tc>
          <w:tcPr>
            <w:tcW w:w="750" w:type="dxa"/>
            <w:tcBorders>
              <w:top w:val="nil"/>
              <w:left w:val="nil"/>
              <w:bottom w:val="single" w:color="auto" w:sz="8" w:space="0"/>
              <w:right w:val="single" w:color="auto" w:sz="8" w:space="0"/>
            </w:tcBorders>
            <w:tcMar>
              <w:left w:w="108" w:type="dxa"/>
              <w:right w:w="108" w:type="dxa"/>
            </w:tcMar>
            <w:vAlign w:val="center"/>
          </w:tcPr>
          <w:p>
            <w:pPr>
              <w:spacing w:line="300" w:lineRule="exact"/>
              <w:jc w:val="center"/>
              <w:rPr>
                <w:rFonts w:eastAsia="宋体"/>
                <w:szCs w:val="21"/>
              </w:rPr>
            </w:pPr>
            <w:r>
              <w:rPr>
                <w:rFonts w:hint="eastAsia"/>
                <w:szCs w:val="21"/>
              </w:rPr>
              <w:t>0</w:t>
            </w:r>
          </w:p>
        </w:tc>
      </w:tr>
    </w:tbl>
    <w:p>
      <w:pPr>
        <w:pStyle w:val="5"/>
        <w:widowControl/>
        <w:spacing w:before="0" w:beforeAutospacing="0" w:after="0" w:afterAutospacing="0" w:line="560" w:lineRule="exact"/>
        <w:jc w:val="both"/>
        <w:rPr>
          <w:rFonts w:ascii="黑体" w:hAnsi="黑体" w:eastAsia="黑体" w:cs="黑体"/>
          <w:bCs/>
          <w:sz w:val="32"/>
          <w:szCs w:val="32"/>
        </w:rPr>
      </w:pPr>
    </w:p>
    <w:p>
      <w:pPr>
        <w:pStyle w:val="5"/>
        <w:widowControl/>
        <w:spacing w:before="0" w:beforeAutospacing="0" w:after="0" w:afterAutospacing="0" w:line="560" w:lineRule="exact"/>
        <w:ind w:firstLine="640" w:firstLineChars="200"/>
        <w:jc w:val="both"/>
        <w:rPr>
          <w:rFonts w:hint="eastAsia" w:ascii="黑体" w:hAnsi="黑体" w:eastAsia="黑体" w:cs="黑体"/>
          <w:bCs/>
          <w:sz w:val="32"/>
          <w:szCs w:val="32"/>
        </w:rPr>
      </w:pPr>
    </w:p>
    <w:p>
      <w:pPr>
        <w:pStyle w:val="5"/>
        <w:widowControl/>
        <w:spacing w:before="0" w:beforeAutospacing="0" w:after="0" w:afterAutospacing="0" w:line="560" w:lineRule="exact"/>
        <w:ind w:firstLine="640" w:firstLineChars="200"/>
        <w:jc w:val="both"/>
        <w:rPr>
          <w:rFonts w:ascii="黑体" w:hAnsi="黑体" w:eastAsia="黑体" w:cs="黑体"/>
          <w:bCs/>
          <w:sz w:val="32"/>
          <w:szCs w:val="32"/>
        </w:rPr>
      </w:pPr>
      <w:r>
        <w:rPr>
          <w:rFonts w:hint="eastAsia" w:ascii="黑体" w:hAnsi="黑体" w:eastAsia="黑体" w:cs="黑体"/>
          <w:bCs/>
          <w:sz w:val="32"/>
          <w:szCs w:val="32"/>
        </w:rPr>
        <w:t>四、</w:t>
      </w:r>
      <w:r>
        <w:rPr>
          <w:rFonts w:hint="eastAsia" w:ascii="黑体" w:hAnsi="黑体" w:eastAsia="黑体" w:cs="黑体"/>
          <w:bCs/>
          <w:color w:val="333333"/>
          <w:sz w:val="32"/>
          <w:szCs w:val="32"/>
          <w:shd w:val="clear" w:color="auto" w:fill="FFFFFF"/>
        </w:rPr>
        <w:t>政府信息公开行政复议、行政诉讼情况</w:t>
      </w:r>
    </w:p>
    <w:tbl>
      <w:tblPr>
        <w:tblStyle w:val="6"/>
        <w:tblW w:w="10083"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658"/>
        <w:gridCol w:w="658"/>
        <w:gridCol w:w="658"/>
        <w:gridCol w:w="658"/>
        <w:gridCol w:w="661"/>
        <w:gridCol w:w="691"/>
        <w:gridCol w:w="639"/>
        <w:gridCol w:w="690"/>
        <w:gridCol w:w="690"/>
        <w:gridCol w:w="645"/>
        <w:gridCol w:w="720"/>
        <w:gridCol w:w="690"/>
        <w:gridCol w:w="675"/>
        <w:gridCol w:w="690"/>
        <w:gridCol w:w="66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PrEx>
        <w:trPr>
          <w:trHeight w:val="482" w:hRule="atLeast"/>
          <w:jc w:val="center"/>
        </w:trPr>
        <w:tc>
          <w:tcPr>
            <w:tcW w:w="3293"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rPr>
                <w:rFonts w:ascii="宋体"/>
                <w:szCs w:val="21"/>
              </w:rPr>
            </w:pPr>
            <w:r>
              <w:rPr>
                <w:rFonts w:hint="eastAsia" w:ascii="宋体" w:cs="宋体"/>
                <w:kern w:val="0"/>
                <w:szCs w:val="21"/>
              </w:rPr>
              <w:t>行政复议</w:t>
            </w:r>
          </w:p>
        </w:tc>
        <w:tc>
          <w:tcPr>
            <w:tcW w:w="6790" w:type="dxa"/>
            <w:gridSpan w:val="10"/>
            <w:tcBorders>
              <w:top w:val="single" w:color="auto" w:sz="8" w:space="0"/>
              <w:left w:val="nil"/>
              <w:bottom w:val="single" w:color="auto" w:sz="8" w:space="0"/>
              <w:right w:val="single" w:color="auto" w:sz="8" w:space="0"/>
            </w:tcBorders>
            <w:tcMar>
              <w:left w:w="108" w:type="dxa"/>
              <w:right w:w="108" w:type="dxa"/>
            </w:tcMar>
            <w:vAlign w:val="center"/>
          </w:tcPr>
          <w:p>
            <w:pPr>
              <w:widowControl/>
              <w:jc w:val="center"/>
              <w:rPr>
                <w:rFonts w:ascii="宋体"/>
                <w:szCs w:val="21"/>
              </w:rPr>
            </w:pPr>
            <w:r>
              <w:rPr>
                <w:rFonts w:hint="eastAsia" w:ascii="宋体" w:cs="宋体"/>
                <w:kern w:val="0"/>
                <w:szCs w:val="21"/>
              </w:rPr>
              <w:t>行政诉讼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7" w:hRule="atLeast"/>
          <w:jc w:val="center"/>
        </w:trPr>
        <w:tc>
          <w:tcPr>
            <w:tcW w:w="658" w:type="dxa"/>
            <w:vMerge w:val="restart"/>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300" w:lineRule="exact"/>
              <w:jc w:val="center"/>
              <w:rPr>
                <w:rFonts w:ascii="宋体"/>
                <w:szCs w:val="21"/>
              </w:rPr>
            </w:pPr>
            <w:r>
              <w:rPr>
                <w:rFonts w:hint="eastAsia" w:ascii="宋体" w:cs="宋体"/>
                <w:kern w:val="0"/>
                <w:szCs w:val="21"/>
              </w:rPr>
              <w:t>结果维持</w:t>
            </w:r>
          </w:p>
        </w:tc>
        <w:tc>
          <w:tcPr>
            <w:tcW w:w="658" w:type="dxa"/>
            <w:vMerge w:val="restart"/>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ascii="宋体"/>
                <w:szCs w:val="21"/>
              </w:rPr>
            </w:pPr>
            <w:r>
              <w:rPr>
                <w:rFonts w:hint="eastAsia" w:ascii="宋体" w:cs="宋体"/>
                <w:kern w:val="0"/>
                <w:szCs w:val="21"/>
              </w:rPr>
              <w:t>结果纠正</w:t>
            </w:r>
          </w:p>
        </w:tc>
        <w:tc>
          <w:tcPr>
            <w:tcW w:w="658"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00" w:lineRule="exact"/>
              <w:jc w:val="center"/>
              <w:rPr>
                <w:rFonts w:ascii="宋体"/>
                <w:szCs w:val="21"/>
              </w:rPr>
            </w:pPr>
            <w:r>
              <w:rPr>
                <w:rFonts w:hint="eastAsia" w:ascii="宋体" w:cs="宋体"/>
                <w:kern w:val="0"/>
                <w:szCs w:val="21"/>
              </w:rPr>
              <w:t>其他结果</w:t>
            </w:r>
          </w:p>
        </w:tc>
        <w:tc>
          <w:tcPr>
            <w:tcW w:w="658"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00" w:lineRule="exact"/>
              <w:jc w:val="center"/>
              <w:rPr>
                <w:rFonts w:ascii="宋体"/>
                <w:szCs w:val="21"/>
              </w:rPr>
            </w:pPr>
            <w:r>
              <w:rPr>
                <w:rFonts w:hint="eastAsia" w:ascii="宋体" w:cs="宋体"/>
                <w:kern w:val="0"/>
                <w:szCs w:val="21"/>
              </w:rPr>
              <w:t>尚未审结</w:t>
            </w:r>
          </w:p>
        </w:tc>
        <w:tc>
          <w:tcPr>
            <w:tcW w:w="661"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00" w:lineRule="exact"/>
              <w:jc w:val="center"/>
              <w:rPr>
                <w:rFonts w:ascii="宋体"/>
                <w:szCs w:val="21"/>
              </w:rPr>
            </w:pPr>
            <w:r>
              <w:rPr>
                <w:rFonts w:hint="eastAsia" w:ascii="宋体" w:cs="宋体"/>
                <w:kern w:val="0"/>
                <w:szCs w:val="21"/>
              </w:rPr>
              <w:t>总计</w:t>
            </w:r>
          </w:p>
        </w:tc>
        <w:tc>
          <w:tcPr>
            <w:tcW w:w="3355" w:type="dxa"/>
            <w:gridSpan w:val="5"/>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00" w:lineRule="exact"/>
              <w:jc w:val="center"/>
              <w:rPr>
                <w:rFonts w:ascii="宋体"/>
                <w:szCs w:val="21"/>
              </w:rPr>
            </w:pPr>
            <w:r>
              <w:rPr>
                <w:rFonts w:hint="eastAsia" w:ascii="宋体" w:cs="宋体"/>
                <w:kern w:val="0"/>
                <w:szCs w:val="21"/>
              </w:rPr>
              <w:t>未经复议直接起诉</w:t>
            </w:r>
          </w:p>
        </w:tc>
        <w:tc>
          <w:tcPr>
            <w:tcW w:w="3435" w:type="dxa"/>
            <w:gridSpan w:val="5"/>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00" w:lineRule="exact"/>
              <w:jc w:val="center"/>
              <w:rPr>
                <w:rFonts w:ascii="宋体"/>
                <w:szCs w:val="21"/>
              </w:rPr>
            </w:pPr>
            <w:r>
              <w:rPr>
                <w:rFonts w:hint="eastAsia" w:ascii="宋体" w:cs="宋体"/>
                <w:kern w:val="0"/>
                <w:szCs w:val="21"/>
              </w:rPr>
              <w:t>复议后起诉</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88" w:hRule="atLeast"/>
          <w:jc w:val="center"/>
        </w:trPr>
        <w:tc>
          <w:tcPr>
            <w:tcW w:w="658"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300" w:lineRule="exact"/>
              <w:rPr>
                <w:szCs w:val="21"/>
              </w:rPr>
            </w:pPr>
          </w:p>
        </w:tc>
        <w:tc>
          <w:tcPr>
            <w:tcW w:w="658" w:type="dxa"/>
            <w:vMerge w:val="continue"/>
            <w:tcBorders>
              <w:top w:val="nil"/>
              <w:left w:val="nil"/>
              <w:bottom w:val="single" w:color="auto" w:sz="8" w:space="0"/>
              <w:right w:val="single" w:color="auto" w:sz="8" w:space="0"/>
            </w:tcBorders>
            <w:tcMar>
              <w:left w:w="108" w:type="dxa"/>
              <w:right w:w="108" w:type="dxa"/>
            </w:tcMar>
            <w:vAlign w:val="center"/>
          </w:tcPr>
          <w:p>
            <w:pPr>
              <w:widowControl/>
              <w:spacing w:line="300" w:lineRule="exact"/>
              <w:rPr>
                <w:szCs w:val="21"/>
              </w:rPr>
            </w:pPr>
          </w:p>
        </w:tc>
        <w:tc>
          <w:tcPr>
            <w:tcW w:w="658"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00" w:lineRule="exact"/>
              <w:rPr>
                <w:szCs w:val="21"/>
              </w:rPr>
            </w:pPr>
          </w:p>
        </w:tc>
        <w:tc>
          <w:tcPr>
            <w:tcW w:w="658"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00" w:lineRule="exact"/>
              <w:rPr>
                <w:szCs w:val="21"/>
              </w:rPr>
            </w:pPr>
          </w:p>
        </w:tc>
        <w:tc>
          <w:tcPr>
            <w:tcW w:w="661"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00" w:lineRule="exact"/>
              <w:rPr>
                <w:szCs w:val="21"/>
              </w:rPr>
            </w:pPr>
          </w:p>
        </w:tc>
        <w:tc>
          <w:tcPr>
            <w:tcW w:w="691"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ascii="宋体"/>
                <w:szCs w:val="21"/>
              </w:rPr>
            </w:pPr>
            <w:r>
              <w:rPr>
                <w:rFonts w:hint="eastAsia" w:ascii="宋体" w:cs="宋体"/>
                <w:kern w:val="0"/>
                <w:szCs w:val="21"/>
              </w:rPr>
              <w:t>结果维持</w:t>
            </w:r>
          </w:p>
        </w:tc>
        <w:tc>
          <w:tcPr>
            <w:tcW w:w="639"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ascii="宋体"/>
                <w:szCs w:val="21"/>
              </w:rPr>
            </w:pPr>
            <w:r>
              <w:rPr>
                <w:rFonts w:hint="eastAsia" w:ascii="宋体" w:cs="宋体"/>
                <w:kern w:val="0"/>
                <w:szCs w:val="21"/>
              </w:rPr>
              <w:t>结果纠正</w:t>
            </w:r>
          </w:p>
        </w:tc>
        <w:tc>
          <w:tcPr>
            <w:tcW w:w="690"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00" w:lineRule="exact"/>
              <w:jc w:val="center"/>
              <w:rPr>
                <w:rFonts w:ascii="宋体"/>
                <w:szCs w:val="21"/>
              </w:rPr>
            </w:pPr>
            <w:r>
              <w:rPr>
                <w:rFonts w:hint="eastAsia" w:ascii="宋体" w:cs="宋体"/>
                <w:kern w:val="0"/>
                <w:szCs w:val="21"/>
              </w:rPr>
              <w:t>其他结果</w:t>
            </w:r>
          </w:p>
        </w:tc>
        <w:tc>
          <w:tcPr>
            <w:tcW w:w="690"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00" w:lineRule="exact"/>
              <w:jc w:val="center"/>
              <w:rPr>
                <w:rFonts w:ascii="宋体"/>
                <w:szCs w:val="21"/>
              </w:rPr>
            </w:pPr>
            <w:r>
              <w:rPr>
                <w:rFonts w:hint="eastAsia" w:ascii="宋体" w:cs="宋体"/>
                <w:kern w:val="0"/>
                <w:szCs w:val="21"/>
              </w:rPr>
              <w:t>尚未审结</w:t>
            </w:r>
          </w:p>
        </w:tc>
        <w:tc>
          <w:tcPr>
            <w:tcW w:w="645"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00" w:lineRule="exact"/>
              <w:jc w:val="center"/>
              <w:rPr>
                <w:rFonts w:ascii="宋体"/>
                <w:szCs w:val="21"/>
              </w:rPr>
            </w:pPr>
            <w:r>
              <w:rPr>
                <w:rFonts w:hint="eastAsia" w:ascii="宋体" w:cs="宋体"/>
                <w:color w:val="000000"/>
                <w:kern w:val="0"/>
                <w:szCs w:val="21"/>
              </w:rPr>
              <w:t>总计</w:t>
            </w:r>
          </w:p>
        </w:tc>
        <w:tc>
          <w:tcPr>
            <w:tcW w:w="720"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00" w:lineRule="exact"/>
              <w:jc w:val="center"/>
              <w:rPr>
                <w:rFonts w:ascii="宋体"/>
                <w:szCs w:val="21"/>
              </w:rPr>
            </w:pPr>
            <w:r>
              <w:rPr>
                <w:rFonts w:hint="eastAsia" w:ascii="宋体" w:cs="宋体"/>
                <w:kern w:val="0"/>
                <w:szCs w:val="21"/>
              </w:rPr>
              <w:t>结果维持</w:t>
            </w:r>
          </w:p>
        </w:tc>
        <w:tc>
          <w:tcPr>
            <w:tcW w:w="690"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00" w:lineRule="exact"/>
              <w:jc w:val="center"/>
              <w:rPr>
                <w:rFonts w:ascii="宋体"/>
                <w:szCs w:val="21"/>
              </w:rPr>
            </w:pPr>
            <w:r>
              <w:rPr>
                <w:rFonts w:hint="eastAsia" w:ascii="宋体" w:cs="宋体"/>
                <w:kern w:val="0"/>
                <w:szCs w:val="21"/>
              </w:rPr>
              <w:t>结果纠正</w:t>
            </w:r>
          </w:p>
        </w:tc>
        <w:tc>
          <w:tcPr>
            <w:tcW w:w="675"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00" w:lineRule="exact"/>
              <w:jc w:val="center"/>
              <w:rPr>
                <w:rFonts w:ascii="宋体"/>
                <w:szCs w:val="21"/>
              </w:rPr>
            </w:pPr>
            <w:r>
              <w:rPr>
                <w:rFonts w:hint="eastAsia" w:ascii="宋体" w:cs="宋体"/>
                <w:color w:val="000000"/>
                <w:kern w:val="0"/>
                <w:szCs w:val="21"/>
              </w:rPr>
              <w:t>其他结果</w:t>
            </w:r>
          </w:p>
        </w:tc>
        <w:tc>
          <w:tcPr>
            <w:tcW w:w="690"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00" w:lineRule="exact"/>
              <w:jc w:val="center"/>
              <w:rPr>
                <w:rFonts w:ascii="宋体"/>
                <w:szCs w:val="21"/>
              </w:rPr>
            </w:pPr>
            <w:r>
              <w:rPr>
                <w:rFonts w:hint="eastAsia" w:ascii="宋体" w:cs="宋体"/>
                <w:kern w:val="0"/>
                <w:szCs w:val="21"/>
              </w:rPr>
              <w:t>尚未审结</w:t>
            </w:r>
          </w:p>
        </w:tc>
        <w:tc>
          <w:tcPr>
            <w:tcW w:w="660"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00" w:lineRule="exact"/>
              <w:jc w:val="center"/>
              <w:rPr>
                <w:rFonts w:ascii="宋体"/>
                <w:szCs w:val="21"/>
              </w:rPr>
            </w:pPr>
            <w:r>
              <w:rPr>
                <w:rFonts w:hint="eastAsia" w:ascii="宋体" w:cs="宋体"/>
                <w:color w:val="000000"/>
                <w:kern w:val="0"/>
                <w:szCs w:val="21"/>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07" w:hRule="atLeast"/>
          <w:jc w:val="center"/>
        </w:trPr>
        <w:tc>
          <w:tcPr>
            <w:tcW w:w="658"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eastAsia="宋体"/>
                <w:szCs w:val="21"/>
              </w:rPr>
            </w:pPr>
            <w:r>
              <w:rPr>
                <w:rFonts w:hint="eastAsia"/>
                <w:szCs w:val="21"/>
              </w:rPr>
              <w:t>8</w:t>
            </w:r>
          </w:p>
        </w:tc>
        <w:tc>
          <w:tcPr>
            <w:tcW w:w="658" w:type="dxa"/>
            <w:tcBorders>
              <w:top w:val="nil"/>
              <w:left w:val="nil"/>
              <w:bottom w:val="single" w:color="auto" w:sz="8" w:space="0"/>
              <w:right w:val="single" w:color="auto" w:sz="8" w:space="0"/>
            </w:tcBorders>
            <w:tcMar>
              <w:left w:w="108" w:type="dxa"/>
              <w:right w:w="108" w:type="dxa"/>
            </w:tcMar>
            <w:vAlign w:val="center"/>
          </w:tcPr>
          <w:p>
            <w:pPr>
              <w:widowControl/>
              <w:jc w:val="center"/>
              <w:rPr>
                <w:rFonts w:eastAsia="宋体"/>
                <w:szCs w:val="21"/>
              </w:rPr>
            </w:pPr>
            <w:r>
              <w:rPr>
                <w:rFonts w:hint="eastAsia"/>
                <w:szCs w:val="21"/>
              </w:rPr>
              <w:t>8</w:t>
            </w:r>
          </w:p>
        </w:tc>
        <w:tc>
          <w:tcPr>
            <w:tcW w:w="658" w:type="dxa"/>
            <w:tcBorders>
              <w:top w:val="nil"/>
              <w:left w:val="nil"/>
              <w:bottom w:val="single" w:color="auto" w:sz="8" w:space="0"/>
              <w:right w:val="single" w:color="auto" w:sz="8" w:space="0"/>
            </w:tcBorders>
            <w:tcMar>
              <w:left w:w="108" w:type="dxa"/>
              <w:right w:w="108" w:type="dxa"/>
            </w:tcMar>
            <w:vAlign w:val="center"/>
          </w:tcPr>
          <w:p>
            <w:pPr>
              <w:widowControl/>
              <w:jc w:val="center"/>
              <w:rPr>
                <w:szCs w:val="21"/>
              </w:rPr>
            </w:pPr>
            <w:r>
              <w:rPr>
                <w:szCs w:val="21"/>
              </w:rPr>
              <w:t>0</w:t>
            </w:r>
          </w:p>
        </w:tc>
        <w:tc>
          <w:tcPr>
            <w:tcW w:w="658" w:type="dxa"/>
            <w:tcBorders>
              <w:top w:val="nil"/>
              <w:left w:val="nil"/>
              <w:bottom w:val="single" w:color="auto" w:sz="8" w:space="0"/>
              <w:right w:val="single" w:color="auto" w:sz="8" w:space="0"/>
            </w:tcBorders>
            <w:tcMar>
              <w:left w:w="108" w:type="dxa"/>
              <w:right w:w="108" w:type="dxa"/>
            </w:tcMar>
            <w:vAlign w:val="center"/>
          </w:tcPr>
          <w:p>
            <w:pPr>
              <w:widowControl/>
              <w:jc w:val="center"/>
              <w:rPr>
                <w:szCs w:val="21"/>
              </w:rPr>
            </w:pPr>
            <w:r>
              <w:rPr>
                <w:szCs w:val="21"/>
              </w:rPr>
              <w:t>0</w:t>
            </w:r>
          </w:p>
        </w:tc>
        <w:tc>
          <w:tcPr>
            <w:tcW w:w="661" w:type="dxa"/>
            <w:tcBorders>
              <w:top w:val="nil"/>
              <w:left w:val="nil"/>
              <w:bottom w:val="single" w:color="auto" w:sz="8" w:space="0"/>
              <w:right w:val="single" w:color="auto" w:sz="8" w:space="0"/>
            </w:tcBorders>
            <w:tcMar>
              <w:left w:w="108" w:type="dxa"/>
              <w:right w:w="108" w:type="dxa"/>
            </w:tcMar>
            <w:vAlign w:val="center"/>
          </w:tcPr>
          <w:p>
            <w:pPr>
              <w:widowControl/>
              <w:jc w:val="center"/>
              <w:rPr>
                <w:rFonts w:eastAsia="宋体"/>
                <w:szCs w:val="21"/>
              </w:rPr>
            </w:pPr>
            <w:r>
              <w:rPr>
                <w:rFonts w:hint="eastAsia"/>
                <w:szCs w:val="21"/>
              </w:rPr>
              <w:t>16</w:t>
            </w:r>
          </w:p>
        </w:tc>
        <w:tc>
          <w:tcPr>
            <w:tcW w:w="691" w:type="dxa"/>
            <w:tcBorders>
              <w:top w:val="nil"/>
              <w:left w:val="nil"/>
              <w:bottom w:val="single" w:color="auto" w:sz="8" w:space="0"/>
              <w:right w:val="single" w:color="auto" w:sz="8" w:space="0"/>
            </w:tcBorders>
            <w:tcMar>
              <w:left w:w="108" w:type="dxa"/>
              <w:right w:w="108" w:type="dxa"/>
            </w:tcMar>
            <w:vAlign w:val="center"/>
          </w:tcPr>
          <w:p>
            <w:pPr>
              <w:widowControl/>
              <w:jc w:val="center"/>
              <w:rPr>
                <w:rFonts w:eastAsia="宋体"/>
                <w:szCs w:val="21"/>
              </w:rPr>
            </w:pPr>
            <w:r>
              <w:rPr>
                <w:rFonts w:hint="eastAsia"/>
                <w:szCs w:val="21"/>
              </w:rPr>
              <w:t>6</w:t>
            </w:r>
          </w:p>
        </w:tc>
        <w:tc>
          <w:tcPr>
            <w:tcW w:w="639" w:type="dxa"/>
            <w:tcBorders>
              <w:top w:val="nil"/>
              <w:left w:val="nil"/>
              <w:bottom w:val="single" w:color="auto" w:sz="8" w:space="0"/>
              <w:right w:val="single" w:color="auto" w:sz="8" w:space="0"/>
            </w:tcBorders>
            <w:tcMar>
              <w:left w:w="108" w:type="dxa"/>
              <w:right w:w="108" w:type="dxa"/>
            </w:tcMar>
            <w:vAlign w:val="center"/>
          </w:tcPr>
          <w:p>
            <w:pPr>
              <w:widowControl/>
              <w:jc w:val="center"/>
              <w:rPr>
                <w:rFonts w:eastAsia="宋体"/>
                <w:szCs w:val="21"/>
              </w:rPr>
            </w:pPr>
            <w:r>
              <w:rPr>
                <w:rFonts w:hint="eastAsia"/>
                <w:szCs w:val="21"/>
              </w:rPr>
              <w:t>6</w:t>
            </w:r>
          </w:p>
        </w:tc>
        <w:tc>
          <w:tcPr>
            <w:tcW w:w="690" w:type="dxa"/>
            <w:tcBorders>
              <w:top w:val="nil"/>
              <w:left w:val="nil"/>
              <w:bottom w:val="single" w:color="auto" w:sz="8" w:space="0"/>
              <w:right w:val="single" w:color="auto" w:sz="8" w:space="0"/>
            </w:tcBorders>
            <w:tcMar>
              <w:left w:w="108" w:type="dxa"/>
              <w:right w:w="108" w:type="dxa"/>
            </w:tcMar>
            <w:vAlign w:val="center"/>
          </w:tcPr>
          <w:p>
            <w:pPr>
              <w:widowControl/>
              <w:jc w:val="center"/>
              <w:rPr>
                <w:szCs w:val="21"/>
              </w:rPr>
            </w:pPr>
            <w:r>
              <w:rPr>
                <w:szCs w:val="21"/>
              </w:rPr>
              <w:t>0</w:t>
            </w:r>
          </w:p>
        </w:tc>
        <w:tc>
          <w:tcPr>
            <w:tcW w:w="690" w:type="dxa"/>
            <w:tcBorders>
              <w:top w:val="nil"/>
              <w:left w:val="nil"/>
              <w:bottom w:val="single" w:color="auto" w:sz="8" w:space="0"/>
              <w:right w:val="single" w:color="auto" w:sz="8" w:space="0"/>
            </w:tcBorders>
            <w:tcMar>
              <w:left w:w="108" w:type="dxa"/>
              <w:right w:w="108" w:type="dxa"/>
            </w:tcMar>
            <w:vAlign w:val="center"/>
          </w:tcPr>
          <w:p>
            <w:pPr>
              <w:widowControl/>
              <w:jc w:val="center"/>
              <w:rPr>
                <w:szCs w:val="21"/>
              </w:rPr>
            </w:pPr>
            <w:r>
              <w:rPr>
                <w:szCs w:val="21"/>
              </w:rPr>
              <w:t>0</w:t>
            </w:r>
          </w:p>
        </w:tc>
        <w:tc>
          <w:tcPr>
            <w:tcW w:w="645" w:type="dxa"/>
            <w:tcBorders>
              <w:top w:val="nil"/>
              <w:left w:val="nil"/>
              <w:bottom w:val="single" w:color="auto" w:sz="8" w:space="0"/>
              <w:right w:val="single" w:color="auto" w:sz="8" w:space="0"/>
            </w:tcBorders>
            <w:tcMar>
              <w:left w:w="108" w:type="dxa"/>
              <w:right w:w="108" w:type="dxa"/>
            </w:tcMar>
            <w:vAlign w:val="center"/>
          </w:tcPr>
          <w:p>
            <w:pPr>
              <w:widowControl/>
              <w:jc w:val="center"/>
              <w:rPr>
                <w:rFonts w:eastAsia="宋体"/>
                <w:szCs w:val="21"/>
              </w:rPr>
            </w:pPr>
            <w:r>
              <w:rPr>
                <w:rFonts w:hint="eastAsia"/>
                <w:szCs w:val="21"/>
              </w:rPr>
              <w:t>12</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jc w:val="center"/>
              <w:rPr>
                <w:rFonts w:eastAsia="宋体"/>
                <w:szCs w:val="21"/>
              </w:rPr>
            </w:pPr>
            <w:r>
              <w:rPr>
                <w:rFonts w:hint="eastAsia"/>
                <w:szCs w:val="21"/>
              </w:rPr>
              <w:t>2</w:t>
            </w:r>
          </w:p>
        </w:tc>
        <w:tc>
          <w:tcPr>
            <w:tcW w:w="690" w:type="dxa"/>
            <w:tcBorders>
              <w:top w:val="nil"/>
              <w:left w:val="nil"/>
              <w:bottom w:val="single" w:color="auto" w:sz="8" w:space="0"/>
              <w:right w:val="single" w:color="auto" w:sz="8" w:space="0"/>
            </w:tcBorders>
            <w:tcMar>
              <w:left w:w="108" w:type="dxa"/>
              <w:right w:w="108" w:type="dxa"/>
            </w:tcMar>
            <w:vAlign w:val="center"/>
          </w:tcPr>
          <w:p>
            <w:pPr>
              <w:widowControl/>
              <w:jc w:val="center"/>
              <w:rPr>
                <w:rFonts w:eastAsia="宋体"/>
                <w:szCs w:val="21"/>
              </w:rPr>
            </w:pPr>
            <w:r>
              <w:rPr>
                <w:rFonts w:hint="eastAsia"/>
                <w:szCs w:val="21"/>
              </w:rPr>
              <w:t>3</w:t>
            </w:r>
          </w:p>
        </w:tc>
        <w:tc>
          <w:tcPr>
            <w:tcW w:w="675" w:type="dxa"/>
            <w:tcBorders>
              <w:top w:val="nil"/>
              <w:left w:val="nil"/>
              <w:bottom w:val="single" w:color="auto" w:sz="8" w:space="0"/>
              <w:right w:val="single" w:color="auto" w:sz="8" w:space="0"/>
            </w:tcBorders>
            <w:tcMar>
              <w:left w:w="108" w:type="dxa"/>
              <w:right w:w="108" w:type="dxa"/>
            </w:tcMar>
            <w:vAlign w:val="center"/>
          </w:tcPr>
          <w:p>
            <w:pPr>
              <w:widowControl/>
              <w:jc w:val="center"/>
              <w:rPr>
                <w:szCs w:val="21"/>
              </w:rPr>
            </w:pPr>
            <w:r>
              <w:rPr>
                <w:szCs w:val="21"/>
              </w:rPr>
              <w:t>0</w:t>
            </w:r>
          </w:p>
        </w:tc>
        <w:tc>
          <w:tcPr>
            <w:tcW w:w="690" w:type="dxa"/>
            <w:tcBorders>
              <w:top w:val="nil"/>
              <w:left w:val="nil"/>
              <w:bottom w:val="single" w:color="auto" w:sz="8" w:space="0"/>
              <w:right w:val="single" w:color="auto" w:sz="8" w:space="0"/>
            </w:tcBorders>
            <w:tcMar>
              <w:left w:w="108" w:type="dxa"/>
              <w:right w:w="108" w:type="dxa"/>
            </w:tcMar>
            <w:vAlign w:val="center"/>
          </w:tcPr>
          <w:p>
            <w:pPr>
              <w:widowControl/>
              <w:jc w:val="center"/>
              <w:rPr>
                <w:rFonts w:eastAsia="宋体"/>
                <w:szCs w:val="21"/>
              </w:rPr>
            </w:pPr>
            <w:r>
              <w:rPr>
                <w:rFonts w:hint="eastAsia"/>
                <w:szCs w:val="21"/>
              </w:rPr>
              <w:t>5</w:t>
            </w:r>
          </w:p>
        </w:tc>
        <w:tc>
          <w:tcPr>
            <w:tcW w:w="660" w:type="dxa"/>
            <w:tcBorders>
              <w:top w:val="nil"/>
              <w:left w:val="nil"/>
              <w:bottom w:val="single" w:color="auto" w:sz="8" w:space="0"/>
              <w:right w:val="single" w:color="auto" w:sz="8" w:space="0"/>
            </w:tcBorders>
            <w:tcMar>
              <w:left w:w="108" w:type="dxa"/>
              <w:right w:w="108" w:type="dxa"/>
            </w:tcMar>
            <w:vAlign w:val="center"/>
          </w:tcPr>
          <w:p>
            <w:pPr>
              <w:jc w:val="center"/>
              <w:rPr>
                <w:rFonts w:eastAsia="宋体"/>
                <w:szCs w:val="21"/>
              </w:rPr>
            </w:pPr>
            <w:r>
              <w:rPr>
                <w:rFonts w:hint="eastAsia"/>
                <w:szCs w:val="21"/>
              </w:rPr>
              <w:t>10</w:t>
            </w:r>
          </w:p>
        </w:tc>
      </w:tr>
    </w:tbl>
    <w:p>
      <w:pPr>
        <w:pStyle w:val="5"/>
        <w:widowControl/>
        <w:spacing w:before="0" w:beforeAutospacing="0" w:after="0" w:afterAutospacing="0" w:line="560" w:lineRule="exact"/>
        <w:jc w:val="both"/>
        <w:rPr>
          <w:rFonts w:ascii="黑体" w:hAnsi="黑体" w:eastAsia="黑体" w:cs="黑体"/>
          <w:bCs/>
          <w:sz w:val="32"/>
          <w:szCs w:val="32"/>
        </w:rPr>
      </w:pPr>
    </w:p>
    <w:p>
      <w:pPr>
        <w:pStyle w:val="5"/>
        <w:widowControl/>
        <w:spacing w:before="0" w:beforeAutospacing="0" w:after="0" w:afterAutospacing="0" w:line="560" w:lineRule="exact"/>
        <w:ind w:firstLine="640" w:firstLineChars="200"/>
        <w:jc w:val="both"/>
        <w:rPr>
          <w:rFonts w:ascii="宋体" w:cs="宋体"/>
        </w:rPr>
      </w:pPr>
      <w:r>
        <w:rPr>
          <w:rFonts w:hint="eastAsia" w:ascii="黑体" w:hAnsi="黑体" w:eastAsia="黑体" w:cs="黑体"/>
          <w:bCs/>
          <w:sz w:val="32"/>
          <w:szCs w:val="32"/>
        </w:rPr>
        <w:t>五、存在的主要问题及改进情况</w:t>
      </w:r>
    </w:p>
    <w:p>
      <w:pPr>
        <w:pStyle w:val="5"/>
        <w:widowControl/>
        <w:spacing w:before="0" w:beforeAutospacing="0" w:after="0" w:afterAutospacing="0" w:line="560" w:lineRule="exact"/>
        <w:ind w:firstLine="640" w:firstLineChars="200"/>
        <w:jc w:val="both"/>
        <w:rPr>
          <w:rFonts w:hint="eastAsia" w:ascii="方正仿宋_GBK" w:hAnsi="方正仿宋_GBK" w:eastAsia="方正仿宋_GBK" w:cs="方正仿宋_GBK"/>
          <w:color w:val="000000" w:themeColor="text1"/>
          <w:sz w:val="32"/>
          <w:szCs w:val="32"/>
          <w:shd w:val="clear" w:color="auto" w:fill="FFFFFF"/>
        </w:rPr>
      </w:pPr>
      <w:r>
        <w:rPr>
          <w:rFonts w:hint="eastAsia" w:ascii="方正仿宋_GBK" w:hAnsi="方正仿宋_GBK" w:eastAsia="方正仿宋_GBK" w:cs="方正仿宋_GBK"/>
          <w:color w:val="000000" w:themeColor="text1"/>
          <w:sz w:val="32"/>
          <w:szCs w:val="32"/>
          <w:shd w:val="clear" w:color="auto" w:fill="FFFFFF"/>
          <w:lang w:eastAsia="zh-CN"/>
        </w:rPr>
        <w:t>对标省政务管理局组织开展的2022年政务公开第三方评估，我县主要存在部分文件未通过在线访谈（问答）、图标图解、音视频、新闻发布会等多</w:t>
      </w:r>
      <w:bookmarkStart w:id="0" w:name="_GoBack"/>
      <w:bookmarkEnd w:id="0"/>
      <w:r>
        <w:rPr>
          <w:rFonts w:hint="eastAsia" w:ascii="方正仿宋_GBK" w:hAnsi="方正仿宋_GBK" w:eastAsia="方正仿宋_GBK" w:cs="方正仿宋_GBK"/>
          <w:color w:val="000000" w:themeColor="text1"/>
          <w:sz w:val="32"/>
          <w:szCs w:val="32"/>
          <w:shd w:val="clear" w:color="auto" w:fill="FFFFFF"/>
          <w:lang w:eastAsia="zh-CN"/>
        </w:rPr>
        <w:t>种形式开展解读，未提供重大预决策公开结果反馈等问题，收到以上问题立即与相关责任单位研究解决，并一一整改到位。接下来将加强政务公开工作统筹指导和沟通协调，创新工作方式方法，认真研读国省市文件指标，严重落实各项工作任务及第三方评估要求，切实提升基层政务公开和政务服务水平；加强政务公开培训，确保以多形式开展政策解读，提升政策解读质量。</w:t>
      </w:r>
    </w:p>
    <w:p>
      <w:pPr>
        <w:pStyle w:val="5"/>
        <w:widowControl/>
        <w:spacing w:before="0" w:beforeAutospacing="0" w:after="0" w:afterAutospacing="0" w:line="560" w:lineRule="exact"/>
        <w:ind w:firstLine="640" w:firstLineChars="200"/>
        <w:jc w:val="both"/>
        <w:rPr>
          <w:rFonts w:ascii="黑体" w:hAnsi="黑体" w:eastAsia="黑体" w:cs="黑体"/>
          <w:bCs/>
          <w:sz w:val="32"/>
          <w:szCs w:val="32"/>
        </w:rPr>
      </w:pPr>
      <w:r>
        <w:rPr>
          <w:rFonts w:hint="eastAsia" w:ascii="黑体" w:hAnsi="黑体" w:eastAsia="黑体" w:cs="黑体"/>
          <w:bCs/>
          <w:sz w:val="32"/>
          <w:szCs w:val="32"/>
        </w:rPr>
        <w:t>六、其他需要报告的事项</w:t>
      </w:r>
    </w:p>
    <w:p>
      <w:pPr>
        <w:pStyle w:val="5"/>
        <w:widowControl/>
        <w:spacing w:before="0" w:beforeAutospacing="0" w:after="0" w:afterAutospacing="0" w:line="560" w:lineRule="exact"/>
        <w:ind w:firstLine="640" w:firstLineChars="200"/>
        <w:jc w:val="both"/>
        <w:rPr>
          <w:rFonts w:hint="eastAsia" w:ascii="方正仿宋_GBK" w:hAnsi="方正仿宋_GBK" w:eastAsia="方正仿宋_GBK" w:cs="方正仿宋_GBK"/>
          <w:color w:val="000000" w:themeColor="text1"/>
          <w:sz w:val="32"/>
          <w:szCs w:val="32"/>
          <w:shd w:val="clear" w:color="auto" w:fill="FFFFFF"/>
        </w:rPr>
      </w:pPr>
      <w:r>
        <w:rPr>
          <w:rFonts w:hint="eastAsia" w:ascii="方正仿宋_GBK" w:hAnsi="方正仿宋_GBK" w:eastAsia="方正仿宋_GBK" w:cs="方正仿宋_GBK"/>
          <w:color w:val="000000" w:themeColor="text1"/>
          <w:sz w:val="32"/>
          <w:szCs w:val="32"/>
          <w:shd w:val="clear" w:color="auto" w:fill="FFFFFF"/>
          <w:lang w:eastAsia="zh-CN"/>
        </w:rPr>
        <w:t>根据</w:t>
      </w:r>
      <w:r>
        <w:rPr>
          <w:rFonts w:hint="eastAsia" w:ascii="方正仿宋_GBK" w:hAnsi="方正仿宋_GBK" w:eastAsia="方正仿宋_GBK" w:cs="方正仿宋_GBK"/>
          <w:color w:val="000000" w:themeColor="text1"/>
          <w:sz w:val="32"/>
          <w:szCs w:val="32"/>
          <w:shd w:val="clear" w:color="auto" w:fill="FFFFFF"/>
        </w:rPr>
        <w:t>《湖南省财政厅湖南省发展和改革委员会关于政府信息公开信息处理费管理有关事项的通知》（湘财税〔2021〕3号）文件</w:t>
      </w:r>
      <w:r>
        <w:rPr>
          <w:rFonts w:hint="eastAsia" w:ascii="方正仿宋_GBK" w:hAnsi="方正仿宋_GBK" w:eastAsia="方正仿宋_GBK" w:cs="方正仿宋_GBK"/>
          <w:color w:val="000000" w:themeColor="text1"/>
          <w:sz w:val="32"/>
          <w:szCs w:val="32"/>
          <w:shd w:val="clear" w:color="auto" w:fill="FFFFFF"/>
          <w:lang w:eastAsia="zh-CN"/>
        </w:rPr>
        <w:t>要求</w:t>
      </w:r>
      <w:r>
        <w:rPr>
          <w:rFonts w:hint="eastAsia" w:ascii="方正仿宋_GBK" w:hAnsi="方正仿宋_GBK" w:eastAsia="方正仿宋_GBK" w:cs="方正仿宋_GBK"/>
          <w:color w:val="000000" w:themeColor="text1"/>
          <w:sz w:val="32"/>
          <w:szCs w:val="32"/>
          <w:shd w:val="clear" w:color="auto" w:fill="FFFFFF"/>
        </w:rPr>
        <w:t>。我县本年度未收取信息处理费，无其他需报告的事项。</w:t>
      </w:r>
    </w:p>
    <w:p>
      <w:pPr>
        <w:pStyle w:val="5"/>
        <w:widowControl/>
        <w:spacing w:before="0" w:beforeAutospacing="0" w:after="0" w:afterAutospacing="0" w:line="560" w:lineRule="exact"/>
        <w:jc w:val="both"/>
        <w:rPr>
          <w:rFonts w:ascii="微软雅黑" w:hAnsi="微软雅黑" w:eastAsia="微软雅黑" w:cs="微软雅黑"/>
          <w:color w:val="424242"/>
          <w:sz w:val="27"/>
          <w:szCs w:val="27"/>
          <w:shd w:val="clear" w:color="auto"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zAyYzQwZWI2ZGE5Y2ZlNzdlNmRkMmMwZjY3NmI1ZGMifQ=="/>
  </w:docVars>
  <w:rsids>
    <w:rsidRoot w:val="00E032B9"/>
    <w:rsid w:val="004D048A"/>
    <w:rsid w:val="004F2958"/>
    <w:rsid w:val="00764696"/>
    <w:rsid w:val="00B070FD"/>
    <w:rsid w:val="00CA3600"/>
    <w:rsid w:val="00E032B9"/>
    <w:rsid w:val="00F43F15"/>
    <w:rsid w:val="02555ED9"/>
    <w:rsid w:val="0273010D"/>
    <w:rsid w:val="097F728F"/>
    <w:rsid w:val="0FCE1079"/>
    <w:rsid w:val="10C1473A"/>
    <w:rsid w:val="15311E8E"/>
    <w:rsid w:val="15F51E29"/>
    <w:rsid w:val="17D363F7"/>
    <w:rsid w:val="18DE057F"/>
    <w:rsid w:val="1938116D"/>
    <w:rsid w:val="1BB87FC2"/>
    <w:rsid w:val="1DAC0C4B"/>
    <w:rsid w:val="20E029BA"/>
    <w:rsid w:val="22031056"/>
    <w:rsid w:val="22444EFC"/>
    <w:rsid w:val="26D42FC1"/>
    <w:rsid w:val="274517C9"/>
    <w:rsid w:val="29846058"/>
    <w:rsid w:val="2D4E5A02"/>
    <w:rsid w:val="2E532A1D"/>
    <w:rsid w:val="2EA96AE1"/>
    <w:rsid w:val="2F0E4A59"/>
    <w:rsid w:val="324E1E79"/>
    <w:rsid w:val="32EE540A"/>
    <w:rsid w:val="33F941AE"/>
    <w:rsid w:val="358160C2"/>
    <w:rsid w:val="379B1635"/>
    <w:rsid w:val="3A2A17CE"/>
    <w:rsid w:val="3A4B4689"/>
    <w:rsid w:val="3AE05B43"/>
    <w:rsid w:val="3B8D5021"/>
    <w:rsid w:val="3D006466"/>
    <w:rsid w:val="3E0713D5"/>
    <w:rsid w:val="40322DDA"/>
    <w:rsid w:val="437B7DBF"/>
    <w:rsid w:val="43FB34E3"/>
    <w:rsid w:val="447514E8"/>
    <w:rsid w:val="456D21BF"/>
    <w:rsid w:val="47A125F4"/>
    <w:rsid w:val="48B15D8C"/>
    <w:rsid w:val="48FD385A"/>
    <w:rsid w:val="49F20EE5"/>
    <w:rsid w:val="4A7D2664"/>
    <w:rsid w:val="4B3A709B"/>
    <w:rsid w:val="4CE27936"/>
    <w:rsid w:val="4E141D71"/>
    <w:rsid w:val="51E36A98"/>
    <w:rsid w:val="54E65AEA"/>
    <w:rsid w:val="55327527"/>
    <w:rsid w:val="55B81234"/>
    <w:rsid w:val="59D47800"/>
    <w:rsid w:val="5A541B0D"/>
    <w:rsid w:val="5C5123E2"/>
    <w:rsid w:val="5D126010"/>
    <w:rsid w:val="5D301FF8"/>
    <w:rsid w:val="63273E9D"/>
    <w:rsid w:val="66A31A68"/>
    <w:rsid w:val="68E87C2B"/>
    <w:rsid w:val="69970DFC"/>
    <w:rsid w:val="6C1B20C5"/>
    <w:rsid w:val="6DAC79E1"/>
    <w:rsid w:val="6ED36C87"/>
    <w:rsid w:val="6EFE1506"/>
    <w:rsid w:val="6FF819C3"/>
    <w:rsid w:val="74DF0134"/>
    <w:rsid w:val="75C577BC"/>
    <w:rsid w:val="795F6A28"/>
    <w:rsid w:val="7C6F4493"/>
    <w:rsid w:val="7E7776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endnote text"/>
    <w:basedOn w:val="1"/>
    <w:qFormat/>
    <w:uiPriority w:val="0"/>
    <w:rPr>
      <w:rFonts w:ascii="Calibri" w:hAnsi="Calibri" w:eastAsia="宋体" w:cs="Times New Roman"/>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next w:val="4"/>
    <w:qFormat/>
    <w:uiPriority w:val="0"/>
    <w:pPr>
      <w:widowControl w:val="0"/>
      <w:spacing w:before="100" w:beforeAutospacing="1" w:after="100" w:afterAutospacing="1"/>
    </w:pPr>
    <w:rPr>
      <w:rFonts w:ascii="Times New Roman" w:hAnsi="Times New Roman" w:eastAsia="宋体" w:cs="Times New Roman"/>
      <w:sz w:val="24"/>
      <w:szCs w:val="24"/>
      <w:lang w:val="en-US" w:eastAsia="zh-CN" w:bidi="ar-SA"/>
    </w:rPr>
  </w:style>
  <w:style w:type="character" w:customStyle="1" w:styleId="8">
    <w:name w:val="页脚 Char"/>
    <w:basedOn w:val="7"/>
    <w:link w:val="3"/>
    <w:qFormat/>
    <w:uiPriority w:val="0"/>
    <w:rPr>
      <w:rFonts w:asciiTheme="minorHAnsi" w:hAnsiTheme="minorHAnsi" w:eastAsiaTheme="minorEastAsia" w:cstheme="minorBidi"/>
      <w:kern w:val="2"/>
      <w:sz w:val="18"/>
      <w:szCs w:val="18"/>
    </w:rPr>
  </w:style>
  <w:style w:type="paragraph" w:styleId="9">
    <w:name w:val="List Paragraph"/>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2846</Words>
  <Characters>2999</Characters>
  <Lines>23</Lines>
  <Paragraphs>6</Paragraphs>
  <TotalTime>1</TotalTime>
  <ScaleCrop>false</ScaleCrop>
  <LinksUpToDate>false</LinksUpToDate>
  <CharactersWithSpaces>2999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2023-02-14T02:14:00Z</dcterms:created>
  <dc:creator>Administrator</dc:creator>
  <cp:lastModifiedBy>000</cp:lastModifiedBy>
  <cp:lastPrinted>2023-02-14T03:20:00Z</cp:lastPrinted>
  <dcterms:modified xsi:type="dcterms:W3CDTF">2023-03-08T02:48:35Z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A9C2CD89F17F4E71A4FF5E42AF97EC3E</vt:lpwstr>
  </property>
</Properties>
</file>