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仿宋" w:hAnsi="仿宋" w:eastAsia="仿宋"/>
          <w:kern w:val="0"/>
          <w:sz w:val="32"/>
          <w:szCs w:val="32"/>
        </w:rPr>
      </w:pPr>
    </w:p>
    <w:p>
      <w:pPr>
        <w:pStyle w:val="12"/>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方正小标宋_GBK" w:hAnsi="方正小标宋_GBK" w:eastAsia="方正小标宋_GBK" w:cs="方正小标宋_GBK"/>
          <w:kern w:val="0"/>
          <w:sz w:val="32"/>
          <w:szCs w:val="32"/>
        </w:rPr>
      </w:pPr>
    </w:p>
    <w:p>
      <w:pPr>
        <w:pStyle w:val="12"/>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方正小标宋_GBK" w:hAnsi="方正小标宋_GBK" w:eastAsia="方正小标宋_GBK" w:cs="方正小标宋_GBK"/>
          <w:kern w:val="0"/>
          <w:sz w:val="32"/>
          <w:szCs w:val="32"/>
        </w:rPr>
      </w:pPr>
    </w:p>
    <w:p>
      <w:pPr>
        <w:pStyle w:val="12"/>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b w:val="0"/>
          <w:bCs/>
          <w:kern w:val="0"/>
          <w:sz w:val="44"/>
          <w:szCs w:val="44"/>
          <w:lang w:val="en-US" w:eastAsia="zh-CN"/>
        </w:rPr>
      </w:pPr>
      <w:r>
        <w:rPr>
          <w:rFonts w:hint="eastAsia" w:ascii="方正小标宋_GBK" w:hAnsi="方正小标宋_GBK" w:eastAsia="方正小标宋_GBK" w:cs="方正小标宋_GBK"/>
          <w:b w:val="0"/>
          <w:bCs/>
          <w:kern w:val="0"/>
          <w:sz w:val="44"/>
          <w:szCs w:val="44"/>
        </w:rPr>
        <w:t>湘潭县</w:t>
      </w:r>
      <w:r>
        <w:rPr>
          <w:rFonts w:hint="eastAsia" w:ascii="方正小标宋_GBK" w:hAnsi="方正小标宋_GBK" w:eastAsia="方正小标宋_GBK" w:cs="方正小标宋_GBK"/>
          <w:b w:val="0"/>
          <w:bCs/>
          <w:kern w:val="0"/>
          <w:sz w:val="44"/>
          <w:szCs w:val="44"/>
          <w:lang w:val="en-US" w:eastAsia="zh-CN"/>
        </w:rPr>
        <w:t>行政审批服务局</w:t>
      </w:r>
    </w:p>
    <w:p>
      <w:pPr>
        <w:pStyle w:val="12"/>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kern w:val="0"/>
          <w:sz w:val="44"/>
          <w:szCs w:val="44"/>
        </w:rPr>
      </w:pPr>
      <w:r>
        <w:rPr>
          <w:rFonts w:hint="eastAsia" w:ascii="方正小标宋_GBK" w:hAnsi="方正小标宋_GBK" w:eastAsia="方正小标宋_GBK" w:cs="方正小标宋_GBK"/>
          <w:b w:val="0"/>
          <w:bCs/>
          <w:kern w:val="0"/>
          <w:sz w:val="44"/>
          <w:szCs w:val="44"/>
          <w:lang w:val="en-US" w:eastAsia="zh-CN"/>
        </w:rPr>
        <w:t>2021年度</w:t>
      </w:r>
      <w:r>
        <w:rPr>
          <w:rFonts w:hint="eastAsia" w:ascii="方正小标宋_GBK" w:hAnsi="方正小标宋_GBK" w:eastAsia="方正小标宋_GBK" w:cs="方正小标宋_GBK"/>
          <w:b w:val="0"/>
          <w:bCs/>
          <w:kern w:val="0"/>
          <w:sz w:val="44"/>
          <w:szCs w:val="44"/>
        </w:rPr>
        <w:t>整体支出绩效自评报告</w:t>
      </w:r>
    </w:p>
    <w:p>
      <w:pPr>
        <w:pStyle w:val="12"/>
        <w:keepNext w:val="0"/>
        <w:keepLines w:val="0"/>
        <w:pageBreakBefore w:val="0"/>
        <w:kinsoku/>
        <w:wordWrap/>
        <w:overflowPunct/>
        <w:topLinePunct w:val="0"/>
        <w:autoSpaceDE/>
        <w:autoSpaceDN/>
        <w:bidi w:val="0"/>
        <w:adjustRightInd/>
        <w:snapToGrid/>
        <w:spacing w:line="560" w:lineRule="exact"/>
        <w:jc w:val="center"/>
        <w:textAlignment w:val="auto"/>
        <w:rPr>
          <w:rFonts w:ascii="楷体_GB2312" w:hAnsi="仿宋" w:eastAsia="楷体_GB2312"/>
          <w:b/>
          <w:kern w:val="0"/>
          <w:sz w:val="32"/>
          <w:szCs w:val="32"/>
        </w:rPr>
      </w:pPr>
    </w:p>
    <w:p>
      <w:pPr>
        <w:pStyle w:val="12"/>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ascii="黑体" w:hAnsi="仿宋" w:eastAsia="黑体"/>
          <w:kern w:val="0"/>
          <w:sz w:val="32"/>
          <w:szCs w:val="32"/>
        </w:rPr>
      </w:pPr>
      <w:r>
        <w:rPr>
          <w:rFonts w:hint="eastAsia" w:ascii="黑体" w:hAnsi="仿宋" w:eastAsia="黑体"/>
          <w:kern w:val="0"/>
          <w:sz w:val="32"/>
          <w:szCs w:val="32"/>
        </w:rPr>
        <w:t>一、部门基本情况</w:t>
      </w:r>
    </w:p>
    <w:p>
      <w:pPr>
        <w:pStyle w:val="12"/>
        <w:keepNext w:val="0"/>
        <w:keepLines w:val="0"/>
        <w:pageBreakBefore w:val="0"/>
        <w:kinsoku/>
        <w:wordWrap/>
        <w:overflowPunct/>
        <w:topLinePunct w:val="0"/>
        <w:autoSpaceDE/>
        <w:autoSpaceDN/>
        <w:bidi w:val="0"/>
        <w:adjustRightInd/>
        <w:snapToGrid/>
        <w:spacing w:line="520" w:lineRule="exact"/>
        <w:ind w:firstLine="643" w:firstLineChars="200"/>
        <w:textAlignment w:val="auto"/>
        <w:rPr>
          <w:rFonts w:hint="eastAsia" w:ascii="楷体_GB2312" w:hAnsi="楷体_GB2312" w:eastAsia="楷体_GB2312" w:cs="楷体_GB2312"/>
          <w:b/>
          <w:bCs/>
          <w:kern w:val="0"/>
          <w:sz w:val="32"/>
          <w:szCs w:val="32"/>
        </w:rPr>
      </w:pPr>
      <w:r>
        <w:rPr>
          <w:rFonts w:hint="eastAsia" w:ascii="楷体_GB2312" w:hAnsi="楷体_GB2312" w:eastAsia="楷体_GB2312" w:cs="楷体_GB2312"/>
          <w:b/>
          <w:bCs/>
          <w:kern w:val="0"/>
          <w:sz w:val="32"/>
          <w:szCs w:val="32"/>
        </w:rPr>
        <w:t>（一）机构设置</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firstLine="640" w:firstLineChars="200"/>
        <w:textAlignment w:val="auto"/>
        <w:rPr>
          <w:rFonts w:ascii="仿宋_GB2312" w:hAnsi="仿宋" w:eastAsia="仿宋_GB2312" w:cs="Times New Roman"/>
          <w:color w:val="0000FF"/>
          <w:sz w:val="32"/>
          <w:szCs w:val="32"/>
        </w:rPr>
      </w:pPr>
      <w:r>
        <w:rPr>
          <w:rFonts w:hint="eastAsia" w:ascii="仿宋_GB2312" w:hAnsi="仿宋" w:eastAsia="仿宋_GB2312" w:cs="Times New Roman"/>
          <w:sz w:val="32"/>
          <w:szCs w:val="32"/>
          <w:lang w:val="en-US" w:eastAsia="zh-CN"/>
        </w:rPr>
        <w:t>局内设办公室、行政审批改革股、政务公开股、政务服务股4个股室；下设政务服务中心（副科级）、电子政务管理中心（副科级）、12345公共服务和投诉举报平台3个二级机构。</w:t>
      </w:r>
    </w:p>
    <w:p>
      <w:pPr>
        <w:pStyle w:val="12"/>
        <w:keepNext w:val="0"/>
        <w:keepLines w:val="0"/>
        <w:pageBreakBefore w:val="0"/>
        <w:kinsoku/>
        <w:wordWrap/>
        <w:overflowPunct/>
        <w:topLinePunct w:val="0"/>
        <w:autoSpaceDE/>
        <w:autoSpaceDN/>
        <w:bidi w:val="0"/>
        <w:adjustRightInd/>
        <w:snapToGrid/>
        <w:spacing w:line="520" w:lineRule="exact"/>
        <w:ind w:firstLine="643" w:firstLineChars="200"/>
        <w:textAlignment w:val="auto"/>
        <w:rPr>
          <w:rFonts w:hint="eastAsia" w:ascii="楷体_GB2312" w:hAnsi="楷体_GB2312" w:eastAsia="楷体_GB2312" w:cs="楷体_GB2312"/>
          <w:b/>
          <w:bCs/>
          <w:kern w:val="0"/>
          <w:sz w:val="32"/>
          <w:szCs w:val="32"/>
        </w:rPr>
      </w:pPr>
      <w:r>
        <w:rPr>
          <w:rFonts w:hint="eastAsia" w:ascii="楷体_GB2312" w:hAnsi="楷体_GB2312" w:eastAsia="楷体_GB2312" w:cs="楷体_GB2312"/>
          <w:b/>
          <w:bCs/>
          <w:kern w:val="0"/>
          <w:sz w:val="32"/>
          <w:szCs w:val="32"/>
        </w:rPr>
        <w:t>（二）部门主要职能</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firstLine="640" w:firstLineChars="200"/>
        <w:textAlignment w:val="auto"/>
        <w:rPr>
          <w:rFonts w:hint="eastAsia"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1.负责组织拟订全县行政审批制度改革、政务公开协调、政务服务、电子政务管理、县长热线管理相关政策，制定、起草有关规定、制度和管理办法，并组织实施。对县直单位和乡镇进行业务指导。</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firstLine="640" w:firstLineChars="200"/>
        <w:textAlignment w:val="auto"/>
        <w:rPr>
          <w:rFonts w:hint="eastAsia"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2.负责指导、协调、推进全县行政审批制度改革工作，承担协调指导全县“放管服”改革的日常工作。负责统筹推进全县审批服务便民化改革，负责指导、协调、监督全县三级政务服务体系和政务服务标准化建设。牵头组织规范全县行政审批和政务服务行为。</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firstLine="640" w:firstLineChars="200"/>
        <w:textAlignment w:val="auto"/>
        <w:rPr>
          <w:rFonts w:hint="eastAsia"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3.负责推进、指导、协调、监督全县政务公开（政府信息公开、办事公开）工作，并负责县政府的政府信息公开的日常工作。负责全县政府网站建设管理工作，承担县政府门户网站主办职责，统筹规划、监督全县政府系统网站。</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firstLine="640" w:firstLineChars="200"/>
        <w:textAlignment w:val="auto"/>
        <w:rPr>
          <w:rFonts w:hint="eastAsia"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4.统筹推进、协调、监督全县政府</w:t>
      </w:r>
      <w:bookmarkStart w:id="0" w:name="_GoBack"/>
      <w:bookmarkEnd w:id="0"/>
      <w:r>
        <w:rPr>
          <w:rFonts w:hint="eastAsia" w:ascii="仿宋_GB2312" w:hAnsi="仿宋" w:eastAsia="仿宋_GB2312" w:cs="Times New Roman"/>
          <w:sz w:val="32"/>
          <w:szCs w:val="32"/>
          <w:lang w:val="en-US" w:eastAsia="zh-CN"/>
        </w:rPr>
        <w:t>系统电子政务、“互联网+政务服务”、政务数据资源体系建设与管理工作。</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firstLine="640" w:firstLineChars="200"/>
        <w:textAlignment w:val="auto"/>
        <w:rPr>
          <w:rFonts w:hint="eastAsia"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5.统筹推进县长热线和“县长信箱”工作。负责市民通过县长热线向县政府进行的咨询建议、投诉、求助等事项的处理。</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lang w:val="en-US" w:eastAsia="zh-CN"/>
        </w:rPr>
        <w:t>6.完成县委、县人民政府交办的其他任务。</w:t>
      </w:r>
    </w:p>
    <w:p>
      <w:pPr>
        <w:pStyle w:val="12"/>
        <w:keepNext w:val="0"/>
        <w:keepLines w:val="0"/>
        <w:pageBreakBefore w:val="0"/>
        <w:kinsoku/>
        <w:wordWrap/>
        <w:overflowPunct/>
        <w:topLinePunct w:val="0"/>
        <w:autoSpaceDE/>
        <w:autoSpaceDN/>
        <w:bidi w:val="0"/>
        <w:adjustRightInd/>
        <w:snapToGrid/>
        <w:spacing w:line="520" w:lineRule="exact"/>
        <w:ind w:firstLine="320" w:firstLineChars="100"/>
        <w:textAlignment w:val="auto"/>
        <w:rPr>
          <w:rFonts w:ascii="黑体" w:hAnsi="仿宋" w:eastAsia="黑体"/>
          <w:kern w:val="0"/>
          <w:sz w:val="32"/>
          <w:szCs w:val="32"/>
        </w:rPr>
      </w:pPr>
      <w:r>
        <w:rPr>
          <w:rFonts w:hint="eastAsia" w:ascii="黑体" w:hAnsi="仿宋" w:eastAsia="黑体"/>
          <w:kern w:val="0"/>
          <w:sz w:val="32"/>
          <w:szCs w:val="32"/>
        </w:rPr>
        <w:t>二、绩效评价工作情况</w:t>
      </w:r>
    </w:p>
    <w:p>
      <w:pPr>
        <w:pStyle w:val="12"/>
        <w:keepNext w:val="0"/>
        <w:keepLines w:val="0"/>
        <w:pageBreakBefore w:val="0"/>
        <w:kinsoku/>
        <w:wordWrap/>
        <w:overflowPunct/>
        <w:topLinePunct w:val="0"/>
        <w:autoSpaceDE/>
        <w:autoSpaceDN/>
        <w:bidi w:val="0"/>
        <w:adjustRightInd/>
        <w:snapToGrid/>
        <w:spacing w:line="520" w:lineRule="exact"/>
        <w:ind w:firstLine="643" w:firstLineChars="200"/>
        <w:textAlignment w:val="auto"/>
        <w:rPr>
          <w:rFonts w:hint="eastAsia" w:ascii="楷体_GB2312" w:hAnsi="楷体_GB2312" w:eastAsia="楷体_GB2312" w:cs="楷体_GB2312"/>
          <w:b/>
          <w:bCs/>
          <w:kern w:val="0"/>
          <w:sz w:val="32"/>
          <w:szCs w:val="32"/>
        </w:rPr>
      </w:pPr>
      <w:r>
        <w:rPr>
          <w:rFonts w:hint="eastAsia" w:ascii="楷体_GB2312" w:hAnsi="楷体_GB2312" w:eastAsia="楷体_GB2312" w:cs="楷体_GB2312"/>
          <w:b/>
          <w:bCs/>
          <w:kern w:val="0"/>
          <w:sz w:val="32"/>
          <w:szCs w:val="32"/>
        </w:rPr>
        <w:t>（一）绩效评价工作组织情况</w:t>
      </w:r>
    </w:p>
    <w:p>
      <w:pPr>
        <w:pStyle w:val="12"/>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ascii="仿宋_GB2312" w:hAnsi="仿宋" w:eastAsia="仿宋_GB2312"/>
          <w:kern w:val="0"/>
          <w:sz w:val="32"/>
          <w:szCs w:val="32"/>
        </w:rPr>
      </w:pPr>
      <w:r>
        <w:rPr>
          <w:rFonts w:hint="eastAsia" w:ascii="仿宋_GB2312" w:hAnsi="仿宋" w:eastAsia="仿宋_GB2312"/>
          <w:kern w:val="0"/>
          <w:sz w:val="32"/>
          <w:szCs w:val="32"/>
        </w:rPr>
        <w:t>根据绩效评价的要求，我们成立了自评工作领导小组，对照自评方案进行研究和布署，党组成员、</w:t>
      </w:r>
      <w:r>
        <w:rPr>
          <w:rFonts w:hint="eastAsia" w:ascii="仿宋_GB2312" w:hAnsi="仿宋" w:eastAsia="仿宋_GB2312"/>
          <w:kern w:val="0"/>
          <w:sz w:val="32"/>
          <w:szCs w:val="32"/>
          <w:lang w:val="en-US" w:eastAsia="zh-CN"/>
        </w:rPr>
        <w:t>办内各股</w:t>
      </w:r>
      <w:r>
        <w:rPr>
          <w:rFonts w:hint="eastAsia" w:ascii="仿宋_GB2312" w:hAnsi="仿宋" w:eastAsia="仿宋_GB2312"/>
          <w:kern w:val="0"/>
          <w:sz w:val="32"/>
          <w:szCs w:val="32"/>
        </w:rPr>
        <w:t>室全程参与，按照自评方案的要求，对照各实施项目的内容逐条逐项自评。在自评过程发现问题，查找原因，及时纠正偏差，为下一步工作夯实基础。</w:t>
      </w:r>
    </w:p>
    <w:p>
      <w:pPr>
        <w:pStyle w:val="12"/>
        <w:keepNext w:val="0"/>
        <w:keepLines w:val="0"/>
        <w:pageBreakBefore w:val="0"/>
        <w:kinsoku/>
        <w:wordWrap/>
        <w:overflowPunct/>
        <w:topLinePunct w:val="0"/>
        <w:autoSpaceDE/>
        <w:autoSpaceDN/>
        <w:bidi w:val="0"/>
        <w:adjustRightInd/>
        <w:snapToGrid/>
        <w:spacing w:line="520" w:lineRule="exact"/>
        <w:ind w:firstLine="643" w:firstLineChars="200"/>
        <w:textAlignment w:val="auto"/>
        <w:rPr>
          <w:rFonts w:hint="eastAsia" w:ascii="楷体_GB2312" w:hAnsi="楷体_GB2312" w:eastAsia="楷体_GB2312" w:cs="楷体_GB2312"/>
          <w:b/>
          <w:bCs/>
          <w:kern w:val="0"/>
          <w:sz w:val="32"/>
          <w:szCs w:val="32"/>
        </w:rPr>
      </w:pPr>
      <w:r>
        <w:rPr>
          <w:rFonts w:hint="eastAsia" w:ascii="楷体_GB2312" w:hAnsi="楷体_GB2312" w:eastAsia="楷体_GB2312" w:cs="楷体_GB2312"/>
          <w:b/>
          <w:bCs/>
          <w:kern w:val="0"/>
          <w:sz w:val="32"/>
          <w:szCs w:val="32"/>
        </w:rPr>
        <w:t>（二）部门自评情况</w:t>
      </w:r>
    </w:p>
    <w:p>
      <w:pPr>
        <w:pStyle w:val="12"/>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ascii="仿宋_GB2312" w:hAnsi="仿宋" w:eastAsia="仿宋_GB2312"/>
          <w:kern w:val="0"/>
          <w:sz w:val="32"/>
          <w:szCs w:val="32"/>
        </w:rPr>
      </w:pPr>
      <w:r>
        <w:rPr>
          <w:rFonts w:hint="eastAsia" w:ascii="仿宋_GB2312" w:hAnsi="仿宋" w:eastAsia="仿宋_GB2312"/>
          <w:kern w:val="0"/>
          <w:sz w:val="32"/>
          <w:szCs w:val="32"/>
        </w:rPr>
        <w:t>根据部门整体支出绩效评价指标体系自评打分，评定结果为优。</w:t>
      </w:r>
    </w:p>
    <w:p>
      <w:pPr>
        <w:pStyle w:val="12"/>
        <w:keepNext w:val="0"/>
        <w:keepLines w:val="0"/>
        <w:pageBreakBefore w:val="0"/>
        <w:numPr>
          <w:ilvl w:val="0"/>
          <w:numId w:val="1"/>
        </w:numPr>
        <w:kinsoku/>
        <w:wordWrap/>
        <w:overflowPunct/>
        <w:topLinePunct w:val="0"/>
        <w:autoSpaceDE/>
        <w:autoSpaceDN/>
        <w:bidi w:val="0"/>
        <w:adjustRightInd/>
        <w:snapToGrid/>
        <w:spacing w:line="520" w:lineRule="exact"/>
        <w:ind w:firstLine="640" w:firstLineChars="200"/>
        <w:textAlignment w:val="auto"/>
        <w:rPr>
          <w:rFonts w:ascii="黑体" w:hAnsi="仿宋" w:eastAsia="黑体"/>
          <w:kern w:val="0"/>
          <w:sz w:val="32"/>
          <w:szCs w:val="32"/>
        </w:rPr>
      </w:pPr>
      <w:r>
        <w:rPr>
          <w:rFonts w:hint="eastAsia" w:ascii="黑体" w:hAnsi="仿宋" w:eastAsia="黑体"/>
          <w:kern w:val="0"/>
          <w:sz w:val="32"/>
          <w:szCs w:val="32"/>
        </w:rPr>
        <w:t>部门整体支出绩效情况分析</w:t>
      </w:r>
    </w:p>
    <w:p>
      <w:pPr>
        <w:pStyle w:val="12"/>
        <w:keepNext w:val="0"/>
        <w:keepLines w:val="0"/>
        <w:pageBreakBefore w:val="0"/>
        <w:kinsoku/>
        <w:wordWrap/>
        <w:overflowPunct/>
        <w:topLinePunct w:val="0"/>
        <w:autoSpaceDE/>
        <w:autoSpaceDN/>
        <w:bidi w:val="0"/>
        <w:adjustRightInd/>
        <w:snapToGrid/>
        <w:spacing w:line="520" w:lineRule="exact"/>
        <w:ind w:firstLine="640"/>
        <w:textAlignment w:val="auto"/>
        <w:rPr>
          <w:rFonts w:ascii="仿宋_GB2312" w:hAnsi="仿宋" w:eastAsia="仿宋_GB2312"/>
          <w:kern w:val="0"/>
          <w:sz w:val="32"/>
          <w:szCs w:val="32"/>
        </w:rPr>
      </w:pPr>
      <w:r>
        <w:rPr>
          <w:rFonts w:hint="eastAsia" w:ascii="仿宋_GB2312" w:hAnsi="仿宋" w:eastAsia="仿宋_GB2312"/>
          <w:kern w:val="0"/>
          <w:sz w:val="32"/>
          <w:szCs w:val="32"/>
        </w:rPr>
        <w:t>20</w:t>
      </w:r>
      <w:r>
        <w:rPr>
          <w:rFonts w:hint="eastAsia" w:ascii="仿宋_GB2312" w:hAnsi="仿宋" w:eastAsia="仿宋_GB2312"/>
          <w:kern w:val="0"/>
          <w:sz w:val="32"/>
          <w:szCs w:val="32"/>
          <w:lang w:val="en-US" w:eastAsia="zh-CN"/>
        </w:rPr>
        <w:t>21</w:t>
      </w:r>
      <w:r>
        <w:rPr>
          <w:rFonts w:hint="eastAsia" w:ascii="仿宋_GB2312" w:hAnsi="仿宋" w:eastAsia="仿宋_GB2312"/>
          <w:kern w:val="0"/>
          <w:sz w:val="32"/>
          <w:szCs w:val="32"/>
        </w:rPr>
        <w:t>年在县财政局的大力支持下，</w:t>
      </w:r>
      <w:r>
        <w:rPr>
          <w:rFonts w:hint="eastAsia" w:ascii="仿宋_GB2312" w:hAnsi="仿宋" w:eastAsia="仿宋_GB2312"/>
          <w:kern w:val="0"/>
          <w:sz w:val="32"/>
          <w:szCs w:val="32"/>
          <w:lang w:val="en-US" w:eastAsia="zh-CN"/>
        </w:rPr>
        <w:t>我局</w:t>
      </w:r>
      <w:r>
        <w:rPr>
          <w:rFonts w:hint="eastAsia" w:ascii="仿宋_GB2312" w:hAnsi="仿宋" w:eastAsia="仿宋_GB2312"/>
          <w:kern w:val="0"/>
          <w:sz w:val="32"/>
          <w:szCs w:val="32"/>
        </w:rPr>
        <w:t>经费的运行本着“统筹兼顾，合理安排，量入为出，勤俭持家”的原则，紧紧围绕</w:t>
      </w:r>
      <w:r>
        <w:rPr>
          <w:rFonts w:hint="eastAsia" w:ascii="仿宋_GB2312" w:hAnsi="仿宋" w:eastAsia="仿宋_GB2312"/>
          <w:kern w:val="0"/>
          <w:sz w:val="32"/>
          <w:szCs w:val="32"/>
          <w:lang w:val="en-US" w:eastAsia="zh-CN"/>
        </w:rPr>
        <w:t>政务服务</w:t>
      </w:r>
      <w:r>
        <w:rPr>
          <w:rFonts w:hint="eastAsia" w:ascii="仿宋_GB2312" w:hAnsi="仿宋" w:eastAsia="仿宋_GB2312"/>
          <w:kern w:val="0"/>
          <w:sz w:val="32"/>
          <w:szCs w:val="32"/>
        </w:rPr>
        <w:t>工作，</w:t>
      </w:r>
      <w:r>
        <w:rPr>
          <w:rFonts w:hint="eastAsia" w:ascii="仿宋_GB2312" w:hAnsi="仿宋_GB2312" w:eastAsia="仿宋_GB2312" w:cs="仿宋_GB2312"/>
          <w:sz w:val="32"/>
          <w:szCs w:val="32"/>
          <w:lang w:val="en-US" w:eastAsia="zh-CN"/>
        </w:rPr>
        <w:t>全力优化营商环境，助推高质量发展</w:t>
      </w:r>
      <w:r>
        <w:rPr>
          <w:rFonts w:hint="eastAsia" w:ascii="仿宋_GB2312" w:hAnsi="仿宋" w:eastAsia="仿宋_GB2312"/>
          <w:kern w:val="0"/>
          <w:sz w:val="32"/>
          <w:szCs w:val="32"/>
        </w:rPr>
        <w:t>，出色地完成了本年的经费保障任务。</w:t>
      </w:r>
    </w:p>
    <w:p>
      <w:pPr>
        <w:pStyle w:val="12"/>
        <w:keepNext w:val="0"/>
        <w:keepLines w:val="0"/>
        <w:pageBreakBefore w:val="0"/>
        <w:kinsoku/>
        <w:wordWrap/>
        <w:overflowPunct/>
        <w:topLinePunct w:val="0"/>
        <w:autoSpaceDE/>
        <w:autoSpaceDN/>
        <w:bidi w:val="0"/>
        <w:adjustRightInd/>
        <w:snapToGrid/>
        <w:spacing w:line="520" w:lineRule="exact"/>
        <w:ind w:firstLine="640"/>
        <w:textAlignment w:val="auto"/>
        <w:rPr>
          <w:rFonts w:hint="eastAsia" w:ascii="仿宋_GB2312" w:hAnsi="仿宋" w:eastAsia="仿宋_GB2312"/>
          <w:b/>
          <w:bCs/>
          <w:kern w:val="0"/>
          <w:sz w:val="32"/>
          <w:szCs w:val="32"/>
        </w:rPr>
      </w:pPr>
      <w:r>
        <w:rPr>
          <w:rFonts w:hint="eastAsia" w:ascii="仿宋_GB2312" w:hAnsi="仿宋" w:eastAsia="仿宋_GB2312"/>
          <w:b/>
          <w:bCs/>
          <w:kern w:val="0"/>
          <w:sz w:val="32"/>
          <w:szCs w:val="32"/>
          <w:lang w:eastAsia="zh-CN"/>
        </w:rPr>
        <w:t>（</w:t>
      </w:r>
      <w:r>
        <w:rPr>
          <w:rFonts w:hint="eastAsia" w:ascii="仿宋_GB2312" w:hAnsi="仿宋" w:eastAsia="仿宋_GB2312"/>
          <w:b/>
          <w:bCs/>
          <w:kern w:val="0"/>
          <w:sz w:val="32"/>
          <w:szCs w:val="32"/>
          <w:lang w:val="en-US" w:eastAsia="zh-CN"/>
        </w:rPr>
        <w:t>一）</w:t>
      </w:r>
      <w:r>
        <w:rPr>
          <w:rFonts w:hint="eastAsia" w:ascii="仿宋_GB2312" w:hAnsi="仿宋" w:eastAsia="仿宋_GB2312"/>
          <w:b/>
          <w:bCs/>
          <w:kern w:val="0"/>
          <w:sz w:val="32"/>
          <w:szCs w:val="32"/>
        </w:rPr>
        <w:t>部门整体收支情况</w:t>
      </w:r>
    </w:p>
    <w:p>
      <w:pPr>
        <w:pStyle w:val="12"/>
        <w:keepNext w:val="0"/>
        <w:keepLines w:val="0"/>
        <w:pageBreakBefore w:val="0"/>
        <w:kinsoku/>
        <w:wordWrap/>
        <w:overflowPunct/>
        <w:topLinePunct w:val="0"/>
        <w:autoSpaceDE/>
        <w:autoSpaceDN/>
        <w:bidi w:val="0"/>
        <w:adjustRightInd/>
        <w:snapToGrid/>
        <w:spacing w:line="520" w:lineRule="exact"/>
        <w:ind w:firstLine="640"/>
        <w:textAlignment w:val="auto"/>
        <w:rPr>
          <w:rFonts w:ascii="仿宋_GB2312" w:hAnsi="仿宋" w:eastAsia="仿宋_GB2312"/>
          <w:kern w:val="0"/>
          <w:sz w:val="32"/>
          <w:szCs w:val="32"/>
        </w:rPr>
      </w:pPr>
      <w:r>
        <w:rPr>
          <w:rFonts w:hint="eastAsia" w:ascii="仿宋_GB2312" w:hAnsi="仿宋" w:eastAsia="仿宋_GB2312"/>
          <w:kern w:val="0"/>
          <w:sz w:val="32"/>
          <w:szCs w:val="32"/>
        </w:rPr>
        <w:t>部门整体支出绩效自评包括部门基本支出和除专项资金以外的项目支出绩效评价。2021年度，我单位年度预算收入总计1032.85万元，其中年初预算批复433.26万元，全年追加599.59万元，支出总额为1033.13万元（其中基本支出272.94万元，项目支出760.19万元），2020年度结余2.63元，本年度结余资金为2.35万元。</w:t>
      </w:r>
    </w:p>
    <w:p>
      <w:pPr>
        <w:pStyle w:val="12"/>
        <w:keepNext w:val="0"/>
        <w:keepLines w:val="0"/>
        <w:pageBreakBefore w:val="0"/>
        <w:kinsoku/>
        <w:wordWrap/>
        <w:overflowPunct/>
        <w:topLinePunct w:val="0"/>
        <w:autoSpaceDE/>
        <w:autoSpaceDN/>
        <w:bidi w:val="0"/>
        <w:adjustRightInd/>
        <w:snapToGrid/>
        <w:spacing w:line="520" w:lineRule="exact"/>
        <w:ind w:firstLine="640"/>
        <w:textAlignment w:val="auto"/>
        <w:rPr>
          <w:rFonts w:ascii="仿宋_GB2312" w:hAnsi="仿宋" w:eastAsia="仿宋_GB2312"/>
          <w:kern w:val="0"/>
          <w:sz w:val="32"/>
          <w:szCs w:val="32"/>
        </w:rPr>
      </w:pPr>
      <w:r>
        <w:rPr>
          <w:rFonts w:hint="eastAsia" w:ascii="仿宋_GB2312" w:hAnsi="仿宋" w:eastAsia="仿宋_GB2312"/>
          <w:kern w:val="0"/>
          <w:sz w:val="32"/>
          <w:szCs w:val="32"/>
        </w:rPr>
        <w:t>“三公经费”控制情况：贯彻落实上级有关精神，贯彻落实厉行节约、严格控制“三公经费”支出，取得了良好效果。2021年度，我单位 “三公”经费控制数为1元，其中：公务接待费1万元；“三公”经费实际支出为0.71万元，其中：公务接待费0.71万元。</w:t>
      </w:r>
    </w:p>
    <w:p>
      <w:pPr>
        <w:pStyle w:val="12"/>
        <w:keepNext w:val="0"/>
        <w:keepLines w:val="0"/>
        <w:pageBreakBefore w:val="0"/>
        <w:kinsoku/>
        <w:wordWrap/>
        <w:overflowPunct/>
        <w:topLinePunct w:val="0"/>
        <w:autoSpaceDE/>
        <w:autoSpaceDN/>
        <w:bidi w:val="0"/>
        <w:adjustRightInd/>
        <w:snapToGrid/>
        <w:spacing w:line="520" w:lineRule="exact"/>
        <w:ind w:firstLine="640"/>
        <w:textAlignment w:val="auto"/>
        <w:rPr>
          <w:rFonts w:hint="eastAsia" w:ascii="仿宋_GB2312" w:hAnsi="仿宋" w:eastAsia="仿宋_GB2312"/>
          <w:b/>
          <w:bCs/>
          <w:kern w:val="0"/>
          <w:sz w:val="32"/>
          <w:szCs w:val="32"/>
        </w:rPr>
      </w:pPr>
      <w:r>
        <w:rPr>
          <w:rFonts w:hint="eastAsia" w:ascii="仿宋_GB2312" w:hAnsi="仿宋" w:eastAsia="仿宋_GB2312"/>
          <w:b/>
          <w:bCs/>
          <w:kern w:val="0"/>
          <w:sz w:val="32"/>
          <w:szCs w:val="32"/>
          <w:lang w:eastAsia="zh-CN"/>
        </w:rPr>
        <w:t>（</w:t>
      </w:r>
      <w:r>
        <w:rPr>
          <w:rFonts w:hint="eastAsia" w:ascii="仿宋_GB2312" w:hAnsi="仿宋" w:eastAsia="仿宋_GB2312"/>
          <w:b/>
          <w:bCs/>
          <w:kern w:val="0"/>
          <w:sz w:val="32"/>
          <w:szCs w:val="32"/>
          <w:lang w:val="en-US" w:eastAsia="zh-CN"/>
        </w:rPr>
        <w:t>二）</w:t>
      </w:r>
      <w:r>
        <w:rPr>
          <w:rFonts w:hint="eastAsia" w:ascii="仿宋_GB2312" w:hAnsi="仿宋" w:eastAsia="仿宋_GB2312"/>
          <w:b/>
          <w:bCs/>
          <w:kern w:val="0"/>
          <w:sz w:val="32"/>
          <w:szCs w:val="32"/>
        </w:rPr>
        <w:t>绩效目标完成情况</w:t>
      </w:r>
    </w:p>
    <w:p>
      <w:pPr>
        <w:pStyle w:val="12"/>
        <w:keepNext w:val="0"/>
        <w:keepLines w:val="0"/>
        <w:pageBreakBefore w:val="0"/>
        <w:kinsoku/>
        <w:wordWrap/>
        <w:overflowPunct/>
        <w:topLinePunct w:val="0"/>
        <w:autoSpaceDE/>
        <w:autoSpaceDN/>
        <w:bidi w:val="0"/>
        <w:adjustRightInd/>
        <w:snapToGrid/>
        <w:spacing w:line="520" w:lineRule="exact"/>
        <w:ind w:firstLine="640"/>
        <w:textAlignment w:val="auto"/>
        <w:rPr>
          <w:rFonts w:hint="eastAsia" w:ascii="仿宋_GB2312" w:hAnsi="仿宋" w:eastAsia="仿宋_GB2312" w:cs="Times New Roman"/>
          <w:kern w:val="0"/>
          <w:sz w:val="32"/>
          <w:szCs w:val="32"/>
          <w:lang w:val="en-US" w:eastAsia="zh-CN" w:bidi="ar-SA"/>
        </w:rPr>
      </w:pPr>
      <w:r>
        <w:rPr>
          <w:rFonts w:hint="eastAsia" w:ascii="仿宋_GB2312" w:hAnsi="仿宋" w:eastAsia="仿宋_GB2312" w:cs="Times New Roman"/>
          <w:kern w:val="0"/>
          <w:sz w:val="32"/>
          <w:szCs w:val="32"/>
          <w:lang w:val="en-US" w:eastAsia="zh-CN" w:bidi="ar-SA"/>
        </w:rPr>
        <w:t>2021年我局在县委、县政府的坚强领导下，坚持“便民利企”为宗旨，突出“放管服”改革、优化营商环境等重点工作，积极构建“一网、一线、一厅”行政审批服务工作基本格局，全县营商环境不断优化。1.推进“放管服”改革，县域营商环境进一步优化，调整优化窗口布局，新增天易专窗，深入推进“三集中三到位”，严格落实大厅首席代表制，政务服务中心基本实现“一厅办结”。及时动态调整和发布县乡村三级权责清单，依申请类政务服务事项三级“引用率”和“实施清单发布率”达100%。2.深化“一件事一次办”改革，政务服务进一步优质高效。开设线上线下“一件事一次办”综合窗口，落实省“一事一标准”要求，实现同一件事无差别受理、同标准办理。编制办事指南，一次性告知办事流程和所需材料，方便群众办事。推进“一件事一次办”跨域通办、跨省通办，健全完善《窗口及窗口工作人员管理考核办法》和《政务大厅管理办法》，采用“月通报、季讲评、年总结”的工作机制，督促进驻单位落实主体责任，切实提升管理针对性和实效性。</w:t>
      </w:r>
    </w:p>
    <w:p>
      <w:pPr>
        <w:pStyle w:val="12"/>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ascii="黑体" w:hAnsi="仿宋" w:eastAsia="黑体"/>
          <w:kern w:val="0"/>
          <w:sz w:val="32"/>
          <w:szCs w:val="32"/>
        </w:rPr>
      </w:pPr>
      <w:r>
        <w:rPr>
          <w:rFonts w:hint="eastAsia" w:ascii="黑体" w:hAnsi="仿宋" w:eastAsia="黑体"/>
          <w:kern w:val="0"/>
          <w:sz w:val="32"/>
          <w:szCs w:val="32"/>
        </w:rPr>
        <w:t>四、存在的问题和建议</w:t>
      </w:r>
    </w:p>
    <w:p>
      <w:pPr>
        <w:pStyle w:val="12"/>
        <w:keepNext w:val="0"/>
        <w:keepLines w:val="0"/>
        <w:pageBreakBefore w:val="0"/>
        <w:kinsoku/>
        <w:wordWrap/>
        <w:overflowPunct/>
        <w:topLinePunct w:val="0"/>
        <w:autoSpaceDE/>
        <w:autoSpaceDN/>
        <w:bidi w:val="0"/>
        <w:adjustRightInd/>
        <w:snapToGrid/>
        <w:spacing w:line="520" w:lineRule="exact"/>
        <w:ind w:firstLine="640"/>
        <w:textAlignment w:val="auto"/>
        <w:rPr>
          <w:rFonts w:ascii="仿宋_GB2312" w:hAnsi="仿宋" w:eastAsia="仿宋_GB2312"/>
          <w:kern w:val="0"/>
          <w:sz w:val="32"/>
          <w:szCs w:val="32"/>
        </w:rPr>
      </w:pPr>
      <w:r>
        <w:rPr>
          <w:rFonts w:hint="eastAsia" w:ascii="仿宋_GB2312" w:hAnsi="仿宋" w:eastAsia="仿宋_GB2312"/>
          <w:kern w:val="0"/>
          <w:sz w:val="32"/>
          <w:szCs w:val="32"/>
          <w:lang w:val="en-US" w:eastAsia="zh-CN"/>
        </w:rPr>
        <w:t>1.因部门整体支出的预算资金安排和使用上仍有不可预见性，故预算调整率偏大。预算编制的科学性、合理性应进一步提高，预算的透明度和约束力应进一步加强。</w:t>
      </w:r>
    </w:p>
    <w:p>
      <w:pPr>
        <w:pStyle w:val="12"/>
        <w:keepNext w:val="0"/>
        <w:keepLines w:val="0"/>
        <w:pageBreakBefore w:val="0"/>
        <w:kinsoku/>
        <w:wordWrap/>
        <w:overflowPunct/>
        <w:topLinePunct w:val="0"/>
        <w:autoSpaceDE/>
        <w:autoSpaceDN/>
        <w:bidi w:val="0"/>
        <w:adjustRightInd/>
        <w:snapToGrid/>
        <w:spacing w:line="520" w:lineRule="exact"/>
        <w:ind w:firstLine="640"/>
        <w:textAlignment w:val="auto"/>
        <w:rPr>
          <w:kern w:val="0"/>
          <w:sz w:val="24"/>
          <w:szCs w:val="24"/>
        </w:rPr>
      </w:pPr>
      <w:r>
        <w:rPr>
          <w:rFonts w:hint="eastAsia" w:ascii="仿宋_GB2312" w:hAnsi="仿宋" w:eastAsia="仿宋_GB2312"/>
          <w:kern w:val="0"/>
          <w:sz w:val="32"/>
          <w:szCs w:val="32"/>
          <w:lang w:val="en-US" w:eastAsia="zh-CN"/>
        </w:rPr>
        <w:t>2.</w:t>
      </w:r>
      <w:r>
        <w:rPr>
          <w:rFonts w:hint="eastAsia" w:ascii="仿宋_GB2312" w:hAnsi="仿宋" w:eastAsia="仿宋_GB2312"/>
          <w:kern w:val="0"/>
          <w:sz w:val="32"/>
          <w:szCs w:val="32"/>
        </w:rPr>
        <w:t>部门预算编制以经济发展规范和履行部门职能的需要为依据，对各项支出认真测算，测算时必须有真实可靠的依据，力求各项数据真实准确，遵循预算编制的合法性、真实性、科学性和绩效性，提高预算资金的使用效率。同时建立预算指标追加调整机制，严格规范预算追加调整程序。</w:t>
      </w:r>
    </w:p>
    <w:p>
      <w:pPr>
        <w:pStyle w:val="12"/>
        <w:keepNext w:val="0"/>
        <w:keepLines w:val="0"/>
        <w:pageBreakBefore w:val="0"/>
        <w:kinsoku/>
        <w:wordWrap/>
        <w:overflowPunct/>
        <w:topLinePunct w:val="0"/>
        <w:autoSpaceDE/>
        <w:autoSpaceDN/>
        <w:bidi w:val="0"/>
        <w:adjustRightInd/>
        <w:snapToGrid/>
        <w:spacing w:line="520" w:lineRule="exact"/>
        <w:ind w:firstLine="640"/>
        <w:textAlignment w:val="auto"/>
        <w:rPr>
          <w:rFonts w:ascii="黑体" w:hAnsi="仿宋" w:eastAsia="黑体"/>
          <w:kern w:val="0"/>
          <w:sz w:val="32"/>
          <w:szCs w:val="32"/>
        </w:rPr>
      </w:pPr>
      <w:r>
        <w:rPr>
          <w:rFonts w:hint="eastAsia" w:ascii="黑体" w:hAnsi="仿宋" w:eastAsia="黑体"/>
          <w:kern w:val="0"/>
          <w:sz w:val="32"/>
          <w:szCs w:val="32"/>
        </w:rPr>
        <w:t xml:space="preserve">五、其他需要说明的情况 </w:t>
      </w:r>
    </w:p>
    <w:p>
      <w:pPr>
        <w:pStyle w:val="12"/>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 w:eastAsia="仿宋_GB2312"/>
          <w:kern w:val="0"/>
          <w:sz w:val="32"/>
          <w:szCs w:val="32"/>
        </w:rPr>
      </w:pPr>
      <w:r>
        <w:rPr>
          <w:rFonts w:hint="eastAsia" w:ascii="仿宋_GB2312" w:hAnsi="仿宋" w:eastAsia="仿宋_GB2312"/>
          <w:kern w:val="0"/>
          <w:sz w:val="32"/>
          <w:szCs w:val="32"/>
        </w:rPr>
        <w:t>无</w:t>
      </w:r>
    </w:p>
    <w:p>
      <w:pPr>
        <w:pStyle w:val="12"/>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ascii="黑体" w:hAnsi="仿宋" w:eastAsia="黑体"/>
          <w:kern w:val="0"/>
          <w:sz w:val="32"/>
          <w:szCs w:val="32"/>
        </w:rPr>
      </w:pPr>
      <w:r>
        <w:rPr>
          <w:rFonts w:hint="eastAsia" w:ascii="黑体" w:hAnsi="仿宋" w:eastAsia="黑体"/>
          <w:kern w:val="0"/>
          <w:sz w:val="32"/>
          <w:szCs w:val="32"/>
        </w:rPr>
        <w:t>六、报告附表</w:t>
      </w:r>
    </w:p>
    <w:p>
      <w:pPr>
        <w:pStyle w:val="12"/>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 w:eastAsia="仿宋_GB2312"/>
          <w:kern w:val="0"/>
          <w:sz w:val="32"/>
          <w:szCs w:val="32"/>
        </w:rPr>
      </w:pPr>
      <w:r>
        <w:rPr>
          <w:rFonts w:hint="eastAsia" w:ascii="仿宋_GB2312" w:hAnsi="仿宋" w:eastAsia="仿宋_GB2312"/>
          <w:kern w:val="0"/>
          <w:sz w:val="32"/>
          <w:szCs w:val="32"/>
        </w:rPr>
        <w:t>（一</w:t>
      </w:r>
      <w:r>
        <w:rPr>
          <w:rFonts w:ascii="仿宋_GB2312" w:hAnsi="仿宋" w:eastAsia="仿宋_GB2312"/>
          <w:kern w:val="0"/>
          <w:sz w:val="32"/>
          <w:szCs w:val="32"/>
        </w:rPr>
        <w:t>）</w:t>
      </w:r>
      <w:r>
        <w:rPr>
          <w:rFonts w:hint="eastAsia" w:ascii="仿宋_GB2312" w:hAnsi="仿宋" w:eastAsia="仿宋_GB2312"/>
          <w:kern w:val="0"/>
          <w:sz w:val="32"/>
          <w:szCs w:val="32"/>
        </w:rPr>
        <w:t>部门整体支出绩效目标申报表和项目支出绩效目标申报表</w:t>
      </w:r>
    </w:p>
    <w:p>
      <w:pPr>
        <w:pStyle w:val="12"/>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 w:eastAsia="仿宋_GB2312"/>
          <w:kern w:val="0"/>
          <w:sz w:val="32"/>
          <w:szCs w:val="32"/>
        </w:rPr>
      </w:pPr>
      <w:r>
        <w:rPr>
          <w:rFonts w:hint="eastAsia" w:ascii="仿宋_GB2312" w:hAnsi="仿宋" w:eastAsia="仿宋_GB2312"/>
          <w:kern w:val="0"/>
          <w:sz w:val="32"/>
          <w:szCs w:val="32"/>
        </w:rPr>
        <w:t>（二）自评工作方案</w:t>
      </w:r>
    </w:p>
    <w:p>
      <w:pPr>
        <w:pStyle w:val="12"/>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 w:eastAsia="仿宋_GB2312"/>
          <w:kern w:val="0"/>
          <w:sz w:val="32"/>
          <w:szCs w:val="32"/>
        </w:rPr>
      </w:pPr>
      <w:r>
        <w:rPr>
          <w:rFonts w:hint="eastAsia" w:ascii="仿宋_GB2312" w:hAnsi="仿宋" w:eastAsia="仿宋_GB2312"/>
          <w:kern w:val="0"/>
          <w:sz w:val="32"/>
          <w:szCs w:val="32"/>
        </w:rPr>
        <w:t>（三）部门整体支出绩效评价评分表</w:t>
      </w:r>
    </w:p>
    <w:p>
      <w:pPr>
        <w:pStyle w:val="12"/>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 w:eastAsia="仿宋_GB2312"/>
          <w:kern w:val="0"/>
          <w:sz w:val="32"/>
          <w:szCs w:val="32"/>
        </w:rPr>
      </w:pPr>
      <w:r>
        <w:rPr>
          <w:rFonts w:hint="eastAsia" w:ascii="仿宋_GB2312" w:hAnsi="仿宋" w:eastAsia="仿宋_GB2312"/>
          <w:kern w:val="0"/>
          <w:sz w:val="32"/>
          <w:szCs w:val="32"/>
        </w:rPr>
        <w:t>（四）基础数据表</w:t>
      </w:r>
    </w:p>
    <w:p>
      <w:pPr>
        <w:pStyle w:val="12"/>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 w:eastAsia="仿宋_GB2312"/>
          <w:kern w:val="0"/>
          <w:sz w:val="32"/>
          <w:szCs w:val="32"/>
        </w:rPr>
      </w:pPr>
      <w:r>
        <w:rPr>
          <w:rFonts w:hint="eastAsia" w:ascii="仿宋_GB2312" w:hAnsi="仿宋" w:eastAsia="仿宋_GB2312"/>
          <w:kern w:val="0"/>
          <w:sz w:val="32"/>
          <w:szCs w:val="32"/>
        </w:rPr>
        <w:t>（五）绩效运行跟踪监控表</w:t>
      </w:r>
    </w:p>
    <w:p>
      <w:pPr>
        <w:pStyle w:val="12"/>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 w:eastAsia="仿宋_GB2312"/>
          <w:kern w:val="0"/>
          <w:sz w:val="32"/>
          <w:szCs w:val="32"/>
        </w:rPr>
      </w:pPr>
      <w:r>
        <w:rPr>
          <w:rFonts w:hint="eastAsia" w:ascii="仿宋_GB2312" w:hAnsi="仿宋" w:eastAsia="仿宋_GB2312"/>
          <w:kern w:val="0"/>
          <w:sz w:val="32"/>
          <w:szCs w:val="32"/>
        </w:rPr>
        <w:t>（六）社会问卷调查表</w:t>
      </w:r>
    </w:p>
    <w:p>
      <w:pPr>
        <w:pStyle w:val="12"/>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 w:eastAsia="仿宋_GB2312"/>
          <w:kern w:val="0"/>
          <w:sz w:val="32"/>
          <w:szCs w:val="32"/>
        </w:rPr>
      </w:pPr>
      <w:r>
        <w:rPr>
          <w:rFonts w:hint="eastAsia" w:ascii="仿宋_GB2312" w:hAnsi="仿宋" w:eastAsia="仿宋_GB2312"/>
          <w:kern w:val="0"/>
          <w:sz w:val="32"/>
          <w:szCs w:val="32"/>
        </w:rPr>
        <w:t>（七）有关佐证材料（包括项目的立项依据、资金管理办法、资金下拨指标等）</w:t>
      </w:r>
    </w:p>
    <w:p>
      <w:pPr>
        <w:pStyle w:val="12"/>
        <w:keepNext w:val="0"/>
        <w:keepLines w:val="0"/>
        <w:pageBreakBefore w:val="0"/>
        <w:kinsoku/>
        <w:wordWrap/>
        <w:overflowPunct/>
        <w:topLinePunct w:val="0"/>
        <w:autoSpaceDE/>
        <w:autoSpaceDN/>
        <w:bidi w:val="0"/>
        <w:adjustRightInd/>
        <w:snapToGrid/>
        <w:spacing w:line="520" w:lineRule="exact"/>
        <w:ind w:firstLine="643" w:firstLineChars="200"/>
        <w:textAlignment w:val="auto"/>
        <w:rPr>
          <w:rFonts w:ascii="仿宋_GB2312" w:hAnsi="仿宋" w:eastAsia="仿宋_GB2312"/>
          <w:b/>
          <w:kern w:val="0"/>
          <w:sz w:val="32"/>
          <w:szCs w:val="32"/>
        </w:rPr>
      </w:pPr>
    </w:p>
    <w:p>
      <w:pPr>
        <w:pStyle w:val="12"/>
        <w:keepNext w:val="0"/>
        <w:keepLines w:val="0"/>
        <w:pageBreakBefore w:val="0"/>
        <w:kinsoku/>
        <w:wordWrap/>
        <w:overflowPunct/>
        <w:topLinePunct w:val="0"/>
        <w:autoSpaceDE/>
        <w:autoSpaceDN/>
        <w:bidi w:val="0"/>
        <w:adjustRightInd/>
        <w:snapToGrid/>
        <w:spacing w:line="520" w:lineRule="exact"/>
        <w:ind w:firstLine="643" w:firstLineChars="200"/>
        <w:textAlignment w:val="auto"/>
        <w:rPr>
          <w:rFonts w:ascii="仿宋_GB2312" w:hAnsi="仿宋" w:eastAsia="仿宋_GB2312"/>
          <w:b/>
          <w:kern w:val="0"/>
          <w:sz w:val="32"/>
          <w:szCs w:val="32"/>
        </w:rPr>
      </w:pPr>
    </w:p>
    <w:p>
      <w:pPr>
        <w:pStyle w:val="12"/>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right"/>
        <w:textAlignment w:val="auto"/>
        <w:rPr>
          <w:rFonts w:hint="default" w:ascii="仿宋_GB2312" w:hAnsi="仿宋" w:eastAsia="仿宋_GB2312"/>
          <w:kern w:val="0"/>
          <w:sz w:val="32"/>
          <w:szCs w:val="32"/>
          <w:lang w:val="en-US" w:eastAsia="zh-CN"/>
        </w:rPr>
      </w:pPr>
      <w:r>
        <w:rPr>
          <w:rFonts w:hint="eastAsia" w:ascii="仿宋_GB2312" w:hAnsi="仿宋" w:eastAsia="仿宋_GB2312"/>
          <w:kern w:val="0"/>
          <w:sz w:val="32"/>
          <w:szCs w:val="32"/>
          <w:lang w:val="en-US" w:eastAsia="zh-CN"/>
        </w:rPr>
        <w:t xml:space="preserve">湘潭县行政审批服务局    </w:t>
      </w:r>
    </w:p>
    <w:p>
      <w:pPr>
        <w:pStyle w:val="12"/>
        <w:keepNext w:val="0"/>
        <w:keepLines w:val="0"/>
        <w:pageBreakBefore w:val="0"/>
        <w:widowControl w:val="0"/>
        <w:kinsoku/>
        <w:wordWrap/>
        <w:overflowPunct/>
        <w:topLinePunct w:val="0"/>
        <w:autoSpaceDE/>
        <w:autoSpaceDN/>
        <w:bidi w:val="0"/>
        <w:adjustRightInd/>
        <w:snapToGrid/>
        <w:spacing w:line="520" w:lineRule="exact"/>
        <w:ind w:firstLine="640" w:firstLineChars="200"/>
        <w:jc w:val="center"/>
        <w:textAlignment w:val="auto"/>
        <w:rPr>
          <w:rFonts w:hint="default" w:ascii="仿宋_GB2312" w:hAnsi="仿宋" w:eastAsia="仿宋_GB2312"/>
          <w:b/>
          <w:kern w:val="0"/>
          <w:sz w:val="32"/>
          <w:szCs w:val="32"/>
          <w:lang w:val="en-US" w:eastAsia="zh-CN"/>
        </w:rPr>
      </w:pPr>
      <w:r>
        <w:rPr>
          <w:rFonts w:hint="eastAsia" w:ascii="仿宋_GB2312" w:hAnsi="仿宋" w:eastAsia="仿宋_GB2312"/>
          <w:kern w:val="0"/>
          <w:sz w:val="32"/>
          <w:szCs w:val="32"/>
          <w:lang w:val="en-US" w:eastAsia="zh-CN"/>
        </w:rPr>
        <w:t xml:space="preserve">                    2021年12月30日</w:t>
      </w:r>
    </w:p>
    <w:sectPr>
      <w:headerReference r:id="rId3" w:type="default"/>
      <w:footerReference r:id="rId4"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078E33"/>
    <w:multiLevelType w:val="singleLevel"/>
    <w:tmpl w:val="0F078E33"/>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c4ZjY1YjRkZTkwOTI4ZGNkM2EzOGQxMTA4MGZjOGIifQ=="/>
  </w:docVars>
  <w:rsids>
    <w:rsidRoot w:val="00E847E2"/>
    <w:rsid w:val="00051FED"/>
    <w:rsid w:val="00074E35"/>
    <w:rsid w:val="000D4B1B"/>
    <w:rsid w:val="000F6933"/>
    <w:rsid w:val="001051CD"/>
    <w:rsid w:val="0015144E"/>
    <w:rsid w:val="00160589"/>
    <w:rsid w:val="001A3B29"/>
    <w:rsid w:val="001E10D6"/>
    <w:rsid w:val="00212FC2"/>
    <w:rsid w:val="00261B27"/>
    <w:rsid w:val="00287274"/>
    <w:rsid w:val="002944D9"/>
    <w:rsid w:val="002B178C"/>
    <w:rsid w:val="00300E04"/>
    <w:rsid w:val="00321402"/>
    <w:rsid w:val="003509E3"/>
    <w:rsid w:val="003A2C3C"/>
    <w:rsid w:val="00405093"/>
    <w:rsid w:val="004106B8"/>
    <w:rsid w:val="0043272A"/>
    <w:rsid w:val="00452D86"/>
    <w:rsid w:val="00454F19"/>
    <w:rsid w:val="004E58DE"/>
    <w:rsid w:val="004F5675"/>
    <w:rsid w:val="005171F0"/>
    <w:rsid w:val="0052046E"/>
    <w:rsid w:val="005604E6"/>
    <w:rsid w:val="00573572"/>
    <w:rsid w:val="005A2F8A"/>
    <w:rsid w:val="005E2E67"/>
    <w:rsid w:val="00654E6C"/>
    <w:rsid w:val="006722E6"/>
    <w:rsid w:val="007312CD"/>
    <w:rsid w:val="0078369A"/>
    <w:rsid w:val="007F45C1"/>
    <w:rsid w:val="007F7569"/>
    <w:rsid w:val="008802EF"/>
    <w:rsid w:val="00894F74"/>
    <w:rsid w:val="008C7EA1"/>
    <w:rsid w:val="00901CC4"/>
    <w:rsid w:val="00910116"/>
    <w:rsid w:val="009131AF"/>
    <w:rsid w:val="00920780"/>
    <w:rsid w:val="00972838"/>
    <w:rsid w:val="00976871"/>
    <w:rsid w:val="00984569"/>
    <w:rsid w:val="009C10BF"/>
    <w:rsid w:val="009C404C"/>
    <w:rsid w:val="00A221D5"/>
    <w:rsid w:val="00A27CFB"/>
    <w:rsid w:val="00AE4C9C"/>
    <w:rsid w:val="00B17B6D"/>
    <w:rsid w:val="00B97A06"/>
    <w:rsid w:val="00BD3AEA"/>
    <w:rsid w:val="00BD5396"/>
    <w:rsid w:val="00BF0960"/>
    <w:rsid w:val="00C27B1E"/>
    <w:rsid w:val="00C466E5"/>
    <w:rsid w:val="00C76B8F"/>
    <w:rsid w:val="00CA53DB"/>
    <w:rsid w:val="00D16B04"/>
    <w:rsid w:val="00D65893"/>
    <w:rsid w:val="00D8046B"/>
    <w:rsid w:val="00D855FB"/>
    <w:rsid w:val="00DF122B"/>
    <w:rsid w:val="00E23195"/>
    <w:rsid w:val="00E33D19"/>
    <w:rsid w:val="00E37B3B"/>
    <w:rsid w:val="00E50146"/>
    <w:rsid w:val="00E531ED"/>
    <w:rsid w:val="00E815D7"/>
    <w:rsid w:val="00E837B3"/>
    <w:rsid w:val="00E846A4"/>
    <w:rsid w:val="00E847E2"/>
    <w:rsid w:val="00E87EE5"/>
    <w:rsid w:val="00E941BE"/>
    <w:rsid w:val="00F85C01"/>
    <w:rsid w:val="00F91BBD"/>
    <w:rsid w:val="00F979CE"/>
    <w:rsid w:val="00FA64EA"/>
    <w:rsid w:val="00FC4B1B"/>
    <w:rsid w:val="05E94589"/>
    <w:rsid w:val="10B63FE7"/>
    <w:rsid w:val="15170B31"/>
    <w:rsid w:val="1E6B6CAF"/>
    <w:rsid w:val="310A46A8"/>
    <w:rsid w:val="38873E24"/>
    <w:rsid w:val="3B3B574C"/>
    <w:rsid w:val="3BD128BA"/>
    <w:rsid w:val="3DC16115"/>
    <w:rsid w:val="43473D47"/>
    <w:rsid w:val="5A5A3949"/>
    <w:rsid w:val="604E1113"/>
    <w:rsid w:val="60573757"/>
    <w:rsid w:val="62036E68"/>
    <w:rsid w:val="670F78F9"/>
    <w:rsid w:val="714D2D21"/>
    <w:rsid w:val="736E35D1"/>
    <w:rsid w:val="7FB404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8">
    <w:name w:val="Hyperlink"/>
    <w:basedOn w:val="7"/>
    <w:semiHidden/>
    <w:unhideWhenUsed/>
    <w:qFormat/>
    <w:uiPriority w:val="99"/>
    <w:rPr>
      <w:color w:val="333333"/>
      <w:u w:val="none"/>
    </w:rPr>
  </w:style>
  <w:style w:type="character" w:customStyle="1" w:styleId="9">
    <w:name w:val="页眉 Char"/>
    <w:basedOn w:val="7"/>
    <w:link w:val="4"/>
    <w:qFormat/>
    <w:uiPriority w:val="99"/>
    <w:rPr>
      <w:sz w:val="18"/>
      <w:szCs w:val="18"/>
    </w:rPr>
  </w:style>
  <w:style w:type="character" w:customStyle="1" w:styleId="10">
    <w:name w:val="页脚 Char"/>
    <w:basedOn w:val="7"/>
    <w:link w:val="3"/>
    <w:qFormat/>
    <w:uiPriority w:val="99"/>
    <w:rPr>
      <w:sz w:val="18"/>
      <w:szCs w:val="18"/>
    </w:rPr>
  </w:style>
  <w:style w:type="paragraph" w:styleId="11">
    <w:name w:val="List Paragraph"/>
    <w:basedOn w:val="1"/>
    <w:qFormat/>
    <w:uiPriority w:val="34"/>
    <w:pPr>
      <w:ind w:firstLine="420" w:firstLineChars="200"/>
    </w:pPr>
  </w:style>
  <w:style w:type="paragraph" w:styleId="12">
    <w:name w:val="No Spacing"/>
    <w:qFormat/>
    <w:uiPriority w:val="1"/>
    <w:pPr>
      <w:widowControl w:val="0"/>
      <w:jc w:val="both"/>
    </w:pPr>
    <w:rPr>
      <w:rFonts w:ascii="Calibri" w:hAnsi="Calibri" w:eastAsia="宋体" w:cs="Times New Roman"/>
      <w:kern w:val="2"/>
      <w:sz w:val="21"/>
      <w:szCs w:val="22"/>
      <w:lang w:val="en-US" w:eastAsia="zh-CN" w:bidi="ar-SA"/>
    </w:rPr>
  </w:style>
  <w:style w:type="character" w:customStyle="1" w:styleId="13">
    <w:name w:val="批注框文本 Char"/>
    <w:basedOn w:val="7"/>
    <w:link w:val="2"/>
    <w:semiHidden/>
    <w:qFormat/>
    <w:uiPriority w:val="99"/>
    <w:rPr>
      <w:rFonts w:ascii="Calibri" w:hAnsi="Calibr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5</Pages>
  <Words>1868</Words>
  <Characters>1952</Characters>
  <Lines>14</Lines>
  <Paragraphs>4</Paragraphs>
  <TotalTime>14</TotalTime>
  <ScaleCrop>false</ScaleCrop>
  <LinksUpToDate>false</LinksUpToDate>
  <CharactersWithSpaces>1975</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2017-05-24T07:34:00Z</dcterms:created>
  <dc:creator>Windows User</dc:creator>
  <cp:lastModifiedBy>Liu静</cp:lastModifiedBy>
  <cp:lastPrinted>2023-01-19T07:53:28Z</cp:lastPrinted>
  <dcterms:modified xsi:type="dcterms:W3CDTF">2023-01-19T08:10:22Z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0BE7A0CE7FED49F89D3FEA2BFD5F50AB</vt:lpwstr>
  </property>
</Properties>
</file>