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hAnsiTheme="majorEastAsia"/>
          <w:b/>
          <w:bCs/>
          <w:sz w:val="44"/>
          <w:szCs w:val="44"/>
        </w:rPr>
      </w:pPr>
      <w:r>
        <w:rPr>
          <w:rFonts w:hint="eastAsia" w:ascii="方正小标宋简体" w:eastAsia="方正小标宋简体" w:hAnsiTheme="majorEastAsia"/>
          <w:b/>
          <w:bCs/>
          <w:sz w:val="44"/>
          <w:szCs w:val="44"/>
        </w:rPr>
        <w:t>湘潭县公安局202</w:t>
      </w:r>
      <w:r>
        <w:rPr>
          <w:rFonts w:hint="eastAsia" w:ascii="方正小标宋简体" w:eastAsia="方正小标宋简体" w:hAnsiTheme="majorEastAsia"/>
          <w:b/>
          <w:bCs/>
          <w:sz w:val="44"/>
          <w:szCs w:val="44"/>
          <w:lang w:val="en-US" w:eastAsia="zh-CN"/>
        </w:rPr>
        <w:t>2</w:t>
      </w:r>
      <w:r>
        <w:rPr>
          <w:rFonts w:hint="eastAsia" w:ascii="方正小标宋简体" w:eastAsia="方正小标宋简体" w:hAnsiTheme="majorEastAsia"/>
          <w:b/>
          <w:bCs/>
          <w:sz w:val="44"/>
          <w:szCs w:val="44"/>
        </w:rPr>
        <w:t>年政府信息公开工作</w:t>
      </w:r>
    </w:p>
    <w:p>
      <w:pPr>
        <w:jc w:val="center"/>
        <w:rPr>
          <w:rFonts w:ascii="方正小标宋简体" w:eastAsia="方正小标宋简体" w:hAnsiTheme="majorEastAsia"/>
          <w:b/>
          <w:bCs/>
          <w:sz w:val="44"/>
          <w:szCs w:val="44"/>
        </w:rPr>
      </w:pPr>
      <w:r>
        <w:rPr>
          <w:rFonts w:hint="eastAsia" w:ascii="方正小标宋简体" w:eastAsia="方正小标宋简体" w:hAnsiTheme="majorEastAsia"/>
          <w:b/>
          <w:bCs/>
          <w:sz w:val="44"/>
          <w:szCs w:val="44"/>
        </w:rPr>
        <w:t>年度报告</w:t>
      </w:r>
    </w:p>
    <w:p>
      <w:pPr>
        <w:rPr>
          <w:rFonts w:ascii="仿宋" w:hAnsi="仿宋" w:eastAsia="仿宋"/>
          <w:sz w:val="32"/>
          <w:szCs w:val="32"/>
        </w:rPr>
      </w:pPr>
    </w:p>
    <w:p>
      <w:pPr>
        <w:ind w:firstLine="640" w:firstLineChars="200"/>
        <w:rPr>
          <w:rFonts w:ascii="黑体" w:hAnsi="仿宋" w:eastAsia="黑体"/>
          <w:sz w:val="32"/>
          <w:szCs w:val="32"/>
        </w:rPr>
      </w:pPr>
      <w:bookmarkStart w:id="3" w:name="_GoBack"/>
      <w:bookmarkStart w:id="0" w:name="OLE_LINK3"/>
      <w:bookmarkStart w:id="1" w:name="OLE_LINK2"/>
      <w:bookmarkStart w:id="2" w:name="OLE_LINK1"/>
      <w:r>
        <w:rPr>
          <w:rFonts w:hint="eastAsia" w:ascii="黑体" w:hAnsi="仿宋" w:eastAsia="黑体"/>
          <w:sz w:val="32"/>
          <w:szCs w:val="32"/>
        </w:rPr>
        <w:t>一、总体情况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按照县政府的统一部署，湘潭县公安局认真贯彻落实《中华人民共和国政府信息公开条例》（以下简称《条例》），紧密结合公安工作实际，以提高公安机关行政效率、提升为民服务水平为目标，不断规范信息公开流程，调整充实信息公开建设领导小组，开展专项检查，加大公开力度，确保政府信息公开工作的数量和质量同步得到保障。现向社会公布我局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年度政府信息公开工作年度报告。</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（一）政府信息主动公开情况</w:t>
      </w:r>
    </w:p>
    <w:p>
      <w:pPr>
        <w:widowControl/>
        <w:shd w:val="clear" w:color="auto" w:fill="FFFFFF"/>
        <w:spacing w:line="480" w:lineRule="auto"/>
        <w:ind w:firstLine="480"/>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年，我局通过政府信息平台主动公开警务动态</w:t>
      </w:r>
      <w:r>
        <w:rPr>
          <w:rFonts w:hint="eastAsia" w:ascii="仿宋_GB2312" w:hAnsi="仿宋" w:eastAsia="仿宋_GB2312"/>
          <w:sz w:val="32"/>
          <w:szCs w:val="32"/>
          <w:lang w:val="en-US" w:eastAsia="zh-CN"/>
        </w:rPr>
        <w:t>665</w:t>
      </w:r>
      <w:r>
        <w:rPr>
          <w:rFonts w:hint="eastAsia" w:ascii="仿宋_GB2312" w:hAnsi="仿宋" w:eastAsia="仿宋_GB2312"/>
          <w:sz w:val="32"/>
          <w:szCs w:val="32"/>
        </w:rPr>
        <w:t>条（其中政务微博、微信公开政府信息数</w:t>
      </w:r>
      <w:r>
        <w:rPr>
          <w:rFonts w:hint="eastAsia" w:ascii="仿宋_GB2312" w:hAnsi="仿宋" w:eastAsia="仿宋_GB2312"/>
          <w:sz w:val="32"/>
          <w:szCs w:val="32"/>
          <w:lang w:val="en-US" w:eastAsia="zh-CN"/>
        </w:rPr>
        <w:t>64</w:t>
      </w:r>
      <w:r>
        <w:rPr>
          <w:rFonts w:hint="eastAsia" w:ascii="仿宋_GB2312" w:hAnsi="仿宋" w:eastAsia="仿宋_GB2312"/>
          <w:sz w:val="32"/>
          <w:szCs w:val="32"/>
        </w:rPr>
        <w:t>条;其他方式公开政府信息数</w:t>
      </w:r>
      <w:r>
        <w:rPr>
          <w:rFonts w:hint="eastAsia" w:ascii="仿宋_GB2312" w:hAnsi="仿宋" w:eastAsia="仿宋_GB2312"/>
          <w:sz w:val="32"/>
          <w:szCs w:val="32"/>
          <w:lang w:val="en-US" w:eastAsia="zh-CN"/>
        </w:rPr>
        <w:t>25</w:t>
      </w:r>
      <w:r>
        <w:rPr>
          <w:rFonts w:hint="eastAsia" w:ascii="仿宋_GB2312" w:hAnsi="仿宋" w:eastAsia="仿宋_GB2312"/>
          <w:sz w:val="32"/>
          <w:szCs w:val="32"/>
        </w:rPr>
        <w:t>条）；回应公众关注热点或重大舆情数</w:t>
      </w:r>
      <w:r>
        <w:rPr>
          <w:rFonts w:hint="eastAsia" w:ascii="仿宋_GB2312" w:hAnsi="仿宋" w:eastAsia="仿宋_GB2312"/>
          <w:sz w:val="32"/>
          <w:szCs w:val="32"/>
          <w:lang w:val="en-US" w:eastAsia="zh-CN"/>
        </w:rPr>
        <w:t>54</w:t>
      </w:r>
      <w:r>
        <w:rPr>
          <w:rFonts w:hint="eastAsia" w:ascii="仿宋_GB2312" w:hAnsi="仿宋" w:eastAsia="仿宋_GB2312"/>
          <w:sz w:val="32"/>
          <w:szCs w:val="32"/>
        </w:rPr>
        <w:t>次。我局发布政府信息的主要平台是湘潭县人民政府网站湘潭县公安局子网、政务微博@平安湘潭县、微信公众号@湘潭县公安等自媒体以及湘潭县网、市县级电视台以及《湘潭日报》《湘潭晚报》、湘潭在线、红网时刻、华声在线、《湖南法制报》、中国网、法治中国网、人民交通网、中国民生新闻网、中国都市新闻网、人民日报人民号等媒体。</w:t>
      </w:r>
    </w:p>
    <w:p>
      <w:pPr>
        <w:ind w:firstLine="640" w:firstLineChars="200"/>
        <w:rPr>
          <w:rFonts w:ascii="仿宋_GB2312" w:hAnsi="仿宋" w:eastAsia="仿宋_GB2312"/>
          <w:sz w:val="32"/>
          <w:szCs w:val="32"/>
        </w:rPr>
      </w:pPr>
    </w:p>
    <w:p>
      <w:pPr>
        <w:ind w:firstLine="643" w:firstLineChars="200"/>
        <w:rPr>
          <w:rFonts w:ascii="仿宋_GB2312" w:hAnsi="仿宋" w:eastAsia="仿宋_GB2312"/>
          <w:b/>
          <w:sz w:val="32"/>
          <w:szCs w:val="32"/>
        </w:rPr>
      </w:pPr>
      <w:r>
        <w:rPr>
          <w:rFonts w:hint="eastAsia" w:ascii="仿宋_GB2312" w:hAnsi="仿宋" w:eastAsia="仿宋_GB2312"/>
          <w:b/>
          <w:sz w:val="32"/>
          <w:szCs w:val="32"/>
        </w:rPr>
        <w:t>（二）依申请公开情况</w:t>
      </w:r>
    </w:p>
    <w:p>
      <w:pPr>
        <w:widowControl/>
        <w:shd w:val="clear" w:color="auto" w:fill="FFFFFF"/>
        <w:spacing w:line="480" w:lineRule="auto"/>
        <w:ind w:firstLine="480"/>
        <w:rPr>
          <w:rFonts w:ascii="仿宋_GB2312" w:hAnsi="仿宋" w:eastAsia="仿宋_GB2312"/>
          <w:sz w:val="32"/>
          <w:szCs w:val="32"/>
        </w:rPr>
      </w:pPr>
      <w:r>
        <w:rPr>
          <w:rFonts w:hint="eastAsia" w:ascii="仿宋_GB2312" w:hAnsi="仿宋" w:eastAsia="仿宋_GB2312"/>
          <w:sz w:val="32"/>
          <w:szCs w:val="32"/>
        </w:rPr>
        <w:t>2022年，我局收到政府信息公开申请1件，并根据申请人诉求按规定以书面形式寄达</w:t>
      </w:r>
      <w:r>
        <w:rPr>
          <w:rFonts w:hint="eastAsia" w:ascii="仿宋_GB2312" w:hAnsi="仿宋" w:eastAsia="仿宋_GB2312"/>
          <w:sz w:val="32"/>
          <w:szCs w:val="32"/>
          <w:lang w:eastAsia="zh-CN"/>
        </w:rPr>
        <w:t>。</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（三）政府信息管理情况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1、加强组织领导。县公安局主要领导高度重视政府信息公开工作，按照政务公开管理机制和工作机制，我局安排专人负责政务公开工作；各相关警种、部门分别成立相应工作机构，明确责任人、制定工作方案，完善相关制度，做到领导、人员、机构“三到位”，形成各负其责、层层落实的局面，有力保障政务公开工作深入开展。</w:t>
      </w:r>
    </w:p>
    <w:p>
      <w:pPr>
        <w:ind w:firstLine="640" w:firstLineChars="200"/>
        <w:rPr>
          <w:rFonts w:ascii="仿宋_GB2312" w:hAnsi="仿宋" w:eastAsia="仿宋_GB2312"/>
          <w:sz w:val="32"/>
          <w:szCs w:val="32"/>
        </w:rPr>
      </w:pPr>
      <w:r>
        <w:rPr>
          <w:rFonts w:hint="eastAsia" w:ascii="仿宋_GB2312" w:hAnsi="仿宋" w:eastAsia="仿宋_GB2312"/>
          <w:sz w:val="32"/>
          <w:szCs w:val="32"/>
        </w:rPr>
        <w:t>2、完善工作机制。专门召开政府信息公开工作部署会，建立和落实政府信息公开责任制，明确年度工作目标、具体任务、工作措施等，由指挥中心牵头，政工室、法制大队、交警大队、警务保障室等部门协同配合，共同做好政府信息公开工作。</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（四）政府信息公开平台建设情况</w:t>
      </w:r>
    </w:p>
    <w:p>
      <w:pPr>
        <w:ind w:firstLine="640" w:firstLineChars="200"/>
        <w:rPr>
          <w:rFonts w:ascii="仿宋_GB2312" w:hAnsi="仿宋" w:eastAsia="仿宋_GB2312"/>
          <w:sz w:val="32"/>
          <w:szCs w:val="32"/>
        </w:rPr>
      </w:pPr>
      <w:r>
        <w:rPr>
          <w:rFonts w:hint="eastAsia" w:ascii="仿宋_GB2312" w:hAnsi="仿宋" w:eastAsia="仿宋_GB2312"/>
          <w:sz w:val="32"/>
          <w:szCs w:val="32"/>
        </w:rPr>
        <w:t>我局政府信息公开平台主要有网站（县人民政府网站下设的子网站）、微信公众号@湘潭县公安、政务微博@平安湘潭县，平台由政工室负责运行维护。</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（五）监督保障情况</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制定完善政府信息公开考核评议和责任追究等制度，将政府信息公开与各项重点工作同部署、同实施、同考核。由专人定期检查县局政务、警务发布平台，掌握全局政务信息发布情况，及时发现问题，督促整改。通过目标考核、社会评议和舆论监督等途径，加强监督检查，确保政府信息公开各项重点工作落到实处。</w:t>
      </w:r>
    </w:p>
    <w:p>
      <w:pPr>
        <w:ind w:firstLine="643" w:firstLineChars="200"/>
        <w:rPr>
          <w:rFonts w:hint="eastAsia" w:ascii="仿宋_GB2312" w:hAnsi="仿宋" w:eastAsia="仿宋_GB2312"/>
          <w:b/>
          <w:bCs/>
          <w:sz w:val="32"/>
          <w:szCs w:val="32"/>
          <w:lang w:eastAsia="zh-CN"/>
        </w:rPr>
      </w:pPr>
      <w:r>
        <w:rPr>
          <w:rFonts w:hint="eastAsia" w:ascii="仿宋_GB2312" w:hAnsi="仿宋" w:eastAsia="仿宋_GB2312"/>
          <w:b/>
          <w:bCs/>
          <w:sz w:val="32"/>
          <w:szCs w:val="32"/>
          <w:lang w:eastAsia="zh-CN"/>
        </w:rPr>
        <w:t>（六）政务公开工作要点落实情况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560"/>
        <w:jc w:val="left"/>
        <w:rPr>
          <w:rFonts w:hint="eastAsia" w:ascii="仿宋_GB2312" w:hAnsi="仿宋" w:eastAsia="仿宋_GB2312" w:cstheme="minorBidi"/>
          <w:kern w:val="2"/>
          <w:sz w:val="32"/>
          <w:szCs w:val="32"/>
          <w:lang w:val="en-US" w:eastAsia="zh-CN" w:bidi="ar-SA"/>
        </w:rPr>
      </w:pPr>
      <w:r>
        <w:rPr>
          <w:rFonts w:hint="eastAsia" w:ascii="仿宋_GB2312" w:hAnsi="仿宋" w:eastAsia="仿宋_GB2312" w:cstheme="minorBidi"/>
          <w:kern w:val="2"/>
          <w:sz w:val="32"/>
          <w:szCs w:val="32"/>
          <w:lang w:val="en-US" w:eastAsia="zh-CN" w:bidi="ar-SA"/>
        </w:rPr>
        <w:t>1.强化组织领导，明确工作责任。一是健全领导机构。为确保政务公开工作全面、有效推进，进一步落实国家、省、市、县全面推进政务公开工作的决策部署，我局成立了以局长为组长，分管副局长为副组长，各二级单位（股室）负责人为成员的湘潭县公安局政务公开领导小组，将政务公开纳入重要议事日程。领导小组下设办公室在局指挥中心，由专人负责政务公开日常工作。二是明确职责任务。为全面推进公安局政务公开工作，将政务公开作为简政放权、放管结合、优化服务改革的一项重要内容，纳入重要议事日程。坚持以习近平新时代中国特色社会主义思想为指导，深入贯彻党中央国务院、省委省政府、市委市政府和县委县政府关于政务公开工作决策部署，紧紧围绕《中华人民共和国政府信息公开条例》，逐项细化分解，明确责任股室、责任人和完成时限，建立工作台账，确保各项要求不折不扣落实到位。三是注重学用结合。认真学习贯彻《中华人民共和国政府信息公开条例》，准确理解掌握相关规定，增强公开意识和能力。规范依申请公开工作，实现接收、登记、审核、办理、答复、归档的全流程标准化，依法保障公民、法人和其他组织获取政府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560"/>
        <w:jc w:val="left"/>
        <w:rPr>
          <w:rFonts w:hint="eastAsia" w:ascii="仿宋_GB2312" w:hAnsi="仿宋" w:eastAsia="仿宋_GB2312" w:cstheme="minorBidi"/>
          <w:kern w:val="2"/>
          <w:sz w:val="32"/>
          <w:szCs w:val="32"/>
          <w:lang w:val="en-US" w:eastAsia="zh-CN" w:bidi="ar-SA"/>
        </w:rPr>
      </w:pPr>
      <w:r>
        <w:rPr>
          <w:rFonts w:hint="eastAsia" w:ascii="仿宋_GB2312" w:hAnsi="仿宋" w:eastAsia="仿宋_GB2312" w:cstheme="minorBidi"/>
          <w:kern w:val="2"/>
          <w:sz w:val="32"/>
          <w:szCs w:val="32"/>
          <w:lang w:val="en-US" w:eastAsia="zh-CN" w:bidi="ar-SA"/>
        </w:rPr>
        <w:t>2.政务公开工作开展情况。一是全面落实决策、执行、管理、服务、结果及时公开信息的“五公开”情况。在公安局各窗口单位对公安机关相关行政审批事项、办理流程全面公开；在湘潭县人民政府门户网站建立了公安局信息公开专栏；参照国家、省、市公开目录，结合部门实际，制定了本单位主动公开基本目录，有序拓展公开范围。二是加强政策解读。领导小组办公室指定专人每个工作日检查门户网站局长信箱及其他网络平台的留言，确保第一时间收到群众留言，并完善留言回复程序，确保留言在规定时间内得到准确、适当的回复。三是加强平台建设。有效运维局政务微博、微信公众号，及时解答本部门职责范围内的、可向社会公开的非涉密政务信息。四是加强培训。组织民警学习政务公开工作相关文件，进一步提高民警政务公开工作的思想认识和业务水平；进一步健全完善公安局政务公开制度，安排专人负责依申请公开工作，进一步规范依申请公开答复工作，从制度上规定答复时限、增强答复内容制作水平和答复形式的规范性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560"/>
        <w:jc w:val="left"/>
        <w:rPr>
          <w:rFonts w:hint="eastAsia" w:ascii="仿宋_GB2312" w:hAnsi="仿宋" w:eastAsia="仿宋_GB2312" w:cstheme="minorBidi"/>
          <w:kern w:val="2"/>
          <w:sz w:val="32"/>
          <w:szCs w:val="32"/>
          <w:lang w:val="en-US" w:eastAsia="zh-CN" w:bidi="ar-SA"/>
        </w:rPr>
      </w:pPr>
      <w:r>
        <w:rPr>
          <w:rFonts w:hint="eastAsia" w:ascii="仿宋_GB2312" w:hAnsi="仿宋" w:eastAsia="仿宋_GB2312" w:cstheme="minorBidi"/>
          <w:kern w:val="2"/>
          <w:sz w:val="32"/>
          <w:szCs w:val="32"/>
          <w:lang w:val="en-US" w:eastAsia="zh-CN" w:bidi="ar-SA"/>
        </w:rPr>
        <w:t>3.政务公开工作实效。围绕“放管服”改革和优化营商环境新任务新举措，及时全面公开优化营商环境政策及执行情况，集中公开公安相关业务的审批流程、政策文件、服务举措，让办事的群众看得懂、办得了，减少了跑动次数，提高了办事效率。</w:t>
      </w:r>
    </w:p>
    <w:p>
      <w:pPr>
        <w:ind w:firstLine="640" w:firstLineChars="200"/>
        <w:rPr>
          <w:rFonts w:ascii="Times New Roman" w:hAnsi="Times New Roman" w:eastAsia="宋体" w:cs="Times New Roman"/>
          <w:szCs w:val="24"/>
        </w:rPr>
      </w:pPr>
      <w:r>
        <w:rPr>
          <w:rFonts w:ascii="黑体" w:hAnsi="仿宋" w:eastAsia="黑体"/>
          <w:sz w:val="32"/>
          <w:szCs w:val="32"/>
        </w:rPr>
        <w:t>二、主动公开政府信息情况</w:t>
      </w:r>
    </w:p>
    <w:tbl>
      <w:tblPr>
        <w:tblStyle w:val="6"/>
        <w:tblW w:w="8146" w:type="dxa"/>
        <w:jc w:val="center"/>
        <w:tblLayout w:type="fixed"/>
        <w:tblCellMar>
          <w:top w:w="0" w:type="dxa"/>
          <w:left w:w="0" w:type="dxa"/>
          <w:bottom w:w="0" w:type="dxa"/>
          <w:right w:w="0" w:type="dxa"/>
        </w:tblCellMar>
      </w:tblPr>
      <w:tblGrid>
        <w:gridCol w:w="3113"/>
        <w:gridCol w:w="1769"/>
        <w:gridCol w:w="1559"/>
        <w:gridCol w:w="1705"/>
      </w:tblGrid>
      <w:tr>
        <w:tblPrEx>
          <w:tblCellMar>
            <w:top w:w="0" w:type="dxa"/>
            <w:left w:w="0" w:type="dxa"/>
            <w:bottom w:w="0" w:type="dxa"/>
            <w:right w:w="0" w:type="dxa"/>
          </w:tblCellMar>
        </w:tblPrEx>
        <w:trPr>
          <w:trHeight w:val="454" w:hRule="atLeast"/>
          <w:jc w:val="center"/>
        </w:trPr>
        <w:tc>
          <w:tcPr>
            <w:tcW w:w="8146"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第二十条第（一）项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1769" w:type="dxa"/>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本年制</w:t>
            </w:r>
            <w:r>
              <w:rPr>
                <w:rFonts w:hint="eastAsia" w:ascii="Times New Roman" w:hAnsi="Times New Roman" w:eastAsia="宋体" w:cs="Times New Roman"/>
                <w:sz w:val="20"/>
              </w:rPr>
              <w:t>发件数</w:t>
            </w:r>
          </w:p>
        </w:tc>
        <w:tc>
          <w:tcPr>
            <w:tcW w:w="1559" w:type="dxa"/>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本年</w:t>
            </w:r>
            <w:r>
              <w:rPr>
                <w:rFonts w:hint="eastAsia" w:ascii="Times New Roman" w:hAnsi="Times New Roman" w:eastAsia="宋体" w:cs="Times New Roman"/>
                <w:sz w:val="20"/>
              </w:rPr>
              <w:t>废纸件数</w:t>
            </w:r>
          </w:p>
        </w:tc>
        <w:tc>
          <w:tcPr>
            <w:tcW w:w="1705"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现行有效件数</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规章</w:t>
            </w:r>
          </w:p>
        </w:tc>
        <w:tc>
          <w:tcPr>
            <w:tcW w:w="1769"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c>
          <w:tcPr>
            <w:tcW w:w="1559" w:type="dxa"/>
            <w:tcBorders>
              <w:top w:val="nil"/>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c>
          <w:tcPr>
            <w:tcW w:w="1705"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规范性文件</w:t>
            </w:r>
          </w:p>
        </w:tc>
        <w:tc>
          <w:tcPr>
            <w:tcW w:w="1769"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c>
          <w:tcPr>
            <w:tcW w:w="1559" w:type="dxa"/>
            <w:tcBorders>
              <w:top w:val="nil"/>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c>
          <w:tcPr>
            <w:tcW w:w="1705" w:type="dxa"/>
            <w:tcBorders>
              <w:top w:val="nil"/>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第二十条第（五）项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5033"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Cs w:val="24"/>
              </w:rPr>
              <w:t>本年处理决定数量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行政许可</w:t>
            </w:r>
          </w:p>
        </w:tc>
        <w:tc>
          <w:tcPr>
            <w:tcW w:w="5033" w:type="dxa"/>
            <w:gridSpan w:val="3"/>
            <w:tcBorders>
              <w:top w:val="nil"/>
              <w:left w:val="nil"/>
              <w:bottom w:val="single" w:color="auto" w:sz="8" w:space="0"/>
              <w:right w:val="single" w:color="auto" w:sz="8" w:space="0"/>
            </w:tcBorders>
            <w:noWrap/>
            <w:tcMar>
              <w:left w:w="108" w:type="dxa"/>
              <w:right w:w="108" w:type="dxa"/>
            </w:tcMar>
            <w:vAlign w:val="center"/>
          </w:tcPr>
          <w:p>
            <w:pPr>
              <w:jc w:val="center"/>
              <w:rPr>
                <w:rFonts w:hint="default"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2336</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第二十条第（六）项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5033"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Cs w:val="24"/>
              </w:rPr>
              <w:t>本年处理决定数量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cs="宋体"/>
                <w:sz w:val="20"/>
                <w:szCs w:val="20"/>
              </w:rPr>
              <w:t>行政处罚</w:t>
            </w:r>
          </w:p>
        </w:tc>
        <w:tc>
          <w:tcPr>
            <w:tcW w:w="5033" w:type="dxa"/>
            <w:gridSpan w:val="3"/>
            <w:tcBorders>
              <w:top w:val="nil"/>
              <w:left w:val="nil"/>
              <w:bottom w:val="single" w:color="auto" w:sz="8" w:space="0"/>
              <w:right w:val="single" w:color="auto" w:sz="8" w:space="0"/>
            </w:tcBorders>
            <w:noWrap/>
            <w:tcMar>
              <w:left w:w="108" w:type="dxa"/>
              <w:right w:w="108" w:type="dxa"/>
            </w:tcMar>
            <w:vAlign w:val="center"/>
          </w:tcPr>
          <w:p>
            <w:pPr>
              <w:jc w:val="center"/>
              <w:rPr>
                <w:rFonts w:hint="default"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993</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cs="宋体"/>
                <w:sz w:val="20"/>
                <w:szCs w:val="20"/>
              </w:rPr>
              <w:t>行政强制</w:t>
            </w:r>
          </w:p>
        </w:tc>
        <w:tc>
          <w:tcPr>
            <w:tcW w:w="5033" w:type="dxa"/>
            <w:gridSpan w:val="3"/>
            <w:tcBorders>
              <w:top w:val="nil"/>
              <w:left w:val="nil"/>
              <w:bottom w:val="single" w:color="auto" w:sz="8" w:space="0"/>
              <w:right w:val="single" w:color="auto" w:sz="8" w:space="0"/>
            </w:tcBorders>
            <w:noWrap/>
            <w:tcMar>
              <w:left w:w="108" w:type="dxa"/>
              <w:right w:w="108" w:type="dxa"/>
            </w:tcMar>
            <w:vAlign w:val="center"/>
          </w:tcPr>
          <w:p>
            <w:pPr>
              <w:jc w:val="center"/>
              <w:rPr>
                <w:rFonts w:hint="default" w:ascii="Times New Roman" w:hAnsi="Times New Roman" w:cs="Times New Roman" w:eastAsiaTheme="minorEastAsia"/>
                <w:szCs w:val="24"/>
                <w:lang w:val="en-US" w:eastAsia="zh-CN"/>
              </w:rPr>
            </w:pPr>
            <w:r>
              <w:rPr>
                <w:rFonts w:hint="eastAsia" w:ascii="Times New Roman" w:hAnsi="Times New Roman" w:cs="Times New Roman"/>
                <w:sz w:val="20"/>
                <w:szCs w:val="20"/>
                <w:lang w:val="en-US" w:eastAsia="zh-CN"/>
              </w:rPr>
              <w:t>556</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第二十条第（八）项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信息内容</w:t>
            </w:r>
          </w:p>
        </w:tc>
        <w:tc>
          <w:tcPr>
            <w:tcW w:w="5033" w:type="dxa"/>
            <w:gridSpan w:val="3"/>
            <w:tcBorders>
              <w:top w:val="nil"/>
              <w:left w:val="nil"/>
              <w:bottom w:val="single" w:color="auto" w:sz="8" w:space="0"/>
              <w:right w:val="single" w:color="000000"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Cs w:val="24"/>
              </w:rPr>
              <w:t>本年收费金额（单位：万元）</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行政事业性收费</w:t>
            </w:r>
          </w:p>
        </w:tc>
        <w:tc>
          <w:tcPr>
            <w:tcW w:w="5033" w:type="dxa"/>
            <w:gridSpan w:val="3"/>
            <w:tcBorders>
              <w:top w:val="nil"/>
              <w:left w:val="nil"/>
              <w:bottom w:val="single" w:color="auto" w:sz="8" w:space="0"/>
              <w:right w:val="single" w:color="000000" w:sz="8" w:space="0"/>
            </w:tcBorders>
            <w:noWrap/>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sz w:val="20"/>
              </w:rPr>
              <w:t>0</w:t>
            </w:r>
          </w:p>
        </w:tc>
      </w:tr>
    </w:tbl>
    <w:p>
      <w:pPr>
        <w:ind w:firstLine="640" w:firstLineChars="200"/>
        <w:rPr>
          <w:rFonts w:ascii="黑体" w:hAnsi="仿宋" w:eastAsia="黑体"/>
          <w:sz w:val="32"/>
          <w:szCs w:val="32"/>
        </w:rPr>
      </w:pPr>
      <w:r>
        <w:rPr>
          <w:rFonts w:ascii="黑体" w:hAnsi="仿宋" w:eastAsia="黑体"/>
          <w:sz w:val="32"/>
          <w:szCs w:val="32"/>
        </w:rPr>
        <w:t>三、收到和处理政府信息公开申请情况</w:t>
      </w:r>
    </w:p>
    <w:tbl>
      <w:tblPr>
        <w:tblStyle w:val="6"/>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16"/>
        <w:gridCol w:w="854"/>
        <w:gridCol w:w="2489"/>
        <w:gridCol w:w="570"/>
        <w:gridCol w:w="690"/>
        <w:gridCol w:w="660"/>
        <w:gridCol w:w="813"/>
        <w:gridCol w:w="973"/>
        <w:gridCol w:w="711"/>
        <w:gridCol w:w="69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（本列数据的勾稽关系为：第一项加第二项之和，等于第三项加第四项之和）</w:t>
            </w:r>
          </w:p>
        </w:tc>
        <w:tc>
          <w:tcPr>
            <w:tcW w:w="5112" w:type="dxa"/>
            <w:gridSpan w:val="7"/>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70" w:type="dxa"/>
            <w:vMerge w:val="restart"/>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自然人</w:t>
            </w:r>
          </w:p>
        </w:tc>
        <w:tc>
          <w:tcPr>
            <w:tcW w:w="3847"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法人或其他组织</w:t>
            </w:r>
          </w:p>
        </w:tc>
        <w:tc>
          <w:tcPr>
            <w:tcW w:w="695"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70"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90" w:type="dxa"/>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商业企业</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科研机构</w:t>
            </w:r>
          </w:p>
        </w:tc>
        <w:tc>
          <w:tcPr>
            <w:tcW w:w="813"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社会公益组织</w:t>
            </w:r>
          </w:p>
        </w:tc>
        <w:tc>
          <w:tcPr>
            <w:tcW w:w="973"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法律服务机构</w:t>
            </w:r>
          </w:p>
        </w:tc>
        <w:tc>
          <w:tcPr>
            <w:tcW w:w="711" w:type="dxa"/>
            <w:tcBorders>
              <w:top w:val="single" w:color="auto" w:sz="8" w:space="0"/>
              <w:left w:val="nil"/>
              <w:bottom w:val="single" w:color="auto" w:sz="8" w:space="0"/>
              <w:right w:val="single" w:color="auto" w:sz="8" w:space="0"/>
            </w:tcBorders>
            <w:tcMar>
              <w:left w:w="108" w:type="dxa"/>
              <w:right w:w="108" w:type="dxa"/>
            </w:tcMar>
            <w:vAlign w:val="center"/>
          </w:tcPr>
          <w:p>
            <w:pPr>
              <w:spacing w:line="260" w:lineRule="exact"/>
              <w:jc w:val="center"/>
              <w:rPr>
                <w:rFonts w:ascii="Times New Roman" w:hAnsi="Times New Roman" w:eastAsia="宋体" w:cs="Times New Roman"/>
                <w:szCs w:val="24"/>
              </w:rPr>
            </w:pPr>
            <w:r>
              <w:rPr>
                <w:rFonts w:ascii="Times New Roman" w:hAnsi="Times New Roman" w:eastAsia="宋体" w:cs="Times New Roman"/>
                <w:sz w:val="20"/>
              </w:rPr>
              <w:t>其他</w:t>
            </w:r>
          </w:p>
        </w:tc>
        <w:tc>
          <w:tcPr>
            <w:tcW w:w="695"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一、本年新收政府信息公开申请数量</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1</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eastAsia="zh-CN"/>
              </w:rPr>
            </w:pPr>
            <w:r>
              <w:rPr>
                <w:rFonts w:hint="eastAsia" w:ascii="Times New Roman" w:hAnsi="Times New Roman" w:eastAsia="宋体" w:cs="Times New Roman"/>
                <w:szCs w:val="24"/>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二、上年结转政府信息公开申请数量</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r>
              <w:rPr>
                <w:rFonts w:ascii="Times New Roman" w:hAnsi="Times New Roman" w:eastAsia="宋体" w:cs="Times New Roman"/>
                <w:sz w:val="20"/>
              </w:rPr>
              <w:t> </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r>
              <w:rPr>
                <w:rFonts w:ascii="Times New Roman" w:hAnsi="Times New Roman" w:eastAsia="宋体" w:cs="Times New Roman"/>
                <w:sz w:val="20"/>
              </w:rPr>
              <w:t> </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r>
              <w:rPr>
                <w:rFonts w:ascii="Times New Roman" w:hAnsi="Times New Roman" w:eastAsia="宋体" w:cs="Times New Roman"/>
                <w:sz w:val="20"/>
              </w:rPr>
              <w:t> </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r>
              <w:rPr>
                <w:rFonts w:ascii="Times New Roman" w:hAnsi="Times New Roman" w:eastAsia="宋体" w:cs="Times New Roman"/>
                <w:sz w:val="20"/>
              </w:rPr>
              <w:t> </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三、本年度办理结果</w:t>
            </w: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（一）予以公开</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val="en-US"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1</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hint="eastAsia" w:ascii="Times New Roman" w:hAnsi="Times New Roman" w:eastAsia="宋体" w:cs="Times New Roman"/>
                <w:szCs w:val="24"/>
                <w:lang w:eastAsia="zh-CN"/>
              </w:rPr>
            </w:pPr>
            <w:r>
              <w:rPr>
                <w:rFonts w:ascii="Times New Roman" w:hAnsi="Times New Roman" w:eastAsia="宋体" w:cs="Times New Roman"/>
                <w:sz w:val="20"/>
              </w:rPr>
              <w:t> </w:t>
            </w:r>
            <w:r>
              <w:rPr>
                <w:rFonts w:hint="eastAsia" w:ascii="Times New Roman" w:hAnsi="Times New Roman" w:eastAsia="宋体" w:cs="Times New Roman"/>
                <w:sz w:val="20"/>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（二）部分公开（区分处理的，只计这一情形，不计其他情形）</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（三）不予公开</w:t>
            </w: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1.属于国家秘密</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single" w:color="auto" w:sz="8"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2.其他法律行政法规禁止公开</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3.危及“三安全一稳定”</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4.保护第三方合法权益</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5.属于三类内部事务信息</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6.属于四类过程性信息</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7.属于行政执法案卷</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8.属于行政查询事项</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（四）无法提供</w:t>
            </w: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1.本机关不掌握相关政府信息</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2.没有现成信息需要另行制作</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3.补正后申请内容仍不明确</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bottom w:val="single" w:color="auto" w:sz="8" w:space="0"/>
              <w:right w:val="single" w:color="auto" w:sz="4"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（五）不予处理</w:t>
            </w:r>
          </w:p>
        </w:tc>
        <w:tc>
          <w:tcPr>
            <w:tcW w:w="2489" w:type="dxa"/>
            <w:tcBorders>
              <w:top w:val="nil"/>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1.信访举报投诉类申请</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4"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2.重复申请</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4"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3.要求提供公开出版物</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4"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4.无正当理由大量反复申请</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top w:val="nil"/>
              <w:left w:val="nil"/>
              <w:bottom w:val="single" w:color="auto" w:sz="8" w:space="0"/>
              <w:right w:val="single" w:color="auto" w:sz="4" w:space="0"/>
            </w:tcBorders>
            <w:tcMar>
              <w:left w:w="108" w:type="dxa"/>
              <w:right w:w="108" w:type="dxa"/>
            </w:tcMar>
            <w:vAlign w:val="center"/>
          </w:tcPr>
          <w:p>
            <w:pPr>
              <w:rPr>
                <w:rFonts w:ascii="Times New Roman" w:hAnsi="Times New Roman" w:eastAsia="宋体" w:cs="Times New Roman"/>
                <w:szCs w:val="24"/>
              </w:rPr>
            </w:pPr>
          </w:p>
        </w:tc>
        <w:tc>
          <w:tcPr>
            <w:tcW w:w="2489" w:type="dxa"/>
            <w:tcBorders>
              <w:top w:val="nil"/>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5.要求行政机关确认或重新出具已获取信息</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42"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restart"/>
            <w:tcBorders>
              <w:top w:val="nil"/>
              <w:left w:val="nil"/>
              <w:right w:val="single" w:color="auto" w:sz="4"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（六）其他处理</w:t>
            </w:r>
          </w:p>
        </w:tc>
        <w:tc>
          <w:tcPr>
            <w:tcW w:w="2489" w:type="dxa"/>
            <w:tcBorders>
              <w:top w:val="nil"/>
              <w:left w:val="single" w:color="auto" w:sz="4" w:space="0"/>
              <w:bottom w:val="single" w:color="auto" w:sz="4"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hint="eastAsia" w:ascii="Times New Roman" w:hAnsi="Times New Roman" w:eastAsia="宋体" w:cs="Times New Roman"/>
                <w:szCs w:val="24"/>
              </w:rPr>
              <w:t>1.申请人无正当理由逾期不补正、行政机关不再处理其政府信息公开申请</w:t>
            </w:r>
          </w:p>
        </w:tc>
        <w:tc>
          <w:tcPr>
            <w:tcW w:w="570"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26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left w:val="nil"/>
              <w:right w:val="single" w:color="auto" w:sz="4" w:space="0"/>
            </w:tcBorders>
            <w:tcMar>
              <w:left w:w="108" w:type="dxa"/>
              <w:right w:w="108" w:type="dxa"/>
            </w:tcMar>
            <w:vAlign w:val="center"/>
          </w:tcPr>
          <w:p>
            <w:pPr>
              <w:spacing w:line="300" w:lineRule="exact"/>
              <w:rPr>
                <w:rFonts w:ascii="Times New Roman" w:hAnsi="Times New Roman" w:eastAsia="楷体" w:cs="Times New Roman"/>
                <w:sz w:val="20"/>
              </w:rPr>
            </w:pPr>
          </w:p>
        </w:tc>
        <w:tc>
          <w:tcPr>
            <w:tcW w:w="2489" w:type="dxa"/>
            <w:tcBorders>
              <w:top w:val="single" w:color="auto" w:sz="4" w:space="0"/>
              <w:left w:val="single" w:color="auto" w:sz="4" w:space="0"/>
              <w:bottom w:val="single" w:color="auto" w:sz="4"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hint="eastAsia" w:ascii="Times New Roman" w:hAnsi="Times New Roman" w:eastAsia="宋体" w:cs="Times New Roman"/>
                <w:szCs w:val="24"/>
              </w:rPr>
              <w:t>2.申请人逾期未按收费通知要求缴纳费用、行政机关不再处理其政府信息公开申请</w:t>
            </w:r>
          </w:p>
        </w:tc>
        <w:tc>
          <w:tcPr>
            <w:tcW w:w="570"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90"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60"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813"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973"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711"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95" w:type="dxa"/>
            <w:tcBorders>
              <w:top w:val="single" w:color="auto" w:sz="4" w:space="0"/>
              <w:left w:val="nil"/>
              <w:bottom w:val="single" w:color="auto" w:sz="4"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3"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854" w:type="dxa"/>
            <w:vMerge w:val="continue"/>
            <w:tcBorders>
              <w:left w:val="nil"/>
              <w:bottom w:val="single" w:color="auto" w:sz="8" w:space="0"/>
              <w:right w:val="single" w:color="auto" w:sz="4" w:space="0"/>
            </w:tcBorders>
            <w:tcMar>
              <w:left w:w="108" w:type="dxa"/>
              <w:right w:w="108" w:type="dxa"/>
            </w:tcMar>
            <w:vAlign w:val="center"/>
          </w:tcPr>
          <w:p>
            <w:pPr>
              <w:spacing w:line="300" w:lineRule="exact"/>
              <w:rPr>
                <w:rFonts w:ascii="Times New Roman" w:hAnsi="Times New Roman" w:eastAsia="楷体" w:cs="Times New Roman"/>
                <w:sz w:val="20"/>
              </w:rPr>
            </w:pPr>
          </w:p>
        </w:tc>
        <w:tc>
          <w:tcPr>
            <w:tcW w:w="2489" w:type="dxa"/>
            <w:tcBorders>
              <w:top w:val="single" w:color="auto" w:sz="4" w:space="0"/>
              <w:left w:val="single" w:color="auto" w:sz="4"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hint="eastAsia" w:ascii="Times New Roman" w:hAnsi="Times New Roman" w:eastAsia="宋体" w:cs="Times New Roman"/>
                <w:szCs w:val="24"/>
              </w:rPr>
              <w:t>3.其他</w:t>
            </w:r>
          </w:p>
        </w:tc>
        <w:tc>
          <w:tcPr>
            <w:tcW w:w="570"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90"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60"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813"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973"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711"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c>
          <w:tcPr>
            <w:tcW w:w="695" w:type="dxa"/>
            <w:tcBorders>
              <w:top w:val="single" w:color="auto" w:sz="4" w:space="0"/>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 w:val="20"/>
              </w:rPr>
            </w:pP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3343" w:type="dxa"/>
            <w:gridSpan w:val="2"/>
            <w:tcBorders>
              <w:top w:val="nil"/>
              <w:left w:val="nil"/>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楷体" w:cs="Times New Roman"/>
                <w:sz w:val="20"/>
              </w:rPr>
              <w:t>（七）总计</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63" w:hRule="atLeast"/>
          <w:jc w:val="center"/>
        </w:trPr>
        <w:tc>
          <w:tcPr>
            <w:tcW w:w="3959" w:type="dxa"/>
            <w:gridSpan w:val="3"/>
            <w:tcBorders>
              <w:top w:val="nil"/>
              <w:left w:val="single" w:color="auto" w:sz="8" w:space="0"/>
              <w:bottom w:val="single" w:color="auto" w:sz="8" w:space="0"/>
              <w:right w:val="single" w:color="auto" w:sz="8" w:space="0"/>
            </w:tcBorders>
            <w:tcMar>
              <w:left w:w="108" w:type="dxa"/>
              <w:right w:w="108" w:type="dxa"/>
            </w:tcMar>
            <w:vAlign w:val="center"/>
          </w:tcPr>
          <w:p>
            <w:pPr>
              <w:spacing w:line="300" w:lineRule="exact"/>
              <w:rPr>
                <w:rFonts w:ascii="Times New Roman" w:hAnsi="Times New Roman" w:eastAsia="宋体" w:cs="Times New Roman"/>
                <w:szCs w:val="24"/>
              </w:rPr>
            </w:pPr>
            <w:r>
              <w:rPr>
                <w:rFonts w:ascii="Times New Roman" w:hAnsi="Times New Roman" w:eastAsia="宋体" w:cs="Times New Roman"/>
                <w:sz w:val="20"/>
              </w:rPr>
              <w:t>四、结转下年度继续办理</w:t>
            </w:r>
          </w:p>
        </w:tc>
        <w:tc>
          <w:tcPr>
            <w:tcW w:w="57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6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81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973"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711"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ascii="Times New Roman" w:hAnsi="Times New Roman" w:eastAsia="宋体" w:cs="Times New Roman"/>
                <w:sz w:val="20"/>
              </w:rPr>
              <w:t> </w:t>
            </w:r>
            <w:r>
              <w:rPr>
                <w:rFonts w:hint="eastAsia" w:ascii="Times New Roman" w:hAnsi="Times New Roman" w:eastAsia="宋体" w:cs="Times New Roman"/>
                <w:sz w:val="20"/>
              </w:rPr>
              <w:t>0</w:t>
            </w:r>
          </w:p>
        </w:tc>
        <w:tc>
          <w:tcPr>
            <w:tcW w:w="695"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ascii="Times New Roman" w:hAnsi="Times New Roman" w:eastAsia="宋体" w:cs="Times New Roman"/>
                <w:szCs w:val="24"/>
              </w:rPr>
            </w:pPr>
            <w:r>
              <w:rPr>
                <w:rFonts w:hint="eastAsia" w:ascii="Times New Roman" w:hAnsi="Times New Roman" w:eastAsia="宋体" w:cs="Times New Roman"/>
                <w:sz w:val="20"/>
              </w:rPr>
              <w:t>0</w:t>
            </w:r>
          </w:p>
        </w:tc>
      </w:tr>
    </w:tbl>
    <w:p>
      <w:pPr>
        <w:ind w:firstLine="640" w:firstLineChars="200"/>
        <w:rPr>
          <w:rFonts w:ascii="黑体" w:hAnsi="仿宋" w:eastAsia="黑体"/>
          <w:sz w:val="32"/>
          <w:szCs w:val="32"/>
        </w:rPr>
      </w:pPr>
      <w:r>
        <w:rPr>
          <w:rFonts w:ascii="黑体" w:hAnsi="仿宋" w:eastAsia="黑体"/>
          <w:sz w:val="32"/>
          <w:szCs w:val="32"/>
        </w:rPr>
        <w:t>四、政府信息公开行政复议、行政诉讼情况</w:t>
      </w:r>
    </w:p>
    <w:tbl>
      <w:tblPr>
        <w:tblStyle w:val="6"/>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ascii="Times New Roman" w:hAnsi="Times New Roman" w:eastAsia="宋体" w:cs="Times New Roman"/>
                <w:sz w:val="20"/>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ascii="Times New Roman" w:hAnsi="Times New Roman" w:eastAsia="宋体" w:cs="Times New Roman"/>
                <w:szCs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其他结果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eastAsia="宋体" w:cs="Times New Roman"/>
                <w:sz w:val="20"/>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hint="eastAsia" w:ascii="Times New Roman" w:hAnsi="Times New Roman" w:eastAsia="宋体" w:cs="Times New Roman"/>
                <w:sz w:val="20"/>
                <w:szCs w:val="20"/>
              </w:rPr>
              <w:t>0</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1</w:t>
            </w:r>
          </w:p>
        </w:tc>
        <w:tc>
          <w:tcPr>
            <w:tcW w:w="604"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eastAsia="宋体" w:cs="Times New Roman"/>
                <w:szCs w:val="24"/>
                <w:lang w:val="en-US" w:eastAsia="zh-CN"/>
              </w:rPr>
            </w:pPr>
            <w:r>
              <w:rPr>
                <w:rFonts w:hint="eastAsia" w:ascii="Times New Roman" w:hAnsi="Times New Roman" w:eastAsia="宋体" w:cs="Times New Roman"/>
                <w:szCs w:val="24"/>
                <w:lang w:val="en-US" w:eastAsia="zh-CN"/>
              </w:rPr>
              <w:t>1</w:t>
            </w:r>
          </w:p>
        </w:tc>
        <w:tc>
          <w:tcPr>
            <w:tcW w:w="658"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hint="eastAsia" w:ascii="Times New Roman" w:hAnsi="Times New Roman" w:cs="Times New Roman" w:eastAsiaTheme="minorEastAsia"/>
                <w:szCs w:val="24"/>
                <w:lang w:val="en-US" w:eastAsia="zh-CN"/>
              </w:rPr>
            </w:pPr>
            <w:r>
              <w:rPr>
                <w:rFonts w:hint="eastAsia" w:ascii="Times New Roman" w:hAnsi="Times New Roman" w:cs="Times New Roman"/>
                <w:szCs w:val="24"/>
                <w:lang w:val="en-US" w:eastAsia="zh-CN"/>
              </w:rPr>
              <w:t>2</w:t>
            </w:r>
          </w:p>
        </w:tc>
        <w:tc>
          <w:tcPr>
            <w:tcW w:w="550"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cs="Times New Roman"/>
                <w:szCs w:val="24"/>
              </w:rPr>
            </w:pPr>
            <w:r>
              <w:rPr>
                <w:rFonts w:hint="eastAsia"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cs="Times New Roman"/>
                <w:szCs w:val="24"/>
              </w:rPr>
            </w:pPr>
            <w:r>
              <w:rPr>
                <w:rFonts w:hint="eastAsia"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cs="Times New Roman"/>
                <w:szCs w:val="24"/>
              </w:rPr>
            </w:pPr>
            <w:r>
              <w:rPr>
                <w:rFonts w:hint="eastAsia"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5"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6" w:type="dxa"/>
            <w:tcBorders>
              <w:top w:val="nil"/>
              <w:left w:val="nil"/>
              <w:bottom w:val="single" w:color="auto" w:sz="8" w:space="0"/>
              <w:right w:val="single" w:color="auto" w:sz="8" w:space="0"/>
            </w:tcBorders>
            <w:tcMar>
              <w:left w:w="108" w:type="dxa"/>
              <w:right w:w="108" w:type="dxa"/>
            </w:tcMar>
            <w:vAlign w:val="center"/>
          </w:tcPr>
          <w:p>
            <w:pPr>
              <w:spacing w:after="180"/>
              <w:jc w:val="center"/>
              <w:rPr>
                <w:rFonts w:ascii="Times New Roman" w:hAnsi="Times New Roman" w:eastAsia="宋体" w:cs="Times New Roman"/>
                <w:szCs w:val="24"/>
              </w:rPr>
            </w:pPr>
            <w:r>
              <w:rPr>
                <w:rFonts w:ascii="Times New Roman" w:hAnsi="Times New Roman" w:cs="Times New Roman"/>
                <w:sz w:val="20"/>
                <w:szCs w:val="20"/>
              </w:rPr>
              <w:t>0</w:t>
            </w:r>
          </w:p>
        </w:tc>
        <w:tc>
          <w:tcPr>
            <w:tcW w:w="606" w:type="dxa"/>
            <w:tcBorders>
              <w:top w:val="nil"/>
              <w:left w:val="nil"/>
              <w:bottom w:val="single" w:color="auto" w:sz="8" w:space="0"/>
              <w:right w:val="single" w:color="auto" w:sz="8" w:space="0"/>
            </w:tcBorders>
            <w:tcMar>
              <w:left w:w="108" w:type="dxa"/>
              <w:right w:w="108" w:type="dxa"/>
            </w:tcMar>
            <w:vAlign w:val="center"/>
          </w:tcPr>
          <w:p>
            <w:pPr>
              <w:jc w:val="center"/>
              <w:rPr>
                <w:rFonts w:ascii="Times New Roman" w:hAnsi="Times New Roman" w:eastAsia="宋体" w:cs="Times New Roman"/>
                <w:szCs w:val="24"/>
              </w:rPr>
            </w:pPr>
            <w:r>
              <w:rPr>
                <w:rFonts w:hint="eastAsia" w:ascii="Times New Roman" w:hAnsi="Times New Roman" w:eastAsia="宋体" w:cs="Times New Roman"/>
              </w:rPr>
              <w:t>0</w:t>
            </w:r>
          </w:p>
        </w:tc>
      </w:tr>
    </w:tbl>
    <w:p>
      <w:pPr>
        <w:ind w:firstLine="640" w:firstLineChars="200"/>
        <w:rPr>
          <w:rFonts w:ascii="黑体" w:hAnsi="仿宋" w:eastAsia="黑体"/>
          <w:sz w:val="32"/>
          <w:szCs w:val="32"/>
        </w:rPr>
      </w:pPr>
      <w:r>
        <w:rPr>
          <w:rFonts w:hint="eastAsia" w:ascii="黑体" w:hAnsi="仿宋" w:eastAsia="黑体"/>
          <w:sz w:val="32"/>
          <w:szCs w:val="32"/>
        </w:rPr>
        <w:t>五、存在的主要问题及改进情况</w:t>
      </w:r>
    </w:p>
    <w:p>
      <w:pPr>
        <w:spacing w:line="60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年，我局政府信息公开工作在上级党委、政府的正确领导下，取得了一定的成绩，但对比新时代做好政务公开工作的新要求，还存在一些差距，主要表现在：一是由于警务工作的特殊性，信息公开的内容不够全面、细致；二是公开的形式和内容与形势的发展变化及人民群众的需求相比还有差距。针对存在的问题，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我局将按照县政务公开办的要求，做好以下几点：一是进一步提升专业能力。加强对全局民警政务公开工作的业务培训，不断提高民警对政务公开工作的认识，并进一步提升民警专业能力，确保政务公开工作的高效开展；二是进一步提高信息发布质量，在做好日常政府信息公开网维护的同时，针对社会治安热点，发布政策解读、规范性文件、户籍服务、安全防范等方面信息，把涉及人民群众切身利益的各类事项作为信息发布重点；三是进一步加强制度建设。把开展政务公开活动与公安工作实际紧密结合起来，努力开创具有公安特色的政务公开，把我局政务公开工作不断推向规范化、制度化的新局面。</w:t>
      </w:r>
    </w:p>
    <w:p>
      <w:pPr>
        <w:ind w:firstLine="640" w:firstLineChars="200"/>
        <w:rPr>
          <w:rFonts w:ascii="黑体" w:hAnsi="仿宋" w:eastAsia="黑体"/>
          <w:sz w:val="32"/>
          <w:szCs w:val="32"/>
        </w:rPr>
      </w:pPr>
      <w:r>
        <w:rPr>
          <w:rFonts w:hint="eastAsia" w:ascii="黑体" w:hAnsi="仿宋" w:eastAsia="黑体"/>
          <w:sz w:val="32"/>
          <w:szCs w:val="32"/>
        </w:rPr>
        <w:t>六、其他需要报告的事项</w:t>
      </w:r>
    </w:p>
    <w:p>
      <w:pPr>
        <w:spacing w:line="600" w:lineRule="exact"/>
        <w:ind w:firstLine="640" w:firstLineChars="200"/>
        <w:rPr>
          <w:rFonts w:ascii="仿宋_GB2312" w:hAnsi="仿宋" w:eastAsia="仿宋_GB2312"/>
          <w:sz w:val="32"/>
          <w:szCs w:val="32"/>
        </w:rPr>
      </w:pPr>
      <w:r>
        <w:rPr>
          <w:rFonts w:hint="eastAsia" w:ascii="仿宋_GB2312" w:hAnsi="Times New Roman" w:eastAsia="仿宋_GB2312" w:cs="Times New Roman"/>
          <w:sz w:val="32"/>
          <w:szCs w:val="32"/>
        </w:rPr>
        <w:t>本年度未收取信息处理费。</w:t>
      </w:r>
      <w:bookmarkEnd w:id="0"/>
      <w:bookmarkEnd w:id="1"/>
    </w:p>
    <w:bookmarkEnd w:id="3"/>
    <w:p>
      <w:pPr>
        <w:wordWrap w:val="0"/>
        <w:spacing w:line="600" w:lineRule="exact"/>
        <w:ind w:right="480" w:firstLine="640" w:firstLineChars="200"/>
        <w:jc w:val="right"/>
        <w:rPr>
          <w:rFonts w:ascii="Times New Roman" w:hAnsi="Times New Roman" w:eastAsia="宋体" w:cs="Times New Roman"/>
          <w:szCs w:val="24"/>
        </w:rPr>
      </w:pPr>
      <w:r>
        <w:rPr>
          <w:rFonts w:hint="eastAsia" w:ascii="仿宋_GB2312" w:hAnsi="仿宋" w:eastAsia="仿宋_GB2312"/>
          <w:sz w:val="32"/>
          <w:szCs w:val="32"/>
        </w:rPr>
        <w:t xml:space="preserve"> </w:t>
      </w:r>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hmZDQ2NzliNWExNzkzOTA0NmQwMDljMjI4MmE4NjQifQ=="/>
  </w:docVars>
  <w:rsids>
    <w:rsidRoot w:val="00E75381"/>
    <w:rsid w:val="00072CF7"/>
    <w:rsid w:val="000C79DD"/>
    <w:rsid w:val="000E36F3"/>
    <w:rsid w:val="000F5561"/>
    <w:rsid w:val="00105A11"/>
    <w:rsid w:val="00135772"/>
    <w:rsid w:val="00186A26"/>
    <w:rsid w:val="002143F1"/>
    <w:rsid w:val="0024387D"/>
    <w:rsid w:val="003D4259"/>
    <w:rsid w:val="004351AD"/>
    <w:rsid w:val="00530183"/>
    <w:rsid w:val="0059029A"/>
    <w:rsid w:val="005C66B6"/>
    <w:rsid w:val="006604BD"/>
    <w:rsid w:val="006C68B4"/>
    <w:rsid w:val="007370E4"/>
    <w:rsid w:val="0078756F"/>
    <w:rsid w:val="008D449B"/>
    <w:rsid w:val="009071AB"/>
    <w:rsid w:val="00947C70"/>
    <w:rsid w:val="009D56C4"/>
    <w:rsid w:val="00A96D61"/>
    <w:rsid w:val="00B6487A"/>
    <w:rsid w:val="00B757DE"/>
    <w:rsid w:val="00C25683"/>
    <w:rsid w:val="00CC443A"/>
    <w:rsid w:val="00D06A40"/>
    <w:rsid w:val="00D16B9D"/>
    <w:rsid w:val="00D531E8"/>
    <w:rsid w:val="00E75381"/>
    <w:rsid w:val="00EB489B"/>
    <w:rsid w:val="00F5103B"/>
    <w:rsid w:val="00FE43AE"/>
    <w:rsid w:val="013F552B"/>
    <w:rsid w:val="3860513D"/>
    <w:rsid w:val="3D9213A3"/>
    <w:rsid w:val="456B2381"/>
    <w:rsid w:val="4E387513"/>
    <w:rsid w:val="60184847"/>
    <w:rsid w:val="703602D2"/>
    <w:rsid w:val="765C1F8A"/>
    <w:rsid w:val="78245B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日期 Char"/>
    <w:basedOn w:val="7"/>
    <w:link w:val="2"/>
    <w:semiHidden/>
    <w:qFormat/>
    <w:uiPriority w:val="99"/>
    <w:rPr>
      <w:kern w:val="2"/>
      <w:sz w:val="21"/>
      <w:szCs w:val="22"/>
    </w:rPr>
  </w:style>
  <w:style w:type="character" w:customStyle="1" w:styleId="9">
    <w:name w:val="页眉 Char"/>
    <w:basedOn w:val="7"/>
    <w:link w:val="4"/>
    <w:semiHidden/>
    <w:qFormat/>
    <w:uiPriority w:val="99"/>
    <w:rPr>
      <w:kern w:val="2"/>
      <w:sz w:val="18"/>
      <w:szCs w:val="18"/>
    </w:rPr>
  </w:style>
  <w:style w:type="character" w:customStyle="1" w:styleId="10">
    <w:name w:val="页脚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2354</Words>
  <Characters>2411</Characters>
  <Lines>296</Lines>
  <Paragraphs>366</Paragraphs>
  <TotalTime>94</TotalTime>
  <ScaleCrop>false</ScaleCrop>
  <LinksUpToDate>false</LinksUpToDate>
  <CharactersWithSpaces>2585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2021-01-15T03:06:00Z</dcterms:created>
  <dc:creator>xb21cn</dc:creator>
  <cp:lastModifiedBy>醒狮中国</cp:lastModifiedBy>
  <cp:lastPrinted>2022-01-14T08:27:00Z</cp:lastPrinted>
  <dcterms:modified xsi:type="dcterms:W3CDTF">2023-01-11T09:07:23Z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46DC26461DD74815809CBC52C1F0DBA6</vt:lpwstr>
  </property>
</Properties>
</file>