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2B8" w:rsidRPr="00BE32B8" w:rsidRDefault="00BE32B8" w:rsidP="00BE32B8">
      <w:pPr>
        <w:shd w:val="clear" w:color="auto" w:fill="FFFFFF"/>
        <w:adjustRightInd/>
        <w:snapToGrid/>
        <w:spacing w:after="0" w:line="576" w:lineRule="atLeast"/>
        <w:jc w:val="center"/>
        <w:rPr>
          <w:rFonts w:ascii="仿宋_GB2312" w:eastAsia="仿宋_GB2312" w:hAnsi="Calibri" w:cs="宋体" w:hint="eastAsia"/>
          <w:b/>
          <w:color w:val="333333"/>
          <w:sz w:val="32"/>
          <w:szCs w:val="32"/>
        </w:rPr>
      </w:pPr>
      <w:r w:rsidRPr="00BE32B8">
        <w:rPr>
          <w:rFonts w:ascii="仿宋_GB2312" w:eastAsia="仿宋_GB2312" w:hAnsi="Calibri" w:cs="宋体" w:hint="eastAsia"/>
          <w:b/>
          <w:color w:val="333333"/>
          <w:sz w:val="32"/>
          <w:szCs w:val="32"/>
        </w:rPr>
        <w:t>湘潭市农业农村局 关于印发《湘潭市农业农村局“首违不罚” 事项清单》的通知</w:t>
      </w:r>
    </w:p>
    <w:p w:rsidR="00BE32B8" w:rsidRPr="00BE32B8" w:rsidRDefault="00BE32B8" w:rsidP="00BE32B8">
      <w:pPr>
        <w:shd w:val="clear" w:color="auto" w:fill="FFFFFF"/>
        <w:adjustRightInd/>
        <w:snapToGrid/>
        <w:spacing w:after="0" w:line="576"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各县市区农业农村局、湘潭高新区社会事业局、湘潭经开区社会事务局、局机关各科室、局属各单位：</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为持续深化“放管服”改革，探索建立“首违不罚”机制，实现行政执法的法律效果和社会效果相统一，优化营商环境，激发市场主体活力，根据《中华人民共和国行政处罚法》《优化营商环境条例》等相关规定和《湘潭市人民政府关于</w:t>
      </w:r>
      <w:r w:rsidRPr="00BE32B8">
        <w:rPr>
          <w:rFonts w:ascii="宋体" w:eastAsia="宋体" w:hAnsi="宋体" w:cs="宋体" w:hint="eastAsia"/>
          <w:color w:val="333333"/>
          <w:sz w:val="32"/>
          <w:szCs w:val="32"/>
        </w:rPr>
        <w:t>2022</w:t>
      </w:r>
      <w:r w:rsidRPr="00BE32B8">
        <w:rPr>
          <w:rFonts w:ascii="仿宋_GB2312" w:eastAsia="仿宋_GB2312" w:hAnsi="Calibri" w:cs="宋体" w:hint="eastAsia"/>
          <w:color w:val="333333"/>
          <w:sz w:val="32"/>
          <w:szCs w:val="32"/>
        </w:rPr>
        <w:t>年〈政府工作报告〉重点任务分工的通知》</w:t>
      </w:r>
      <w:r w:rsidRPr="00BE32B8">
        <w:rPr>
          <w:rFonts w:ascii="宋体" w:eastAsia="宋体" w:hAnsi="宋体" w:cs="宋体" w:hint="eastAsia"/>
          <w:color w:val="333333"/>
          <w:sz w:val="32"/>
          <w:szCs w:val="32"/>
        </w:rPr>
        <w:t>(</w:t>
      </w:r>
      <w:r w:rsidRPr="00BE32B8">
        <w:rPr>
          <w:rFonts w:ascii="仿宋_GB2312" w:eastAsia="仿宋_GB2312" w:hAnsi="Calibri" w:cs="宋体" w:hint="eastAsia"/>
          <w:color w:val="333333"/>
          <w:sz w:val="32"/>
          <w:szCs w:val="32"/>
        </w:rPr>
        <w:t>潭政发〔</w:t>
      </w:r>
      <w:r w:rsidRPr="00BE32B8">
        <w:rPr>
          <w:rFonts w:ascii="宋体" w:eastAsia="宋体" w:hAnsi="宋体" w:cs="宋体" w:hint="eastAsia"/>
          <w:color w:val="333333"/>
          <w:sz w:val="32"/>
          <w:szCs w:val="32"/>
        </w:rPr>
        <w:t>2022</w:t>
      </w:r>
      <w:r w:rsidRPr="00BE32B8">
        <w:rPr>
          <w:rFonts w:ascii="仿宋_GB2312" w:eastAsia="仿宋_GB2312" w:hAnsi="Calibri" w:cs="宋体" w:hint="eastAsia"/>
          <w:color w:val="333333"/>
          <w:sz w:val="32"/>
          <w:szCs w:val="32"/>
        </w:rPr>
        <w:t>〕</w:t>
      </w:r>
      <w:r w:rsidRPr="00BE32B8">
        <w:rPr>
          <w:rFonts w:ascii="宋体" w:eastAsia="宋体" w:hAnsi="宋体" w:cs="宋体" w:hint="eastAsia"/>
          <w:color w:val="333333"/>
          <w:sz w:val="32"/>
          <w:szCs w:val="32"/>
        </w:rPr>
        <w:t>1</w:t>
      </w:r>
      <w:r w:rsidRPr="00BE32B8">
        <w:rPr>
          <w:rFonts w:ascii="仿宋_GB2312" w:eastAsia="仿宋_GB2312" w:hAnsi="Calibri" w:cs="宋体" w:hint="eastAsia"/>
          <w:color w:val="333333"/>
          <w:sz w:val="32"/>
          <w:szCs w:val="32"/>
        </w:rPr>
        <w:t>号</w:t>
      </w:r>
      <w:r w:rsidRPr="00BE32B8">
        <w:rPr>
          <w:rFonts w:ascii="宋体" w:eastAsia="宋体" w:hAnsi="宋体" w:cs="宋体" w:hint="eastAsia"/>
          <w:color w:val="333333"/>
          <w:sz w:val="32"/>
          <w:szCs w:val="32"/>
        </w:rPr>
        <w:t>)</w:t>
      </w:r>
      <w:r w:rsidRPr="00BE32B8">
        <w:rPr>
          <w:rFonts w:ascii="仿宋_GB2312" w:eastAsia="仿宋_GB2312" w:hAnsi="Calibri" w:cs="宋体" w:hint="eastAsia"/>
          <w:color w:val="333333"/>
          <w:sz w:val="32"/>
          <w:szCs w:val="32"/>
        </w:rPr>
        <w:t>安排，结合我市农业农村实际，制定了《湘潭市农业农村局“首违不罚”事项清单》（以下简称《清单》。</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《清单》对我市农业农村领域发生的首次违法且危害后果轻微并及时改正的行为，可以不予行政处罚，探索建立</w:t>
      </w:r>
      <w:r w:rsidRPr="00BE32B8">
        <w:rPr>
          <w:rFonts w:ascii="宋体" w:eastAsia="宋体" w:hAnsi="宋体" w:cs="宋体" w:hint="eastAsia"/>
          <w:color w:val="333333"/>
          <w:sz w:val="32"/>
          <w:szCs w:val="32"/>
        </w:rPr>
        <w:t>"</w:t>
      </w:r>
      <w:r w:rsidRPr="00BE32B8">
        <w:rPr>
          <w:rFonts w:ascii="仿宋_GB2312" w:eastAsia="仿宋_GB2312" w:hAnsi="Calibri" w:cs="宋体" w:hint="eastAsia"/>
          <w:color w:val="333333"/>
          <w:sz w:val="32"/>
          <w:szCs w:val="32"/>
        </w:rPr>
        <w:t>首违不罚</w:t>
      </w:r>
      <w:r w:rsidRPr="00BE32B8">
        <w:rPr>
          <w:rFonts w:ascii="宋体" w:eastAsia="宋体" w:hAnsi="宋体" w:cs="宋体" w:hint="eastAsia"/>
          <w:color w:val="333333"/>
          <w:sz w:val="32"/>
          <w:szCs w:val="32"/>
        </w:rPr>
        <w:t>"</w:t>
      </w:r>
      <w:r w:rsidRPr="00BE32B8">
        <w:rPr>
          <w:rFonts w:ascii="仿宋_GB2312" w:eastAsia="仿宋_GB2312" w:hAnsi="Calibri" w:cs="宋体" w:hint="eastAsia"/>
          <w:color w:val="333333"/>
          <w:sz w:val="32"/>
          <w:szCs w:val="32"/>
        </w:rPr>
        <w:t>清单制度。法律、法规、规章规定以责令改正作为行政处罚前提条件的，应当严格依照法律、法规、规章的规定，先行责令或督促当事人改正或限期改正违法行为，逾期不改正的，方可依法启动行政处罚程序，帮助市场主体自觉纠正违法行为，树立法治意识，打造良好营商环境。对在行政执法过程中，发现的首次违法违规经营行为，应当优先运用提醒、指导、教育、约谈等非强制性方式，引导公民、法人和其他组织依法经营、规范经营。对列入清单的处罚</w:t>
      </w:r>
      <w:r w:rsidRPr="00BE32B8">
        <w:rPr>
          <w:rFonts w:ascii="仿宋_GB2312" w:eastAsia="仿宋_GB2312" w:hAnsi="Calibri" w:cs="宋体" w:hint="eastAsia"/>
          <w:color w:val="333333"/>
          <w:sz w:val="32"/>
          <w:szCs w:val="32"/>
        </w:rPr>
        <w:lastRenderedPageBreak/>
        <w:t>事项依法不予行政处罚时，要严格按照适用情形，结合违法行为的事实、证据等进行综合判定，不得擅自放宽或者变更适用情形，要坚持处罚与教育相结合原则，努力让市场主体在感受到“执法力度”的同时又能感受到“执法温度”。</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现将《清单》印发给你们，请认真参照执行。本通知自</w:t>
      </w:r>
      <w:r w:rsidRPr="00BE32B8">
        <w:rPr>
          <w:rFonts w:ascii="宋体" w:eastAsia="宋体" w:hAnsi="宋体" w:cs="宋体" w:hint="eastAsia"/>
          <w:color w:val="333333"/>
          <w:sz w:val="32"/>
          <w:szCs w:val="32"/>
        </w:rPr>
        <w:t>2022</w:t>
      </w:r>
      <w:r w:rsidRPr="00BE32B8">
        <w:rPr>
          <w:rFonts w:ascii="仿宋_GB2312" w:eastAsia="仿宋_GB2312" w:hAnsi="Calibri" w:cs="宋体" w:hint="eastAsia"/>
          <w:color w:val="333333"/>
          <w:sz w:val="32"/>
          <w:szCs w:val="32"/>
        </w:rPr>
        <w:t>年</w:t>
      </w:r>
      <w:r w:rsidRPr="00BE32B8">
        <w:rPr>
          <w:rFonts w:ascii="宋体" w:eastAsia="宋体" w:hAnsi="宋体" w:cs="宋体" w:hint="eastAsia"/>
          <w:color w:val="333333"/>
          <w:sz w:val="32"/>
          <w:szCs w:val="32"/>
        </w:rPr>
        <w:t>4</w:t>
      </w:r>
      <w:r w:rsidRPr="00BE32B8">
        <w:rPr>
          <w:rFonts w:ascii="仿宋_GB2312" w:eastAsia="仿宋_GB2312" w:hAnsi="Calibri" w:cs="宋体" w:hint="eastAsia"/>
          <w:color w:val="333333"/>
          <w:sz w:val="32"/>
          <w:szCs w:val="32"/>
        </w:rPr>
        <w:t>月</w:t>
      </w:r>
      <w:r w:rsidRPr="00BE32B8">
        <w:rPr>
          <w:rFonts w:ascii="宋体" w:eastAsia="宋体" w:hAnsi="宋体" w:cs="宋体" w:hint="eastAsia"/>
          <w:color w:val="333333"/>
          <w:sz w:val="32"/>
          <w:szCs w:val="32"/>
        </w:rPr>
        <w:t>10</w:t>
      </w:r>
      <w:r w:rsidRPr="00BE32B8">
        <w:rPr>
          <w:rFonts w:ascii="仿宋_GB2312" w:eastAsia="仿宋_GB2312" w:hAnsi="Calibri" w:cs="宋体" w:hint="eastAsia"/>
          <w:color w:val="333333"/>
          <w:sz w:val="32"/>
          <w:szCs w:val="32"/>
        </w:rPr>
        <w:t>日起施行，有效期</w:t>
      </w:r>
      <w:r w:rsidRPr="00BE32B8">
        <w:rPr>
          <w:rFonts w:ascii="宋体" w:eastAsia="宋体" w:hAnsi="宋体" w:cs="宋体" w:hint="eastAsia"/>
          <w:color w:val="333333"/>
          <w:sz w:val="32"/>
          <w:szCs w:val="32"/>
        </w:rPr>
        <w:t>5</w:t>
      </w:r>
      <w:r w:rsidRPr="00BE32B8">
        <w:rPr>
          <w:rFonts w:ascii="仿宋_GB2312" w:eastAsia="仿宋_GB2312" w:hAnsi="Calibri" w:cs="宋体" w:hint="eastAsia"/>
          <w:color w:val="333333"/>
          <w:sz w:val="32"/>
          <w:szCs w:val="32"/>
        </w:rPr>
        <w:t>年。</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宋体" w:eastAsia="宋体" w:hAnsi="宋体" w:cs="宋体" w:hint="eastAsia"/>
          <w:color w:val="333333"/>
          <w:sz w:val="32"/>
          <w:szCs w:val="32"/>
        </w:rPr>
        <w:t> </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附件</w:t>
      </w:r>
      <w:r w:rsidRPr="00BE32B8">
        <w:rPr>
          <w:rFonts w:ascii="宋体" w:eastAsia="宋体" w:hAnsi="宋体" w:cs="宋体" w:hint="eastAsia"/>
          <w:color w:val="333333"/>
          <w:sz w:val="32"/>
          <w:szCs w:val="32"/>
        </w:rPr>
        <w:t>:</w:t>
      </w:r>
      <w:r w:rsidRPr="00BE32B8">
        <w:rPr>
          <w:rFonts w:ascii="仿宋_GB2312" w:eastAsia="仿宋_GB2312" w:hAnsi="Calibri" w:cs="宋体" w:hint="eastAsia"/>
          <w:color w:val="333333"/>
          <w:sz w:val="32"/>
          <w:szCs w:val="32"/>
        </w:rPr>
        <w:t>湘潭市农业农村局“首违不罚”事项清单</w:t>
      </w:r>
    </w:p>
    <w:p w:rsidR="00BE32B8" w:rsidRPr="00BE32B8" w:rsidRDefault="00BE32B8" w:rsidP="00BE32B8">
      <w:pPr>
        <w:shd w:val="clear" w:color="auto" w:fill="FFFFFF"/>
        <w:adjustRightInd/>
        <w:snapToGrid/>
        <w:spacing w:after="0" w:line="576" w:lineRule="atLeast"/>
        <w:ind w:firstLine="640"/>
        <w:jc w:val="both"/>
        <w:rPr>
          <w:rFonts w:ascii="Calibri" w:eastAsia="宋体" w:hAnsi="Calibri" w:cs="宋体"/>
          <w:color w:val="333333"/>
          <w:sz w:val="21"/>
          <w:szCs w:val="21"/>
        </w:rPr>
      </w:pPr>
      <w:r w:rsidRPr="00BE32B8">
        <w:rPr>
          <w:rFonts w:ascii="宋体" w:eastAsia="宋体" w:hAnsi="宋体" w:cs="宋体" w:hint="eastAsia"/>
          <w:color w:val="333333"/>
          <w:sz w:val="32"/>
          <w:szCs w:val="32"/>
        </w:rPr>
        <w:t> </w:t>
      </w:r>
    </w:p>
    <w:p w:rsidR="00BE32B8" w:rsidRPr="00BE32B8" w:rsidRDefault="00BE32B8" w:rsidP="00BE32B8">
      <w:pPr>
        <w:shd w:val="clear" w:color="auto" w:fill="FFFFFF"/>
        <w:adjustRightInd/>
        <w:snapToGrid/>
        <w:spacing w:after="0" w:line="576" w:lineRule="atLeast"/>
        <w:ind w:firstLine="640"/>
        <w:jc w:val="right"/>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                            </w:t>
      </w:r>
      <w:r w:rsidRPr="00BE32B8">
        <w:rPr>
          <w:rFonts w:ascii="仿宋_GB2312" w:eastAsia="仿宋_GB2312" w:hAnsi="Calibri" w:cs="宋体" w:hint="eastAsia"/>
          <w:color w:val="333333"/>
          <w:sz w:val="32"/>
          <w:szCs w:val="32"/>
        </w:rPr>
        <w:t>湘潭市农业农村局</w:t>
      </w:r>
    </w:p>
    <w:p w:rsidR="00BE32B8" w:rsidRPr="00BE32B8" w:rsidRDefault="00BE32B8" w:rsidP="00BE32B8">
      <w:pPr>
        <w:shd w:val="clear" w:color="auto" w:fill="FFFFFF"/>
        <w:adjustRightInd/>
        <w:snapToGrid/>
        <w:spacing w:after="0" w:line="576" w:lineRule="atLeast"/>
        <w:ind w:firstLine="640"/>
        <w:jc w:val="right"/>
        <w:rPr>
          <w:rFonts w:ascii="Calibri" w:eastAsia="宋体" w:hAnsi="Calibri" w:cs="宋体"/>
          <w:color w:val="333333"/>
          <w:sz w:val="21"/>
          <w:szCs w:val="21"/>
        </w:rPr>
      </w:pPr>
      <w:r w:rsidRPr="00BE32B8">
        <w:rPr>
          <w:rFonts w:ascii="仿宋_GB2312" w:eastAsia="仿宋_GB2312" w:hAnsi="Calibri" w:cs="宋体" w:hint="eastAsia"/>
          <w:color w:val="333333"/>
          <w:sz w:val="32"/>
          <w:szCs w:val="32"/>
        </w:rPr>
        <w:t>                             </w:t>
      </w:r>
      <w:r w:rsidRPr="00BE32B8">
        <w:rPr>
          <w:rFonts w:ascii="宋体" w:eastAsia="宋体" w:hAnsi="宋体" w:cs="宋体" w:hint="eastAsia"/>
          <w:color w:val="333333"/>
          <w:sz w:val="32"/>
          <w:szCs w:val="32"/>
        </w:rPr>
        <w:t>2022</w:t>
      </w:r>
      <w:r w:rsidRPr="00BE32B8">
        <w:rPr>
          <w:rFonts w:ascii="仿宋_GB2312" w:eastAsia="仿宋_GB2312" w:hAnsi="Calibri" w:cs="宋体" w:hint="eastAsia"/>
          <w:color w:val="333333"/>
          <w:sz w:val="32"/>
          <w:szCs w:val="32"/>
        </w:rPr>
        <w:t>年</w:t>
      </w:r>
      <w:r w:rsidRPr="00BE32B8">
        <w:rPr>
          <w:rFonts w:ascii="宋体" w:eastAsia="宋体" w:hAnsi="宋体" w:cs="宋体" w:hint="eastAsia"/>
          <w:color w:val="333333"/>
          <w:sz w:val="32"/>
          <w:szCs w:val="32"/>
        </w:rPr>
        <w:t>3</w:t>
      </w:r>
      <w:r w:rsidRPr="00BE32B8">
        <w:rPr>
          <w:rFonts w:ascii="仿宋_GB2312" w:eastAsia="仿宋_GB2312" w:hAnsi="Calibri" w:cs="宋体" w:hint="eastAsia"/>
          <w:color w:val="333333"/>
          <w:sz w:val="32"/>
          <w:szCs w:val="32"/>
        </w:rPr>
        <w:t>月</w:t>
      </w:r>
      <w:r w:rsidRPr="00BE32B8">
        <w:rPr>
          <w:rFonts w:ascii="宋体" w:eastAsia="宋体" w:hAnsi="宋体" w:cs="宋体" w:hint="eastAsia"/>
          <w:color w:val="333333"/>
          <w:sz w:val="32"/>
          <w:szCs w:val="32"/>
        </w:rPr>
        <w:t>30</w:t>
      </w:r>
      <w:r w:rsidRPr="00BE32B8">
        <w:rPr>
          <w:rFonts w:ascii="仿宋_GB2312" w:eastAsia="仿宋_GB2312" w:hAnsi="Calibri" w:cs="宋体" w:hint="eastAsia"/>
          <w:color w:val="333333"/>
          <w:sz w:val="32"/>
          <w:szCs w:val="32"/>
        </w:rPr>
        <w:t>日</w:t>
      </w:r>
    </w:p>
    <w:p w:rsidR="00BE32B8" w:rsidRDefault="00BE32B8" w:rsidP="00BE32B8">
      <w:pPr>
        <w:shd w:val="clear" w:color="auto" w:fill="FFFFFF"/>
        <w:adjustRightInd/>
        <w:snapToGrid/>
        <w:spacing w:before="100" w:beforeAutospacing="1" w:after="0"/>
        <w:rPr>
          <w:rFonts w:ascii="宋体" w:eastAsia="宋体" w:hAnsi="宋体" w:cs="宋体" w:hint="eastAsia"/>
          <w:color w:val="333333"/>
          <w:sz w:val="24"/>
          <w:szCs w:val="24"/>
        </w:rPr>
      </w:pPr>
      <w:r w:rsidRPr="00BE32B8">
        <w:rPr>
          <w:rFonts w:ascii="黑体" w:eastAsia="黑体" w:hAnsi="黑体" w:cs="宋体" w:hint="eastAsia"/>
          <w:color w:val="333333"/>
          <w:sz w:val="32"/>
          <w:szCs w:val="32"/>
        </w:rPr>
        <w:br w:type="textWrapping" w:clear="all"/>
      </w:r>
    </w:p>
    <w:p w:rsidR="00BE32B8" w:rsidRDefault="00BE32B8" w:rsidP="00BE32B8">
      <w:pPr>
        <w:shd w:val="clear" w:color="auto" w:fill="FFFFFF"/>
        <w:adjustRightInd/>
        <w:snapToGrid/>
        <w:spacing w:before="100" w:beforeAutospacing="1" w:after="0"/>
        <w:rPr>
          <w:rFonts w:ascii="宋体" w:eastAsia="宋体" w:hAnsi="宋体" w:cs="宋体" w:hint="eastAsia"/>
          <w:color w:val="333333"/>
          <w:sz w:val="24"/>
          <w:szCs w:val="24"/>
        </w:rPr>
      </w:pPr>
    </w:p>
    <w:p w:rsidR="00BE32B8" w:rsidRDefault="00BE32B8" w:rsidP="00BE32B8">
      <w:pPr>
        <w:shd w:val="clear" w:color="auto" w:fill="FFFFFF"/>
        <w:adjustRightInd/>
        <w:snapToGrid/>
        <w:spacing w:before="100" w:beforeAutospacing="1" w:after="0"/>
        <w:rPr>
          <w:rFonts w:ascii="宋体" w:eastAsia="宋体" w:hAnsi="宋体" w:cs="宋体" w:hint="eastAsia"/>
          <w:color w:val="333333"/>
          <w:sz w:val="24"/>
          <w:szCs w:val="24"/>
        </w:rPr>
      </w:pPr>
    </w:p>
    <w:p w:rsidR="00BE32B8" w:rsidRPr="00BE32B8" w:rsidRDefault="00BE32B8" w:rsidP="00BE32B8">
      <w:pPr>
        <w:shd w:val="clear" w:color="auto" w:fill="FFFFFF"/>
        <w:adjustRightInd/>
        <w:snapToGrid/>
        <w:spacing w:before="100" w:beforeAutospacing="1" w:after="0"/>
        <w:rPr>
          <w:rFonts w:ascii="宋体" w:eastAsia="宋体" w:hAnsi="宋体" w:cs="宋体"/>
          <w:color w:val="333333"/>
          <w:sz w:val="24"/>
          <w:szCs w:val="24"/>
        </w:rPr>
      </w:pPr>
    </w:p>
    <w:p w:rsidR="00BE32B8" w:rsidRPr="00BE32B8" w:rsidRDefault="00BE32B8" w:rsidP="00BE32B8">
      <w:pPr>
        <w:shd w:val="clear" w:color="auto" w:fill="FFFFFF"/>
        <w:adjustRightInd/>
        <w:snapToGrid/>
        <w:spacing w:after="0" w:line="576" w:lineRule="atLeast"/>
        <w:jc w:val="both"/>
        <w:rPr>
          <w:rFonts w:ascii="Calibri" w:eastAsia="宋体" w:hAnsi="Calibri" w:cs="宋体"/>
          <w:color w:val="333333"/>
          <w:sz w:val="21"/>
          <w:szCs w:val="21"/>
        </w:rPr>
      </w:pPr>
      <w:r w:rsidRPr="00BE32B8">
        <w:rPr>
          <w:rFonts w:ascii="黑体" w:eastAsia="黑体" w:hAnsi="黑体" w:cs="宋体" w:hint="eastAsia"/>
          <w:color w:val="333333"/>
          <w:sz w:val="32"/>
          <w:szCs w:val="32"/>
        </w:rPr>
        <w:lastRenderedPageBreak/>
        <w:t>附件</w:t>
      </w:r>
    </w:p>
    <w:p w:rsidR="00BE32B8" w:rsidRPr="00BE32B8" w:rsidRDefault="00BE32B8" w:rsidP="00BE32B8">
      <w:pPr>
        <w:shd w:val="clear" w:color="auto" w:fill="FFFFFF"/>
        <w:adjustRightInd/>
        <w:snapToGrid/>
        <w:spacing w:after="0" w:line="576" w:lineRule="atLeast"/>
        <w:jc w:val="center"/>
        <w:rPr>
          <w:rFonts w:ascii="Calibri" w:eastAsia="宋体" w:hAnsi="Calibri" w:cs="宋体"/>
          <w:color w:val="333333"/>
          <w:sz w:val="21"/>
          <w:szCs w:val="21"/>
        </w:rPr>
      </w:pPr>
      <w:r w:rsidRPr="00BE32B8">
        <w:rPr>
          <w:rFonts w:ascii="方正小标宋简体" w:eastAsia="方正小标宋简体" w:hAnsi="Calibri" w:cs="宋体" w:hint="eastAsia"/>
          <w:color w:val="333333"/>
          <w:sz w:val="44"/>
          <w:szCs w:val="44"/>
        </w:rPr>
        <w:t>湘潭市农业农村局“首违不罚”事项清单</w:t>
      </w:r>
    </w:p>
    <w:tbl>
      <w:tblPr>
        <w:tblW w:w="15240" w:type="dxa"/>
        <w:jc w:val="center"/>
        <w:tblCellMar>
          <w:top w:w="15" w:type="dxa"/>
          <w:left w:w="15" w:type="dxa"/>
          <w:bottom w:w="15" w:type="dxa"/>
          <w:right w:w="15" w:type="dxa"/>
        </w:tblCellMar>
        <w:tblLook w:val="04A0"/>
      </w:tblPr>
      <w:tblGrid>
        <w:gridCol w:w="794"/>
        <w:gridCol w:w="4662"/>
        <w:gridCol w:w="7021"/>
        <w:gridCol w:w="2763"/>
      </w:tblGrid>
      <w:tr w:rsidR="00BE32B8" w:rsidRPr="00BE32B8" w:rsidTr="00BE32B8">
        <w:trPr>
          <w:trHeight w:val="567"/>
          <w:jc w:val="center"/>
        </w:trPr>
        <w:tc>
          <w:tcPr>
            <w:tcW w:w="7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黑体" w:eastAsia="黑体" w:hAnsi="黑体" w:cs="宋体" w:hint="eastAsia"/>
                <w:color w:val="333333"/>
                <w:sz w:val="24"/>
                <w:szCs w:val="24"/>
              </w:rPr>
              <w:t>序号</w:t>
            </w:r>
          </w:p>
        </w:tc>
        <w:tc>
          <w:tcPr>
            <w:tcW w:w="466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黑体" w:eastAsia="黑体" w:hAnsi="黑体" w:cs="宋体" w:hint="eastAsia"/>
                <w:color w:val="333333"/>
                <w:sz w:val="24"/>
                <w:szCs w:val="24"/>
              </w:rPr>
              <w:t>违法行为及情形</w:t>
            </w:r>
          </w:p>
        </w:tc>
        <w:tc>
          <w:tcPr>
            <w:tcW w:w="702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黑体" w:eastAsia="黑体" w:hAnsi="黑体" w:cs="宋体" w:hint="eastAsia"/>
                <w:color w:val="333333"/>
                <w:sz w:val="24"/>
                <w:szCs w:val="24"/>
              </w:rPr>
              <w:t>涉及法律法规</w:t>
            </w:r>
          </w:p>
        </w:tc>
        <w:tc>
          <w:tcPr>
            <w:tcW w:w="276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黑体" w:eastAsia="黑体" w:hAnsi="黑体" w:cs="宋体" w:hint="eastAsia"/>
                <w:color w:val="333333"/>
                <w:sz w:val="24"/>
                <w:szCs w:val="24"/>
              </w:rPr>
              <w:t>备注</w:t>
            </w:r>
          </w:p>
        </w:tc>
      </w:tr>
      <w:tr w:rsidR="00BE32B8" w:rsidRPr="00BE32B8" w:rsidTr="00BE32B8">
        <w:trPr>
          <w:trHeight w:val="164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取得农药生产许可证的农药生产企业不再符合规定条件继续生产农药的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药管理条例》第五十二条第二款：取得农药生产许可证的农药生产企业不再符合规定条件继续生产农药的，由县级以上地方人民政府农业主管部门责令限期整改；逾期拒不整改或者整改后仍不符合规定条件的，由发证机关吊销农药生产许可证。</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立即自行改正或在行政机关责令改正的期限内改正</w:t>
            </w:r>
          </w:p>
        </w:tc>
      </w:tr>
      <w:tr w:rsidR="00BE32B8" w:rsidRPr="00BE32B8" w:rsidTr="00BE32B8">
        <w:trPr>
          <w:trHeight w:val="164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取得农药经营许可证的农药经营者不再符合规定条件继续经营农药的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药管理条例》第五十五条第三款：取得农药经营许可证的农药经营者不再符合规定条件继续经营农药的，由县级以上地方人民政府农业主管部门责令限期整改；逾期拒不整改或者整改后仍不符合规定条件的，由发证机关吊销农药经营许可证。</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64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3</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农产品生产企业、食品和食用农产品仓储企业、专业化病虫害防治服务组织和从事农产品生产的农民专业合作社等不执行农药使用记录制度的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药管理条例》第六十一条：农产品生产企业、食品和食用农产品仓储企业、专业化病虫害防治服务组织和从事农产品生产的农民专业合作社等不执行农药使用记录制度的，由县级人民政府农业主管部门责令改正；拒不改正或者情节严重的，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204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4</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农药经营者不执行农药采购台账、销售台账制度</w:t>
            </w:r>
            <w:r w:rsidRPr="00BE32B8">
              <w:rPr>
                <w:rFonts w:ascii="宋体" w:eastAsia="宋体" w:hAnsi="宋体" w:cs="宋体" w:hint="eastAsia"/>
                <w:color w:val="333333"/>
                <w:sz w:val="24"/>
                <w:szCs w:val="24"/>
              </w:rPr>
              <w:t>;</w:t>
            </w:r>
            <w:r w:rsidRPr="00BE32B8">
              <w:rPr>
                <w:rFonts w:ascii="仿宋_GB2312" w:eastAsia="仿宋_GB2312" w:hAnsi="Calibri" w:cs="宋体" w:hint="eastAsia"/>
                <w:color w:val="333333"/>
                <w:sz w:val="24"/>
                <w:szCs w:val="24"/>
              </w:rPr>
              <w:t>未将卫生用农药与其他商品分柜销售的</w:t>
            </w:r>
            <w:r w:rsidRPr="00BE32B8">
              <w:rPr>
                <w:rFonts w:ascii="宋体" w:eastAsia="宋体" w:hAnsi="宋体" w:cs="宋体" w:hint="eastAsia"/>
                <w:color w:val="333333"/>
                <w:sz w:val="24"/>
                <w:szCs w:val="24"/>
              </w:rPr>
              <w:t>;</w:t>
            </w:r>
            <w:r w:rsidRPr="00BE32B8">
              <w:rPr>
                <w:rFonts w:ascii="仿宋_GB2312" w:eastAsia="仿宋_GB2312" w:hAnsi="Calibri" w:cs="宋体" w:hint="eastAsia"/>
                <w:color w:val="333333"/>
                <w:sz w:val="24"/>
                <w:szCs w:val="24"/>
              </w:rPr>
              <w:t>不履行农药废弃物回收义务的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《农药管理条例》第五十八条：农药经营者有下列行为之一的，由县级以上地方人民政府农业主管部门责令改正；拒不改正或者情节严重的，处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万元以下罚款，并由发证机关吊销农药经营许可证：（一）不执行农药采购台账、销售台账制度。（三）未将卫生用农药与其他商品分柜销售；（四）不履行农药废弃物回收义务。</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41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5</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销售的农产品未按照规定进行包装、标识的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《中华人民共和国农产品质量安全法》第四十八条：违反本法第二十八条规定，销售的农产品未按照规定进行包装、标识的，责令限期改正；逾期不改正的，可以处二千元以下罚款。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41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6</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农产品生产企业、农民专业合作经济组织未建立或者未按照规定保存农产品生产记录的，或者伪造农产品生产记录的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农产品质量安全法》第四十七条：农产品生产企业、农民专业合作经济组织未建立或者未按照规定保存农产品生产记录的，或者伪造农产品生产记录的，责令限期改正；逾期不改正的，可以处二千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98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7</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专业化病虫害防治服务组织未按规定建立或者保存服务档案的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《农作物病虫害防治条例》第四十二条第一款第三项：专业化病虫害防治服务组织有下列行为之一的，由县级以上人民政府农业农村主管部门责令改正；拒不改正或者情节严重的，处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万元以下罚款；造成损失的，依法承担赔偿责任：</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（三）未按规定建立或者保存服务档案；</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204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8</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专业化病虫害防治服务组织未为田间作业人员配备必要的防护用品的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《农作物病虫害防治条例》第四十二条第一款第四项：专业化病虫害防治服务组织有下列行为之一的，由县级以上人民政府农业农村主管部门责令改正；拒不改正或者情节严重的，处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万元以下罚款；造成损失的，依法承担赔偿责任；</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（四）未为田间作业人员配备必要的防护用品。</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未造成危害后果</w:t>
            </w:r>
          </w:p>
        </w:tc>
      </w:tr>
      <w:tr w:rsidR="00BE32B8" w:rsidRPr="00BE32B8" w:rsidTr="00BE32B8">
        <w:trPr>
          <w:trHeight w:val="141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9</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生产经营兽医器械，产品质量不符合要求的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动物防疫法》第一百零七条：违反本法规定，生产经营兽医器械，产品质量不符合要求的，由县级以上地方人民政府农业农村主管部门责令限期整改；情节严重的，责令停业整顿，并处二万元以上十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货值金额不足二千元且未销售的</w:t>
            </w:r>
          </w:p>
        </w:tc>
      </w:tr>
      <w:tr w:rsidR="00BE32B8" w:rsidRPr="00BE32B8" w:rsidTr="00BE32B8">
        <w:trPr>
          <w:trHeight w:val="164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10</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未对犬只接种兽用狂犬病疫苗，拒不改正的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《湖南省实施</w:t>
            </w:r>
            <w:r w:rsidRPr="00BE32B8">
              <w:rPr>
                <w:rFonts w:ascii="宋体" w:eastAsia="宋体" w:hAnsi="宋体" w:cs="宋体" w:hint="eastAsia"/>
                <w:color w:val="333333"/>
                <w:sz w:val="24"/>
                <w:szCs w:val="24"/>
              </w:rPr>
              <w:t>&lt;</w:t>
            </w:r>
            <w:r w:rsidRPr="00BE32B8">
              <w:rPr>
                <w:rFonts w:ascii="仿宋_GB2312" w:eastAsia="仿宋_GB2312" w:hAnsi="Calibri" w:cs="宋体" w:hint="eastAsia"/>
                <w:color w:val="333333"/>
                <w:sz w:val="24"/>
                <w:szCs w:val="24"/>
              </w:rPr>
              <w:t>中华人民共和国动物防疫法</w:t>
            </w:r>
            <w:r w:rsidRPr="00BE32B8">
              <w:rPr>
                <w:rFonts w:ascii="宋体" w:eastAsia="宋体" w:hAnsi="宋体" w:cs="宋体" w:hint="eastAsia"/>
                <w:color w:val="333333"/>
                <w:sz w:val="24"/>
                <w:szCs w:val="24"/>
              </w:rPr>
              <w:t>&gt;</w:t>
            </w:r>
            <w:r w:rsidRPr="00BE32B8">
              <w:rPr>
                <w:rFonts w:ascii="仿宋_GB2312" w:eastAsia="仿宋_GB2312" w:hAnsi="Calibri" w:cs="宋体" w:hint="eastAsia"/>
                <w:color w:val="333333"/>
                <w:sz w:val="24"/>
                <w:szCs w:val="24"/>
              </w:rPr>
              <w:t>办法》第二十二条：违反本办法规定，有下列行为之一的，由动物卫生监督机构责令改正；拒不改正的，按照下列规定予以处理：（一）未对犬只接种兽用狂犬病疫苗的，处二百元以上一千元以下罚款；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98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11</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畜禽交易市场没有按照规定要求实施休市、清洗、消毒，拒不改正的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《湖南省实施</w:t>
            </w:r>
            <w:r w:rsidRPr="00BE32B8">
              <w:rPr>
                <w:rFonts w:ascii="宋体" w:eastAsia="宋体" w:hAnsi="宋体" w:cs="宋体" w:hint="eastAsia"/>
                <w:color w:val="333333"/>
                <w:sz w:val="24"/>
                <w:szCs w:val="24"/>
              </w:rPr>
              <w:t>&lt;</w:t>
            </w:r>
            <w:r w:rsidRPr="00BE32B8">
              <w:rPr>
                <w:rFonts w:ascii="仿宋_GB2312" w:eastAsia="仿宋_GB2312" w:hAnsi="Calibri" w:cs="宋体" w:hint="eastAsia"/>
                <w:color w:val="333333"/>
                <w:sz w:val="24"/>
                <w:szCs w:val="24"/>
              </w:rPr>
              <w:t>中华人民共和国动物防疫法</w:t>
            </w:r>
            <w:r w:rsidRPr="00BE32B8">
              <w:rPr>
                <w:rFonts w:ascii="宋体" w:eastAsia="宋体" w:hAnsi="宋体" w:cs="宋体" w:hint="eastAsia"/>
                <w:color w:val="333333"/>
                <w:sz w:val="24"/>
                <w:szCs w:val="24"/>
              </w:rPr>
              <w:t>&gt;</w:t>
            </w:r>
            <w:r w:rsidRPr="00BE32B8">
              <w:rPr>
                <w:rFonts w:ascii="仿宋_GB2312" w:eastAsia="仿宋_GB2312" w:hAnsi="Calibri" w:cs="宋体" w:hint="eastAsia"/>
                <w:color w:val="333333"/>
                <w:sz w:val="24"/>
                <w:szCs w:val="24"/>
              </w:rPr>
              <w:t>办法》第二十二条：违反本办法规定，有下列行为之一的，由动物卫生监督机构责令改正；拒不改正的，按照下列规定予以处理：（二）畜禽交易市场没有按照本办法要求休市清洗、消毒的，处五千元以上二万元以下罚款；情节严重的，处二万元以上五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36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12</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销售授权品种未使用其注册登记的名称的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《中华人民共和国植物新品种保护条例》（</w:t>
            </w:r>
            <w:r w:rsidRPr="00BE32B8">
              <w:rPr>
                <w:rFonts w:ascii="宋体" w:eastAsia="宋体" w:hAnsi="宋体" w:cs="宋体" w:hint="eastAsia"/>
                <w:color w:val="333333"/>
                <w:sz w:val="24"/>
                <w:szCs w:val="24"/>
              </w:rPr>
              <w:t>2014</w:t>
            </w:r>
            <w:r w:rsidRPr="00BE32B8">
              <w:rPr>
                <w:rFonts w:ascii="仿宋_GB2312" w:eastAsia="仿宋_GB2312" w:hAnsi="Calibri" w:cs="宋体" w:hint="eastAsia"/>
                <w:color w:val="333333"/>
                <w:sz w:val="24"/>
                <w:szCs w:val="24"/>
              </w:rPr>
              <w:t>年国务院令第</w:t>
            </w:r>
            <w:r w:rsidRPr="00BE32B8">
              <w:rPr>
                <w:rFonts w:ascii="宋体" w:eastAsia="宋体" w:hAnsi="宋体" w:cs="宋体" w:hint="eastAsia"/>
                <w:color w:val="333333"/>
                <w:sz w:val="24"/>
                <w:szCs w:val="24"/>
              </w:rPr>
              <w:t>653</w:t>
            </w:r>
            <w:r w:rsidRPr="00BE32B8">
              <w:rPr>
                <w:rFonts w:ascii="仿宋_GB2312" w:eastAsia="仿宋_GB2312" w:hAnsi="Calibri" w:cs="宋体" w:hint="eastAsia"/>
                <w:color w:val="333333"/>
                <w:sz w:val="24"/>
                <w:szCs w:val="24"/>
              </w:rPr>
              <w:t>号修改）第四十二条：销售授权品种未使用其注册登记的名称的，由县级以上人民政府农业、林业行政部门依据各自的职权责令限期改正；可以处</w:t>
            </w:r>
            <w:r w:rsidRPr="00BE32B8">
              <w:rPr>
                <w:rFonts w:ascii="宋体" w:eastAsia="宋体" w:hAnsi="宋体" w:cs="宋体" w:hint="eastAsia"/>
                <w:color w:val="333333"/>
                <w:sz w:val="24"/>
                <w:szCs w:val="24"/>
              </w:rPr>
              <w:t>1000</w:t>
            </w:r>
            <w:r w:rsidRPr="00BE32B8">
              <w:rPr>
                <w:rFonts w:ascii="仿宋_GB2312" w:eastAsia="仿宋_GB2312" w:hAnsi="Calibri" w:cs="宋体" w:hint="eastAsia"/>
                <w:color w:val="333333"/>
                <w:sz w:val="24"/>
                <w:szCs w:val="24"/>
              </w:rPr>
              <w:t>元以下的罚款。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36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13</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农业机械维修者未按规定填写维修记录和报送年度维修情况统计表的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《农业机械维修管理规定》第二十三条：农业机械维修者未按规定填写维修记录和报送年度维修情况统计表的，由农业机械化主管部门给予警告，限期改正；逾期拒不改正的，处</w:t>
            </w:r>
            <w:r w:rsidRPr="00BE32B8">
              <w:rPr>
                <w:rFonts w:ascii="宋体" w:eastAsia="宋体" w:hAnsi="宋体" w:cs="宋体" w:hint="eastAsia"/>
                <w:color w:val="333333"/>
                <w:sz w:val="24"/>
                <w:szCs w:val="24"/>
              </w:rPr>
              <w:t>100</w:t>
            </w:r>
            <w:r w:rsidRPr="00BE32B8">
              <w:rPr>
                <w:rFonts w:ascii="仿宋_GB2312" w:eastAsia="仿宋_GB2312" w:hAnsi="Calibri" w:cs="宋体" w:hint="eastAsia"/>
                <w:color w:val="333333"/>
                <w:sz w:val="24"/>
                <w:szCs w:val="24"/>
              </w:rPr>
              <w:t>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98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14</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跨区作业中介服务组织不配备相应的服务设施和技术人员，没有兑现服务承诺，只收费不服务或者多收费少服务的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联合收割机跨区作业管理办法》第二十八条：跨区作业中介服务组织不配备相应的服务设施和技术人员，没有兑现服务承诺，只收费不服务或者多收费少服务的，由县级以上农机管理部门给予警告，责令退还服务费，可并处</w:t>
            </w:r>
            <w:r w:rsidRPr="00BE32B8">
              <w:rPr>
                <w:rFonts w:ascii="宋体" w:eastAsia="宋体" w:hAnsi="宋体" w:cs="宋体" w:hint="eastAsia"/>
                <w:color w:val="333333"/>
                <w:sz w:val="24"/>
                <w:szCs w:val="24"/>
              </w:rPr>
              <w:t>500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1000</w:t>
            </w:r>
            <w:r w:rsidRPr="00BE32B8">
              <w:rPr>
                <w:rFonts w:ascii="仿宋_GB2312" w:eastAsia="仿宋_GB2312" w:hAnsi="Calibri" w:cs="宋体" w:hint="eastAsia"/>
                <w:color w:val="333333"/>
                <w:sz w:val="24"/>
                <w:szCs w:val="24"/>
              </w:rPr>
              <w:t>元以下的罚款；违反有关收费标准的，由县级以上农机管理部门配合价格主管部门依法查处。</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4082"/>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15</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对饲养的动物未按照动物疫病强制免疫计划或者免疫技术规范实施免疫接种的；对饲养的种用、乳用动物未按照国务院农业农村主管部门的要求定期开展疫病检测，或者经检测不合格而未按照规定处理的；对饲养的犬只未按照规定定期进行狂犬病免疫接种的；动物、动物产品的运载工具在装载前和卸载后未按照规定及时清洗、消毒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动物防疫法》第九十二条：违反本法规定，有下列行为之一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费用由违法行为人承担。（一）对饲养的动物未按照动物疫病强制免疫计划或者免疫技术规范实施免疫接种的；（二）对饲养的种用、乳用动物未按照国务院农业农村主管部门的要求定期开展疫病检测，或者经检测不合格而未按照规定处理的；（三）对饲养的犬只未按照规定定期进行狂犬病免疫接种的；（四）动物、动物产品的运载工具在装载前和卸载后未按照规定及时清洗、消毒的。</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81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16</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动物、动物产品的运载工具、垫料、包装物、容器等不符合国务院农业农村主管部门规定的动物防疫要求的</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动物防疫法》第九十四条：违反本法规定，动物、动物产品的运载工具、垫料、包装物、容器等不符合国务院农业农村主管部门规定的动物防疫要求的，由县级以上地方人民政府农业农村主管部门责令改正，可以处五千元以下罚款；情节严重的，处五千元以上五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未造成危害后果的</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2438"/>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17</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对染疫动物及其排泄物、染疫动物产品或者被染疫动物、动物产品污染的运载工具、垫料、包装物、容器等未按照规定处置的</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动物防疫法》第九十五条：违反本法规定，对染疫动物及其排泄物、染疫动物产品或者被染疫动物、动物产品污染的运载工具、垫料、包装物、容器等未按照规定处置的，由县级以上地方人民政府农业农村主管部门责令限期处理；逾期不处理的，由县级以上地方人民政府农业农村主管部门委托有关单位代为处理，所需费用由违法行为人承担，处五千元以上五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332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18</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动物诊疗机构变更机构名称或者法定代表人未办理变更手续；未在诊疗场所悬挂动物诊疗许可证或者公示从业人员基本情况；不使用病历，或应当开具处方未开具处方；使用不规范的病历、处方笺的</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动物诊疗机构管理办法》第三十二条：违反《动物诊疗机构管理办法》规定，动物诊疗机构有下列情形之一的，由动物卫生监督机构给予警告，责令限期改正；拒不改正或者再次出现同类违法行为的，处以一千元以下罚款：（一）变更机构名称或者法定代表人未办理变更手续的；（二）未在诊疗场所悬挂动物诊疗许可证或者公示从业人员基本情况的；（三）不使用病历，或者应当开具处方未开具处方的；（四）使用不规范的病历、处方笺的。</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332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19</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不使用病历，或者应当开具处方未开具处方；执业兽医师在动物诊活动中使用不规范的处方笺、病历册，或者未在处方笺、病历册上签名；执业兽医师中未经亲自诊断、治疗，开具处方药、填写诊断书、出具有关证明文件；执业兽医师伪造诊断结果，出具虚假证明文件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《执业兽医管理办法》第三十五条：执业兽医师在动物诊疗活动中有下列情形之一的，由动物卫生监督机构给予警告，责令限期改正；拒不改正或者再次出现同类违法行为的，处</w:t>
            </w:r>
            <w:r w:rsidRPr="00BE32B8">
              <w:rPr>
                <w:rFonts w:ascii="宋体" w:eastAsia="宋体" w:hAnsi="宋体" w:cs="宋体" w:hint="eastAsia"/>
                <w:color w:val="333333"/>
                <w:sz w:val="24"/>
                <w:szCs w:val="24"/>
              </w:rPr>
              <w:t>1000</w:t>
            </w:r>
            <w:r w:rsidRPr="00BE32B8">
              <w:rPr>
                <w:rFonts w:ascii="仿宋_GB2312" w:eastAsia="仿宋_GB2312" w:hAnsi="Calibri" w:cs="宋体" w:hint="eastAsia"/>
                <w:color w:val="333333"/>
                <w:sz w:val="24"/>
                <w:szCs w:val="24"/>
              </w:rPr>
              <w:t>元以下罚款：（一）不使用病历，或者应当开具处方未开具处方的；（二）使用不规范的处方笺、病历册，或者未在处方笺、病历册上签名的；（三）未经亲自诊断、治疗，开具处方药、填写诊断书、出具有关证明文件的；（四）伪造诊断结果，出具虚假证明文件的。</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58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20</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破坏耕作层土壤或未按照耕作层土壤再利用方案的要求剥离耕作层土壤的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《湖南省耕地质量管理条例》第三十一条：违反本条例第十九条、第二十三条第一款规定的，由县级以上人民政府农业行政主管部门责令限期改正；逾期不改正的，处以被占用耕地每平方米</w:t>
            </w:r>
            <w:r w:rsidRPr="00BE32B8">
              <w:rPr>
                <w:rFonts w:ascii="宋体" w:eastAsia="宋体" w:hAnsi="宋体" w:cs="宋体" w:hint="eastAsia"/>
                <w:color w:val="333333"/>
                <w:sz w:val="24"/>
                <w:szCs w:val="24"/>
              </w:rPr>
              <w:t>10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30</w:t>
            </w:r>
            <w:r w:rsidRPr="00BE32B8">
              <w:rPr>
                <w:rFonts w:ascii="仿宋_GB2312" w:eastAsia="仿宋_GB2312" w:hAnsi="Calibri" w:cs="宋体" w:hint="eastAsia"/>
                <w:color w:val="333333"/>
                <w:sz w:val="24"/>
                <w:szCs w:val="24"/>
              </w:rPr>
              <w:t>元以下的罚款。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破坏耕作层土壤涉及耕地面积一百平方米以下的</w:t>
            </w:r>
          </w:p>
        </w:tc>
      </w:tr>
      <w:tr w:rsidR="00BE32B8" w:rsidRPr="00BE32B8" w:rsidTr="00BE32B8">
        <w:trPr>
          <w:trHeight w:val="2551"/>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21</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未遵守兽药经营质量管理规范从事兽药经营活动的行为</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兽药管理条例》第二十五条：兽药经营企业，应当遵守国务院兽医行政管理部门制定的兽药经营质量管理规范。第五十九条第一款：违反本条例规定，兽药安全性评价单位、临床试验单位、生产和经营企业未按照规定实施兽药研究试验、生产、经营质量管理规范的，给予警告，责令其限期改正；逾期不改正的，责令停止兽药研究试验、生产、经营活动，并处</w:t>
            </w:r>
            <w:r w:rsidRPr="00BE32B8">
              <w:rPr>
                <w:rFonts w:ascii="宋体" w:eastAsia="宋体" w:hAnsi="宋体" w:cs="宋体" w:hint="eastAsia"/>
                <w:color w:val="333333"/>
                <w:sz w:val="24"/>
                <w:szCs w:val="24"/>
              </w:rPr>
              <w:t>5</w:t>
            </w:r>
            <w:r w:rsidRPr="00BE32B8">
              <w:rPr>
                <w:rFonts w:ascii="仿宋_GB2312" w:eastAsia="仿宋_GB2312" w:hAnsi="Calibri" w:cs="宋体" w:hint="eastAsia"/>
                <w:color w:val="333333"/>
                <w:sz w:val="24"/>
                <w:szCs w:val="24"/>
              </w:rPr>
              <w:t>万元以下罚款；情节严重的，吊销兽药生产许可证、兽药经营许可证；给他人造成损失的，依法承担赔偿责任。</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56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22</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兽药的标签和说明书未经批准的行为；兽药包装上未附有标签和说明书，或者标签</w:t>
            </w:r>
            <w:r w:rsidRPr="00BE32B8">
              <w:rPr>
                <w:rFonts w:ascii="仿宋_GB2312" w:eastAsia="仿宋_GB2312" w:hAnsi="Calibri" w:cs="宋体" w:hint="eastAsia"/>
                <w:color w:val="333333"/>
                <w:sz w:val="24"/>
                <w:szCs w:val="24"/>
              </w:rPr>
              <w:lastRenderedPageBreak/>
              <w:t>和说明书与批准的内容不一致的行为</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lastRenderedPageBreak/>
              <w:t>《兽药管理条例》第六十条：违反本条例规定，兽药的标签和说明书未经批准的，兽药包装上未附有标签和说明书，或者标签和</w:t>
            </w:r>
            <w:r w:rsidRPr="00BE32B8">
              <w:rPr>
                <w:rFonts w:ascii="仿宋_GB2312" w:eastAsia="仿宋_GB2312" w:hAnsi="Calibri" w:cs="宋体" w:hint="eastAsia"/>
                <w:color w:val="333333"/>
                <w:sz w:val="24"/>
                <w:szCs w:val="24"/>
              </w:rPr>
              <w:lastRenderedPageBreak/>
              <w:t>说明书与批准的内容不一致的，责令其限期改正；逾期不改正的，按照生产、经营假兽药处罚；有兽药产品批准文号的，撤销兽药产品批准文号；给他人造成损失的，依法承担赔偿责任。</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 </w:t>
            </w:r>
          </w:p>
        </w:tc>
      </w:tr>
      <w:tr w:rsidR="00BE32B8" w:rsidRPr="00BE32B8" w:rsidTr="00BE32B8">
        <w:trPr>
          <w:trHeight w:val="56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23</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畜禽养殖场未建立养殖档案或未按照规定保存养殖档案的行为：对经强制免疫的动物未按照规定建立免疫档案的行为</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畜牧法》第六十六条：违反本法第四十一条规定，畜禽养殖场未建立养殖档案的，或者未按照规定保存养殖档案的，由县级以上人民政府畜牧兽医行政主管部门责令限期改正，可以处一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3118"/>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24</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销售的种畜禽未附具种畜禽合格证明、检疫合格证明、家畜系谱的，销售、收购国务院畜牧兽医行政主管部门规定应当加施标识而没有标识的畜禽的，或者重复使用畜禽标识的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《中华人民共和国畜牧法》第二十九条：销售的种畜禽和家畜配种站</w:t>
            </w:r>
            <w:r w:rsidRPr="00BE32B8">
              <w:rPr>
                <w:rFonts w:ascii="宋体" w:eastAsia="宋体" w:hAnsi="宋体" w:cs="宋体" w:hint="eastAsia"/>
                <w:color w:val="333333"/>
                <w:sz w:val="24"/>
                <w:szCs w:val="24"/>
              </w:rPr>
              <w:t>(</w:t>
            </w:r>
            <w:r w:rsidRPr="00BE32B8">
              <w:rPr>
                <w:rFonts w:ascii="仿宋_GB2312" w:eastAsia="仿宋_GB2312" w:hAnsi="Calibri" w:cs="宋体" w:hint="eastAsia"/>
                <w:color w:val="333333"/>
                <w:sz w:val="24"/>
                <w:szCs w:val="24"/>
              </w:rPr>
              <w:t>点</w:t>
            </w:r>
            <w:r w:rsidRPr="00BE32B8">
              <w:rPr>
                <w:rFonts w:ascii="宋体" w:eastAsia="宋体" w:hAnsi="宋体" w:cs="宋体" w:hint="eastAsia"/>
                <w:color w:val="333333"/>
                <w:sz w:val="24"/>
                <w:szCs w:val="24"/>
              </w:rPr>
              <w:t>)</w:t>
            </w:r>
            <w:r w:rsidRPr="00BE32B8">
              <w:rPr>
                <w:rFonts w:ascii="仿宋_GB2312" w:eastAsia="仿宋_GB2312" w:hAnsi="Calibri" w:cs="宋体" w:hint="eastAsia"/>
                <w:color w:val="333333"/>
                <w:sz w:val="24"/>
                <w:szCs w:val="24"/>
              </w:rPr>
              <w:t>使用的种公畜，必须符合种用标准。销售种畜禽时，应当附具种畜禽场出具的种畜禽合格证明、动物防疫监督机构出具的检疫合格证明，销售的种畜还应当附具种畜禽场出具的家畜系谱。第六十八条第一款：违反本法有关规定，销售的种畜禽未附具种畜禽合格证明、检疫合格证明、家畜系谱的，销售、收购国务院畜牧兽医行政主管部门规定应当加施标识而没有标识的畜禽的，或者重复使用畜禽标识的，由县级以上地方人民政府畜牧兽医行政主管部门或者工商行政管理部门责令改正，可以处二千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销售的种畜禽仅未附具家畜系谱，其它种畜禽合格证明、检疫合格证明等手续齐全的</w:t>
            </w:r>
          </w:p>
        </w:tc>
      </w:tr>
      <w:tr w:rsidR="00BE32B8" w:rsidRPr="00BE32B8" w:rsidTr="00BE32B8">
        <w:trPr>
          <w:trHeight w:val="158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25</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销售的饲料、饲料添加剂未附具产品质量检验合格证或者包装、标签不符合规定的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饲料和饲料添加剂管理条例》第四十一条第二款：饲料、饲料添加剂生产企业销售的饲料、饲料添加剂未附具产品质量检验合格证或者包装、标签不符合规定的，由县级以上地方人民政府饲料管理部门责令改正；情节严重的，没收违法所得和违法销售的产品，可以处违法销售的产品货值金额</w:t>
            </w:r>
            <w:r w:rsidRPr="00BE32B8">
              <w:rPr>
                <w:rFonts w:ascii="宋体" w:eastAsia="宋体" w:hAnsi="宋体" w:cs="宋体" w:hint="eastAsia"/>
                <w:color w:val="333333"/>
                <w:sz w:val="24"/>
                <w:szCs w:val="24"/>
              </w:rPr>
              <w:t>30%</w:t>
            </w:r>
            <w:r w:rsidRPr="00BE32B8">
              <w:rPr>
                <w:rFonts w:ascii="仿宋_GB2312" w:eastAsia="仿宋_GB2312" w:hAnsi="Calibri" w:cs="宋体" w:hint="eastAsia"/>
                <w:color w:val="333333"/>
                <w:sz w:val="24"/>
                <w:szCs w:val="24"/>
              </w:rPr>
              <w:t>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3458"/>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26</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不符合《饲料和饲料添加剂管理条例》第二十二条规定的条件经营饲料、饲料添加剂的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饲料和饲料添加剂管理条例》第四十二条：不符合本条例第二十二条规定的条件经营饲料、饲料添加剂的，由县级人民政府饲料管理部门责令限期改正；逾期不改正的，没收违法所得和违法经营的产品，违法经营的产品货值金额不足</w:t>
            </w:r>
            <w:r w:rsidRPr="00BE32B8">
              <w:rPr>
                <w:rFonts w:ascii="宋体" w:eastAsia="宋体" w:hAnsi="宋体" w:cs="宋体" w:hint="eastAsia"/>
                <w:color w:val="333333"/>
                <w:sz w:val="24"/>
                <w:szCs w:val="24"/>
              </w:rPr>
              <w:t>1</w:t>
            </w:r>
            <w:r w:rsidRPr="00BE32B8">
              <w:rPr>
                <w:rFonts w:ascii="仿宋_GB2312" w:eastAsia="仿宋_GB2312" w:hAnsi="Calibri" w:cs="宋体" w:hint="eastAsia"/>
                <w:color w:val="333333"/>
                <w:sz w:val="24"/>
                <w:szCs w:val="24"/>
              </w:rPr>
              <w:t>万元的，并处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万元以下罚款，货值金额</w:t>
            </w:r>
            <w:r w:rsidRPr="00BE32B8">
              <w:rPr>
                <w:rFonts w:ascii="宋体" w:eastAsia="宋体" w:hAnsi="宋体" w:cs="宋体" w:hint="eastAsia"/>
                <w:color w:val="333333"/>
                <w:sz w:val="24"/>
                <w:szCs w:val="24"/>
              </w:rPr>
              <w:t>1</w:t>
            </w:r>
            <w:r w:rsidRPr="00BE32B8">
              <w:rPr>
                <w:rFonts w:ascii="仿宋_GB2312" w:eastAsia="仿宋_GB2312" w:hAnsi="Calibri" w:cs="宋体" w:hint="eastAsia"/>
                <w:color w:val="333333"/>
                <w:sz w:val="24"/>
                <w:szCs w:val="24"/>
              </w:rPr>
              <w:t>万元以上的，并处货值金额</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倍以上</w:t>
            </w:r>
            <w:r w:rsidRPr="00BE32B8">
              <w:rPr>
                <w:rFonts w:ascii="宋体" w:eastAsia="宋体" w:hAnsi="宋体" w:cs="宋体" w:hint="eastAsia"/>
                <w:color w:val="333333"/>
                <w:sz w:val="24"/>
                <w:szCs w:val="24"/>
              </w:rPr>
              <w:t>5</w:t>
            </w:r>
            <w:r w:rsidRPr="00BE32B8">
              <w:rPr>
                <w:rFonts w:ascii="仿宋_GB2312" w:eastAsia="仿宋_GB2312" w:hAnsi="Calibri" w:cs="宋体" w:hint="eastAsia"/>
                <w:color w:val="333333"/>
                <w:sz w:val="24"/>
                <w:szCs w:val="24"/>
              </w:rPr>
              <w:t>倍以下罚款；情节严重的，责令停止经营，并通知工商行政管理部门，由工商行政管理部门吊销营业执照。《饲料和饲料添加剂管理条例》第二十二条：饲料、饲料添加剂经营者应当符合下列条件：（一）有与经营饲料、饲料添加剂相适应的经营场所和仓储设施；（二）有具备饲料、饲料添加剂使用、贮存等知识的技术人员；（三）有必要的产品质量管理和安全管理制度。</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56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27</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不按照国家有关规定使用农药、兽药、饲料和饲料添加剂等农业生产行为造成农业环境污染事故的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农业环境保护条例》第三十三条：违反本条规定，造成农业环境污染事故，对单位或者个人造成直接损失的，应当依法赔偿；属于不按照国家有关规定使用农药、兽药、饲料和饲料添加剂等农业生产行例为造成农业环境污染事故的，由农业行政主管部门给予警告，责令限期治理，根据所造成的危害后果，可以处</w:t>
            </w:r>
            <w:r w:rsidRPr="00BE32B8">
              <w:rPr>
                <w:rFonts w:ascii="宋体" w:eastAsia="宋体" w:hAnsi="宋体" w:cs="宋体" w:hint="eastAsia"/>
                <w:color w:val="333333"/>
                <w:sz w:val="24"/>
                <w:szCs w:val="24"/>
              </w:rPr>
              <w:t>3</w:t>
            </w:r>
            <w:r w:rsidRPr="00BE32B8">
              <w:rPr>
                <w:rFonts w:ascii="仿宋_GB2312" w:eastAsia="仿宋_GB2312" w:hAnsi="Calibri" w:cs="宋体" w:hint="eastAsia"/>
                <w:color w:val="333333"/>
                <w:sz w:val="24"/>
                <w:szCs w:val="24"/>
              </w:rPr>
              <w:t>万元以下的罚款。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污染范围不足二百平方米的或者未造成损失的</w:t>
            </w:r>
          </w:p>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56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28</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未按照规定制作和保存生产经营外来物种档案的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0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《湖南省外来物种管理条例》第三十二条第二项：违反本条例规定，有下列行为之一的，由县级以上人民政府农业、林业或者卫生行政主管部门按照各自职权责令改正，可以处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1</w:t>
            </w:r>
            <w:r w:rsidRPr="00BE32B8">
              <w:rPr>
                <w:rFonts w:ascii="仿宋_GB2312" w:eastAsia="仿宋_GB2312" w:hAnsi="Calibri" w:cs="宋体" w:hint="eastAsia"/>
                <w:color w:val="333333"/>
                <w:sz w:val="24"/>
                <w:szCs w:val="24"/>
              </w:rPr>
              <w:t>万元以下的罚款：（二）未按照规定制作和保存生产经营外来物种档案的。</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 </w:t>
            </w:r>
          </w:p>
        </w:tc>
      </w:tr>
      <w:tr w:rsidR="00BE32B8" w:rsidRPr="00BE32B8" w:rsidTr="00BE32B8">
        <w:trPr>
          <w:trHeight w:val="1587"/>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lastRenderedPageBreak/>
              <w:t>29</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违反规定发布外来物种信息或者监测数据的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《湖南省外来物种管理条例》第三十三条：违反本条例规定，发布外来物种信息或者监测数据的，由县级以上人民政府农业行政主管部门责令停止违法行为；造成严重后果的，可以处</w:t>
            </w:r>
            <w:r w:rsidRPr="00BE32B8">
              <w:rPr>
                <w:rFonts w:ascii="宋体" w:eastAsia="宋体" w:hAnsi="宋体" w:cs="宋体" w:hint="eastAsia"/>
                <w:color w:val="333333"/>
                <w:sz w:val="24"/>
                <w:szCs w:val="24"/>
              </w:rPr>
              <w:t>1000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1</w:t>
            </w:r>
            <w:r w:rsidRPr="00BE32B8">
              <w:rPr>
                <w:rFonts w:ascii="仿宋_GB2312" w:eastAsia="仿宋_GB2312" w:hAnsi="Calibri" w:cs="宋体" w:hint="eastAsia"/>
                <w:color w:val="333333"/>
                <w:sz w:val="24"/>
                <w:szCs w:val="24"/>
              </w:rPr>
              <w:t>万元以下的罚款。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未造成危害后果</w:t>
            </w:r>
          </w:p>
        </w:tc>
      </w:tr>
      <w:tr w:rsidR="00BE32B8" w:rsidRPr="00BE32B8" w:rsidTr="00BE32B8">
        <w:trPr>
          <w:trHeight w:val="2154"/>
          <w:jc w:val="center"/>
        </w:trPr>
        <w:tc>
          <w:tcPr>
            <w:tcW w:w="7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center"/>
              <w:rPr>
                <w:rFonts w:ascii="Calibri" w:eastAsia="宋体" w:hAnsi="Calibri" w:cs="宋体"/>
                <w:color w:val="333333"/>
                <w:sz w:val="21"/>
                <w:szCs w:val="21"/>
              </w:rPr>
            </w:pPr>
            <w:r w:rsidRPr="00BE32B8">
              <w:rPr>
                <w:rFonts w:ascii="宋体" w:eastAsia="宋体" w:hAnsi="宋体" w:cs="宋体" w:hint="eastAsia"/>
                <w:color w:val="333333"/>
                <w:sz w:val="24"/>
                <w:szCs w:val="24"/>
              </w:rPr>
              <w:t>30</w:t>
            </w:r>
          </w:p>
        </w:tc>
        <w:tc>
          <w:tcPr>
            <w:tcW w:w="466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进行当地未发生的农业有害生物活体试验、研究，不依法采取隔离措施的</w:t>
            </w:r>
          </w:p>
        </w:tc>
        <w:tc>
          <w:tcPr>
            <w:tcW w:w="702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仿宋_GB2312" w:eastAsia="仿宋_GB2312" w:hAnsi="Calibri" w:cs="宋体" w:hint="eastAsia"/>
                <w:color w:val="333333"/>
                <w:sz w:val="24"/>
                <w:szCs w:val="24"/>
              </w:rPr>
              <w:t>《湖南省植物保护条例》第三十二条：违反本条例第二十四条规定，进行当地未发生的农业有害生物活体试验、研究，不依法采取隔离措施的，由县级以上人民政府农业行政主管部门责令改正；造成农业有害生物扩散的，由县级以上人民政府农业行政主管部门责令责任人立即进行除害处理，可以处</w:t>
            </w:r>
            <w:r w:rsidRPr="00BE32B8">
              <w:rPr>
                <w:rFonts w:ascii="宋体" w:eastAsia="宋体" w:hAnsi="宋体" w:cs="宋体" w:hint="eastAsia"/>
                <w:color w:val="333333"/>
                <w:sz w:val="24"/>
                <w:szCs w:val="24"/>
              </w:rPr>
              <w:t>2000</w:t>
            </w:r>
            <w:r w:rsidRPr="00BE32B8">
              <w:rPr>
                <w:rFonts w:ascii="仿宋_GB2312" w:eastAsia="仿宋_GB2312" w:hAnsi="Calibri" w:cs="宋体" w:hint="eastAsia"/>
                <w:color w:val="333333"/>
                <w:sz w:val="24"/>
                <w:szCs w:val="24"/>
              </w:rPr>
              <w:t>元以上</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万元以下罚款。</w:t>
            </w:r>
          </w:p>
        </w:tc>
        <w:tc>
          <w:tcPr>
            <w:tcW w:w="276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E32B8" w:rsidRPr="00BE32B8" w:rsidRDefault="00BE32B8" w:rsidP="00BE32B8">
            <w:pPr>
              <w:adjustRightInd/>
              <w:snapToGrid/>
              <w:spacing w:after="0" w:line="320" w:lineRule="atLeast"/>
              <w:jc w:val="both"/>
              <w:rPr>
                <w:rFonts w:ascii="Calibri" w:eastAsia="宋体" w:hAnsi="Calibri" w:cs="宋体"/>
                <w:color w:val="333333"/>
                <w:sz w:val="21"/>
                <w:szCs w:val="21"/>
              </w:rPr>
            </w:pPr>
            <w:r w:rsidRPr="00BE32B8">
              <w:rPr>
                <w:rFonts w:ascii="宋体" w:eastAsia="宋体" w:hAnsi="宋体" w:cs="宋体" w:hint="eastAsia"/>
                <w:color w:val="333333"/>
                <w:sz w:val="24"/>
                <w:szCs w:val="24"/>
              </w:rPr>
              <w:t>1</w:t>
            </w:r>
            <w:r w:rsidRPr="00BE32B8">
              <w:rPr>
                <w:rFonts w:ascii="仿宋_GB2312" w:eastAsia="仿宋_GB2312" w:hAnsi="Calibri" w:cs="宋体" w:hint="eastAsia"/>
                <w:color w:val="333333"/>
                <w:sz w:val="24"/>
                <w:szCs w:val="24"/>
              </w:rPr>
              <w:t>、造成损失不足五千元或者扩散面积不足五千平方米的；</w:t>
            </w:r>
            <w:r w:rsidRPr="00BE32B8">
              <w:rPr>
                <w:rFonts w:ascii="宋体" w:eastAsia="宋体" w:hAnsi="宋体" w:cs="宋体" w:hint="eastAsia"/>
                <w:color w:val="333333"/>
                <w:sz w:val="24"/>
                <w:szCs w:val="24"/>
              </w:rPr>
              <w:t>2</w:t>
            </w:r>
            <w:r w:rsidRPr="00BE32B8">
              <w:rPr>
                <w:rFonts w:ascii="仿宋_GB2312" w:eastAsia="仿宋_GB2312" w:hAnsi="Calibri" w:cs="宋体" w:hint="eastAsia"/>
                <w:color w:val="333333"/>
                <w:sz w:val="24"/>
                <w:szCs w:val="24"/>
              </w:rPr>
              <w:t>、没有造成农业有害生物扩散的</w:t>
            </w:r>
          </w:p>
        </w:tc>
      </w:tr>
    </w:tbl>
    <w:p w:rsidR="004358AB" w:rsidRDefault="00BE32B8" w:rsidP="00BE32B8">
      <w:pPr>
        <w:shd w:val="clear" w:color="auto" w:fill="FFFFFF"/>
        <w:adjustRightInd/>
        <w:snapToGrid/>
        <w:spacing w:after="0" w:line="20" w:lineRule="atLeast"/>
      </w:pPr>
      <w:r w:rsidRPr="00BE32B8">
        <w:rPr>
          <w:rFonts w:ascii="宋体" w:eastAsia="宋体" w:hAnsi="宋体" w:cs="宋体" w:hint="eastAsia"/>
          <w:color w:val="333333"/>
          <w:sz w:val="32"/>
          <w:szCs w:val="32"/>
        </w:rPr>
        <w:t> </w:t>
      </w:r>
    </w:p>
    <w:sectPr w:rsidR="004358AB" w:rsidSect="00BE32B8">
      <w:pgSz w:w="16838" w:h="11906" w:orient="landscape"/>
      <w:pgMar w:top="1800" w:right="1440" w:bottom="180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compat>
    <w:useFELayout/>
  </w:compat>
  <w:rsids>
    <w:rsidRoot w:val="00D31D50"/>
    <w:rsid w:val="00223F5A"/>
    <w:rsid w:val="00323B43"/>
    <w:rsid w:val="003D37D8"/>
    <w:rsid w:val="00426133"/>
    <w:rsid w:val="004358AB"/>
    <w:rsid w:val="008B7726"/>
    <w:rsid w:val="00BE32B8"/>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32B8"/>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34307890">
      <w:bodyDiv w:val="1"/>
      <w:marLeft w:val="0"/>
      <w:marRight w:val="0"/>
      <w:marTop w:val="0"/>
      <w:marBottom w:val="0"/>
      <w:divBdr>
        <w:top w:val="none" w:sz="0" w:space="0" w:color="auto"/>
        <w:left w:val="none" w:sz="0" w:space="0" w:color="auto"/>
        <w:bottom w:val="none" w:sz="0" w:space="0" w:color="auto"/>
        <w:right w:val="none" w:sz="0" w:space="0" w:color="auto"/>
      </w:divBdr>
    </w:div>
    <w:div w:id="1539852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1041</Words>
  <Characters>5938</Characters>
  <Application>Microsoft Office Word</Application>
  <DocSecurity>0</DocSecurity>
  <Lines>49</Lines>
  <Paragraphs>13</Paragraphs>
  <ScaleCrop>false</ScaleCrop>
  <Company/>
  <LinksUpToDate>false</LinksUpToDate>
  <CharactersWithSpaces>6966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2022-12-01T09:07:00Z</dcterms:modified>
</cp:coreProperties>
</file>