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spacing w:line="600" w:lineRule="exact"/>
        <w:ind w:firstLine="442" w:firstLineChars="100"/>
        <w:rPr>
          <w:rFonts w:ascii="黑体" w:hAnsi="仿宋_GB2312" w:eastAsia="黑体" w:cs="仿宋_GB2312"/>
          <w:b/>
          <w:kern w:val="0"/>
          <w:sz w:val="44"/>
          <w:szCs w:val="44"/>
        </w:rPr>
      </w:pPr>
    </w:p>
    <w:p>
      <w:pPr>
        <w:pStyle w:val="13"/>
        <w:spacing w:line="600" w:lineRule="exact"/>
        <w:ind w:firstLine="442" w:firstLineChars="100"/>
        <w:rPr>
          <w:rFonts w:ascii="黑体" w:hAnsi="仿宋_GB2312" w:eastAsia="黑体" w:cs="仿宋_GB2312"/>
          <w:b/>
          <w:kern w:val="0"/>
          <w:sz w:val="44"/>
          <w:szCs w:val="44"/>
        </w:rPr>
      </w:pPr>
    </w:p>
    <w:p>
      <w:pPr>
        <w:pStyle w:val="13"/>
        <w:spacing w:line="600" w:lineRule="exact"/>
        <w:ind w:firstLine="442" w:firstLineChars="100"/>
        <w:rPr>
          <w:rFonts w:ascii="黑体" w:hAnsi="仿宋_GB2312" w:eastAsia="黑体" w:cs="仿宋_GB2312"/>
          <w:b/>
          <w:kern w:val="0"/>
          <w:sz w:val="44"/>
          <w:szCs w:val="44"/>
        </w:rPr>
      </w:pPr>
      <w:r>
        <w:rPr>
          <w:rFonts w:hint="eastAsia" w:ascii="黑体" w:hAnsi="仿宋_GB2312" w:eastAsia="黑体" w:cs="仿宋_GB2312"/>
          <w:b/>
          <w:kern w:val="0"/>
          <w:sz w:val="44"/>
          <w:szCs w:val="44"/>
        </w:rPr>
        <w:t>湘潭县水利局部门整体支出绩效自评报告</w:t>
      </w:r>
    </w:p>
    <w:p>
      <w:pPr>
        <w:pStyle w:val="13"/>
        <w:spacing w:line="600" w:lineRule="exact"/>
        <w:ind w:firstLine="643" w:firstLineChars="200"/>
        <w:rPr>
          <w:rFonts w:ascii="仿宋" w:hAnsi="仿宋" w:eastAsia="仿宋" w:cs="仿宋_GB2312"/>
          <w:b/>
          <w:kern w:val="0"/>
          <w:sz w:val="32"/>
          <w:szCs w:val="32"/>
        </w:rPr>
      </w:pPr>
      <w:r>
        <w:rPr>
          <w:rFonts w:hint="eastAsia" w:ascii="仿宋" w:hAnsi="仿宋" w:eastAsia="仿宋" w:cs="仿宋_GB2312"/>
          <w:b/>
          <w:kern w:val="0"/>
          <w:sz w:val="32"/>
          <w:szCs w:val="32"/>
        </w:rPr>
        <w:t>一、部门基本情况</w:t>
      </w:r>
    </w:p>
    <w:p>
      <w:pPr>
        <w:pStyle w:val="13"/>
        <w:spacing w:line="600" w:lineRule="exact"/>
        <w:ind w:firstLine="643" w:firstLineChars="200"/>
        <w:rPr>
          <w:rFonts w:ascii="仿宋" w:hAnsi="仿宋" w:eastAsia="仿宋" w:cs="仿宋_GB2312"/>
          <w:b/>
          <w:kern w:val="0"/>
          <w:sz w:val="32"/>
          <w:szCs w:val="32"/>
        </w:rPr>
      </w:pPr>
      <w:r>
        <w:rPr>
          <w:rFonts w:hint="eastAsia" w:ascii="仿宋" w:hAnsi="仿宋" w:eastAsia="仿宋" w:cs="仿宋_GB2312"/>
          <w:b/>
          <w:kern w:val="0"/>
          <w:sz w:val="32"/>
          <w:szCs w:val="32"/>
        </w:rPr>
        <w:t>（一）在职人员情况及机构设置</w:t>
      </w:r>
    </w:p>
    <w:p>
      <w:pPr>
        <w:pStyle w:val="13"/>
        <w:spacing w:line="600" w:lineRule="exact"/>
        <w:ind w:firstLine="640" w:firstLineChars="200"/>
        <w:rPr>
          <w:rFonts w:ascii="仿宋" w:hAnsi="仿宋" w:eastAsia="仿宋"/>
          <w:kern w:val="0"/>
          <w:sz w:val="32"/>
          <w:szCs w:val="32"/>
        </w:rPr>
      </w:pPr>
      <w:r>
        <w:rPr>
          <w:rFonts w:ascii="仿宋" w:hAnsi="仿宋" w:eastAsia="仿宋"/>
          <w:kern w:val="0"/>
          <w:sz w:val="32"/>
          <w:szCs w:val="32"/>
        </w:rPr>
        <w:t>湘潭县水</w:t>
      </w:r>
      <w:r>
        <w:rPr>
          <w:rFonts w:hint="eastAsia" w:ascii="仿宋" w:hAnsi="仿宋" w:eastAsia="仿宋"/>
          <w:kern w:val="0"/>
          <w:sz w:val="32"/>
          <w:szCs w:val="32"/>
        </w:rPr>
        <w:t>利</w:t>
      </w:r>
      <w:r>
        <w:rPr>
          <w:rFonts w:ascii="仿宋" w:hAnsi="仿宋" w:eastAsia="仿宋"/>
          <w:kern w:val="0"/>
          <w:sz w:val="32"/>
          <w:szCs w:val="32"/>
        </w:rPr>
        <w:t>局位于湘潭县易俗河凤凰</w:t>
      </w:r>
      <w:r>
        <w:rPr>
          <w:rFonts w:hint="eastAsia" w:ascii="仿宋" w:hAnsi="仿宋" w:eastAsia="仿宋"/>
          <w:kern w:val="0"/>
          <w:sz w:val="32"/>
          <w:szCs w:val="32"/>
        </w:rPr>
        <w:t>中路288号，是湘潭县人民政府水行政主管部门。为县人民政府组成局，水利局机关共有6个内设机构、8个事业单位，局机关编制人数72人，其中行政编制21人，事业编51人；在职80人，其中工资统发人员60 人，非统发人员 20人；退休53人，车辆编制数4辆，实有4辆，另有公务执法艇一艘。水利局下辖9个二级机构，编制人数60人、在职53人，退休100人。</w:t>
      </w:r>
    </w:p>
    <w:p>
      <w:pPr>
        <w:pStyle w:val="13"/>
        <w:spacing w:line="600" w:lineRule="exact"/>
        <w:ind w:firstLine="643" w:firstLineChars="200"/>
        <w:rPr>
          <w:rFonts w:ascii="仿宋" w:hAnsi="仿宋" w:eastAsia="仿宋"/>
          <w:kern w:val="0"/>
          <w:sz w:val="32"/>
          <w:szCs w:val="32"/>
        </w:rPr>
      </w:pPr>
      <w:r>
        <w:rPr>
          <w:rFonts w:hint="eastAsia" w:ascii="仿宋" w:hAnsi="仿宋" w:eastAsia="仿宋" w:cs="仿宋_GB2312"/>
          <w:b/>
          <w:kern w:val="0"/>
          <w:sz w:val="32"/>
          <w:szCs w:val="32"/>
        </w:rPr>
        <w:t>（二）部门主要职能</w:t>
      </w:r>
    </w:p>
    <w:p>
      <w:pPr>
        <w:pStyle w:val="13"/>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w:t>
      </w:r>
      <w:r>
        <w:rPr>
          <w:rFonts w:ascii="仿宋" w:hAnsi="仿宋" w:eastAsia="仿宋" w:cs="仿宋_GB2312"/>
          <w:sz w:val="32"/>
          <w:szCs w:val="32"/>
        </w:rPr>
        <w:t>1</w:t>
      </w:r>
      <w:r>
        <w:rPr>
          <w:rFonts w:hint="eastAsia" w:ascii="仿宋" w:hAnsi="仿宋" w:eastAsia="仿宋" w:cs="仿宋_GB2312"/>
          <w:sz w:val="32"/>
          <w:szCs w:val="32"/>
        </w:rPr>
        <w:t>）贯彻执行中央、省有关涉水行政工作的法律、法规、规章和方针政策；拟订全县水务</w:t>
      </w:r>
      <w:bookmarkStart w:id="0" w:name="_GoBack"/>
      <w:bookmarkEnd w:id="0"/>
      <w:r>
        <w:rPr>
          <w:rFonts w:hint="eastAsia" w:ascii="仿宋" w:hAnsi="仿宋" w:eastAsia="仿宋" w:cs="仿宋_GB2312"/>
          <w:sz w:val="32"/>
          <w:szCs w:val="32"/>
          <w:lang w:eastAsia="zh-CN"/>
        </w:rPr>
        <w:t>工作的开展</w:t>
      </w:r>
      <w:r>
        <w:rPr>
          <w:rFonts w:hint="eastAsia" w:ascii="仿宋" w:hAnsi="仿宋" w:eastAsia="仿宋" w:cs="仿宋_GB2312"/>
          <w:sz w:val="32"/>
          <w:szCs w:val="32"/>
        </w:rPr>
        <w:t>战略、中长期规划和年度计划，起草有关实施细则、办法等规范性文件并监督实施。</w:t>
      </w:r>
      <w:r>
        <w:rPr>
          <w:rFonts w:ascii="仿宋_GB2312" w:hAnsi="仿宋_GB2312" w:eastAsia="仿宋" w:cs="仿宋_GB2312"/>
          <w:sz w:val="32"/>
          <w:szCs w:val="32"/>
        </w:rPr>
        <w:t> </w:t>
      </w:r>
      <w:r>
        <w:rPr>
          <w:rFonts w:ascii="仿宋" w:hAnsi="仿宋" w:eastAsia="仿宋" w:cs="仿宋_GB2312"/>
          <w:sz w:val="32"/>
          <w:szCs w:val="32"/>
        </w:rPr>
        <w:br w:type="textWrapping"/>
      </w:r>
      <w:r>
        <w:rPr>
          <w:rFonts w:ascii="仿宋_GB2312" w:hAnsi="仿宋_GB2312" w:eastAsia="仿宋" w:cs="仿宋_GB2312"/>
          <w:sz w:val="32"/>
          <w:szCs w:val="32"/>
        </w:rPr>
        <w:t> </w:t>
      </w:r>
      <w:r>
        <w:rPr>
          <w:rFonts w:hint="eastAsia" w:ascii="仿宋_GB2312" w:hAnsi="仿宋_GB2312" w:eastAsia="仿宋" w:cs="仿宋_GB2312"/>
          <w:sz w:val="32"/>
          <w:szCs w:val="32"/>
        </w:rPr>
        <w:t xml:space="preserve"> </w:t>
      </w:r>
      <w:r>
        <w:rPr>
          <w:rFonts w:hint="eastAsia" w:ascii="仿宋" w:hAnsi="仿宋" w:eastAsia="仿宋" w:cs="仿宋_GB2312"/>
          <w:sz w:val="32"/>
          <w:szCs w:val="32"/>
        </w:rPr>
        <w:t>（</w:t>
      </w:r>
      <w:r>
        <w:rPr>
          <w:rFonts w:ascii="仿宋" w:hAnsi="仿宋" w:eastAsia="仿宋" w:cs="仿宋_GB2312"/>
          <w:sz w:val="32"/>
          <w:szCs w:val="32"/>
        </w:rPr>
        <w:t>2</w:t>
      </w:r>
      <w:r>
        <w:rPr>
          <w:rFonts w:hint="eastAsia" w:ascii="仿宋" w:hAnsi="仿宋" w:eastAsia="仿宋" w:cs="仿宋_GB2312"/>
          <w:sz w:val="32"/>
          <w:szCs w:val="32"/>
        </w:rPr>
        <w:t>）组织编制全县江河湖泊的流域综合规划、防洪规划等重大水利规划。按规定制定水利工程建设有关制度、提出全县水务建设投资安排建议并组织实施；负责水务行业的国有资产保值增值的监管，指导水利经济和水利风景区建设与管理工作。</w:t>
      </w:r>
      <w:r>
        <w:rPr>
          <w:rFonts w:ascii="仿宋_GB2312" w:hAnsi="仿宋_GB2312" w:eastAsia="仿宋" w:cs="仿宋_GB2312"/>
          <w:sz w:val="32"/>
          <w:szCs w:val="32"/>
        </w:rPr>
        <w:t> </w:t>
      </w:r>
      <w:r>
        <w:rPr>
          <w:rFonts w:ascii="仿宋" w:hAnsi="仿宋" w:eastAsia="仿宋" w:cs="仿宋_GB2312"/>
          <w:sz w:val="32"/>
          <w:szCs w:val="32"/>
        </w:rPr>
        <w:br w:type="textWrapping"/>
      </w:r>
      <w:r>
        <w:rPr>
          <w:rFonts w:ascii="仿宋_GB2312" w:hAnsi="仿宋_GB2312" w:eastAsia="仿宋" w:cs="仿宋_GB2312"/>
          <w:sz w:val="32"/>
          <w:szCs w:val="32"/>
        </w:rPr>
        <w:t>  </w:t>
      </w:r>
      <w:r>
        <w:rPr>
          <w:rFonts w:hint="eastAsia" w:ascii="仿宋" w:hAnsi="仿宋" w:eastAsia="仿宋" w:cs="仿宋_GB2312"/>
          <w:sz w:val="32"/>
          <w:szCs w:val="32"/>
        </w:rPr>
        <w:t>（</w:t>
      </w:r>
      <w:r>
        <w:rPr>
          <w:rFonts w:ascii="仿宋" w:hAnsi="仿宋" w:eastAsia="仿宋" w:cs="仿宋_GB2312"/>
          <w:sz w:val="32"/>
          <w:szCs w:val="32"/>
        </w:rPr>
        <w:t>3</w:t>
      </w:r>
      <w:r>
        <w:rPr>
          <w:rFonts w:hint="eastAsia" w:ascii="仿宋" w:hAnsi="仿宋" w:eastAsia="仿宋" w:cs="仿宋_GB2312"/>
          <w:sz w:val="32"/>
          <w:szCs w:val="32"/>
        </w:rPr>
        <w:t>）负责全县水利工程的建设和管理。负责指导全县水利工程运行的安全和监管，组织实施具有控制性的或跨乡（镇）及跨流域的重要水利工程建设与运行管理。按政策法律规定负责水利经费的征收管理。组织协调农田水利基本建设，负责城乡供水、节水灌溉等工程建设与监督管理工作。负责组织编制水务工程项目建议书、可行性报告、初步设计报告和重大水务工程环境评价报告，并报批；指导农村水利社会化服务体系建设。</w:t>
      </w:r>
      <w:r>
        <w:rPr>
          <w:rFonts w:ascii="仿宋_GB2312" w:hAnsi="仿宋_GB2312" w:eastAsia="仿宋" w:cs="仿宋_GB2312"/>
          <w:sz w:val="32"/>
          <w:szCs w:val="32"/>
        </w:rPr>
        <w:t> </w:t>
      </w:r>
      <w:r>
        <w:rPr>
          <w:rFonts w:ascii="仿宋" w:hAnsi="仿宋" w:eastAsia="仿宋" w:cs="仿宋_GB2312"/>
          <w:sz w:val="32"/>
          <w:szCs w:val="32"/>
        </w:rPr>
        <w:br w:type="textWrapping"/>
      </w:r>
      <w:r>
        <w:rPr>
          <w:rFonts w:ascii="仿宋_GB2312" w:hAnsi="仿宋_GB2312" w:eastAsia="仿宋" w:cs="仿宋_GB2312"/>
          <w:sz w:val="32"/>
          <w:szCs w:val="32"/>
        </w:rPr>
        <w:t>  </w:t>
      </w:r>
      <w:r>
        <w:rPr>
          <w:rFonts w:hint="eastAsia" w:ascii="仿宋" w:hAnsi="仿宋" w:eastAsia="仿宋" w:cs="仿宋_GB2312"/>
          <w:sz w:val="32"/>
          <w:szCs w:val="32"/>
        </w:rPr>
        <w:t>（</w:t>
      </w:r>
      <w:r>
        <w:rPr>
          <w:rFonts w:ascii="仿宋" w:hAnsi="仿宋" w:eastAsia="仿宋" w:cs="仿宋_GB2312"/>
          <w:sz w:val="32"/>
          <w:szCs w:val="32"/>
        </w:rPr>
        <w:t>4</w:t>
      </w:r>
      <w:r>
        <w:rPr>
          <w:rFonts w:hint="eastAsia" w:ascii="仿宋" w:hAnsi="仿宋" w:eastAsia="仿宋" w:cs="仿宋_GB2312"/>
          <w:sz w:val="32"/>
          <w:szCs w:val="32"/>
        </w:rPr>
        <w:t>）负责生活、生产经营和生态环境用水的统筹兼顾和保障，实施水资源的统一监督管理。拟订全县水域中长期供求规划、水量分配方案并监督实施，组织开展水资源调查评价工作，按规定开展水能资源调查工作，负责重要流域、区域以及重要水利工程的水资源调度，组织实施取水许可、水资源有偿使用制度和水资源论证、防洪论证制度。负责城乡供水、节水、堤防排水的监管工作，指导全县城乡供水工作，发布全县水资源信息。负责全县水能资源开发利用的统一监督管理，会同有关部门编制水能资源开发利用规划并监督实施，负责全县水能资源开发利用权有偿取得工作。</w:t>
      </w:r>
    </w:p>
    <w:p>
      <w:pPr>
        <w:pStyle w:val="13"/>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( 5 )贯彻落实国家移民政策；编制后期扶持规划；制定移民资金管理办法；组织移民技能培训；负责移民工作的协调以及移民后扶补助金、口粮补贴款的发放管理；负责移民信访接待工作。</w:t>
      </w:r>
      <w:r>
        <w:rPr>
          <w:rFonts w:ascii="仿宋_GB2312" w:hAnsi="仿宋_GB2312" w:eastAsia="仿宋" w:cs="仿宋_GB2312"/>
          <w:sz w:val="32"/>
          <w:szCs w:val="32"/>
        </w:rPr>
        <w:t> </w:t>
      </w:r>
    </w:p>
    <w:p>
      <w:pPr>
        <w:pStyle w:val="5"/>
        <w:spacing w:beforeAutospacing="0" w:afterAutospacing="0"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（6）负责水资源的保护工作。组织水功能区的划分，监测江、河、湖、水库的水量、水质，核定水域纳污能力，</w:t>
      </w:r>
      <w:r>
        <w:rPr>
          <w:rFonts w:ascii="仿宋_GB2312" w:hAnsi="仿宋_GB2312" w:eastAsia="仿宋" w:cs="仿宋_GB2312"/>
          <w:sz w:val="32"/>
          <w:szCs w:val="32"/>
        </w:rPr>
        <w:t> </w:t>
      </w:r>
      <w:r>
        <w:rPr>
          <w:rFonts w:hint="eastAsia" w:ascii="仿宋" w:hAnsi="仿宋" w:eastAsia="仿宋" w:cs="仿宋_GB2312"/>
          <w:sz w:val="32"/>
          <w:szCs w:val="32"/>
        </w:rPr>
        <w:t>审核新建、改建、扩建排污口，提出限制排污总量建议，负责入河排污口设置审批工作。负责节约用水工作。拟订全县节约用水政策，编制节约用水规划，执行国家有关标准，指导和推动节水型社会建设工作。</w:t>
      </w:r>
      <w:r>
        <w:rPr>
          <w:rFonts w:ascii="仿宋_GB2312" w:hAnsi="仿宋_GB2312" w:eastAsia="仿宋" w:cs="仿宋_GB2312"/>
          <w:sz w:val="32"/>
          <w:szCs w:val="32"/>
        </w:rPr>
        <w:t>  </w:t>
      </w:r>
    </w:p>
    <w:p>
      <w:pPr>
        <w:pStyle w:val="5"/>
        <w:spacing w:beforeAutospacing="0" w:afterAutospacing="0"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（7）负责防治水旱灾害。组织、协调、监督、指挥全县水旱灾害防治工作，对主要河流、水库和重要水利工程实施水旱灾害防治和应急水量调度，配合水利突发公共事件的应急管理工作。</w:t>
      </w:r>
      <w:r>
        <w:rPr>
          <w:rFonts w:ascii="仿宋_GB2312" w:hAnsi="仿宋_GB2312" w:eastAsia="仿宋" w:cs="仿宋_GB2312"/>
          <w:sz w:val="32"/>
          <w:szCs w:val="32"/>
        </w:rPr>
        <w:t> </w:t>
      </w:r>
    </w:p>
    <w:p>
      <w:pPr>
        <w:pStyle w:val="5"/>
        <w:spacing w:beforeAutospacing="0" w:afterAutospacing="0" w:line="600" w:lineRule="exact"/>
        <w:rPr>
          <w:rFonts w:ascii="仿宋" w:hAnsi="仿宋" w:eastAsia="仿宋" w:cs="仿宋_GB2312"/>
          <w:sz w:val="32"/>
          <w:szCs w:val="32"/>
        </w:rPr>
      </w:pPr>
      <w:r>
        <w:rPr>
          <w:rFonts w:ascii="仿宋_GB2312" w:hAnsi="仿宋_GB2312" w:eastAsia="仿宋" w:cs="仿宋_GB2312"/>
          <w:sz w:val="32"/>
          <w:szCs w:val="32"/>
        </w:rPr>
        <w:t> </w:t>
      </w:r>
      <w:r>
        <w:rPr>
          <w:rFonts w:ascii="仿宋" w:hAnsi="仿宋" w:eastAsia="仿宋" w:cs="仿宋_GB2312"/>
          <w:sz w:val="32"/>
          <w:szCs w:val="32"/>
        </w:rPr>
        <w:t xml:space="preserve"> </w:t>
      </w:r>
      <w:r>
        <w:rPr>
          <w:rFonts w:hint="eastAsia" w:ascii="仿宋" w:hAnsi="仿宋" w:eastAsia="仿宋" w:cs="仿宋_GB2312"/>
          <w:sz w:val="32"/>
          <w:szCs w:val="32"/>
        </w:rPr>
        <w:t xml:space="preserve">  （8）负责防治水土流失。拟订全县水土保持规划并监督实施，组织实施水土流失的综合防治、监测预报并定期公告，负责有关重大建设项目水土保持方案的审批、监督实施及水土保持设施的验收工作，指导重点水土保持建设项目的实施，负责水土保持规费征收。</w:t>
      </w:r>
      <w:r>
        <w:rPr>
          <w:rFonts w:ascii="仿宋_GB2312" w:hAnsi="仿宋_GB2312" w:eastAsia="仿宋" w:cs="仿宋_GB2312"/>
          <w:sz w:val="32"/>
          <w:szCs w:val="32"/>
        </w:rPr>
        <w:t> </w:t>
      </w:r>
    </w:p>
    <w:p>
      <w:pPr>
        <w:pStyle w:val="5"/>
        <w:spacing w:beforeAutospacing="0" w:afterAutospacing="0" w:line="600" w:lineRule="exact"/>
        <w:rPr>
          <w:rFonts w:ascii="仿宋" w:hAnsi="仿宋" w:eastAsia="仿宋" w:cs="仿宋_GB2312"/>
          <w:sz w:val="32"/>
          <w:szCs w:val="32"/>
        </w:rPr>
      </w:pPr>
      <w:r>
        <w:rPr>
          <w:rFonts w:ascii="仿宋_GB2312" w:hAnsi="仿宋_GB2312" w:eastAsia="仿宋" w:cs="仿宋_GB2312"/>
          <w:sz w:val="32"/>
          <w:szCs w:val="32"/>
        </w:rPr>
        <w:t>  </w:t>
      </w:r>
      <w:r>
        <w:rPr>
          <w:rFonts w:hint="eastAsia" w:ascii="仿宋_GB2312" w:hAnsi="仿宋_GB2312" w:eastAsia="仿宋" w:cs="仿宋_GB2312"/>
          <w:sz w:val="32"/>
          <w:szCs w:val="32"/>
        </w:rPr>
        <w:t xml:space="preserve">  </w:t>
      </w:r>
      <w:r>
        <w:rPr>
          <w:rFonts w:hint="eastAsia" w:ascii="仿宋" w:hAnsi="仿宋" w:eastAsia="仿宋" w:cs="仿宋_GB2312"/>
          <w:sz w:val="32"/>
          <w:szCs w:val="32"/>
        </w:rPr>
        <w:t>（9）负责河道管理工作。组织、指导水利设施、水域及其岸线的管理与保护，指导江、河、水库、河口滩涂、塘、坝的治理和开发；指导全县的河道保洁工作；组织建设和指导管理县域范围内的重要水利工程。</w:t>
      </w:r>
      <w:r>
        <w:rPr>
          <w:rFonts w:ascii="仿宋_GB2312" w:hAnsi="仿宋_GB2312" w:eastAsia="仿宋" w:cs="仿宋_GB2312"/>
          <w:sz w:val="32"/>
          <w:szCs w:val="32"/>
        </w:rPr>
        <w:t> </w:t>
      </w:r>
    </w:p>
    <w:p>
      <w:pPr>
        <w:pStyle w:val="5"/>
        <w:spacing w:beforeAutospacing="0" w:afterAutospacing="0" w:line="600" w:lineRule="exact"/>
        <w:rPr>
          <w:rFonts w:ascii="仿宋" w:hAnsi="仿宋" w:eastAsia="仿宋" w:cs="仿宋_GB2312"/>
          <w:sz w:val="32"/>
          <w:szCs w:val="32"/>
        </w:rPr>
      </w:pPr>
      <w:r>
        <w:rPr>
          <w:rFonts w:ascii="仿宋_GB2312" w:hAnsi="仿宋_GB2312" w:eastAsia="仿宋" w:cs="仿宋_GB2312"/>
          <w:sz w:val="32"/>
          <w:szCs w:val="32"/>
        </w:rPr>
        <w:t>  </w:t>
      </w:r>
      <w:r>
        <w:rPr>
          <w:rFonts w:hint="eastAsia" w:ascii="仿宋_GB2312" w:hAnsi="仿宋_GB2312" w:eastAsia="仿宋" w:cs="仿宋_GB2312"/>
          <w:sz w:val="32"/>
          <w:szCs w:val="32"/>
        </w:rPr>
        <w:t xml:space="preserve">  </w:t>
      </w:r>
      <w:r>
        <w:rPr>
          <w:rFonts w:hint="eastAsia" w:ascii="仿宋" w:hAnsi="仿宋" w:eastAsia="仿宋" w:cs="仿宋_GB2312"/>
          <w:sz w:val="32"/>
          <w:szCs w:val="32"/>
        </w:rPr>
        <w:t>（10）负责重大涉水违法事件的查处。协调并仲裁部门间和乡镇间的水事纠纷，组织、指导水政监察和水行政执法。依法负责水务行业安全生产工作，组织、指导水库、水电站大坝的安全监督，指导水务建设市场的监督管理，组织实施水利工程建设的监督。</w:t>
      </w:r>
      <w:r>
        <w:rPr>
          <w:rFonts w:ascii="仿宋_GB2312" w:hAnsi="仿宋_GB2312" w:eastAsia="仿宋" w:cs="仿宋_GB2312"/>
          <w:sz w:val="32"/>
          <w:szCs w:val="32"/>
        </w:rPr>
        <w:t>  </w:t>
      </w:r>
    </w:p>
    <w:p>
      <w:pPr>
        <w:pStyle w:val="5"/>
        <w:spacing w:beforeAutospacing="0" w:afterAutospacing="0" w:line="600" w:lineRule="exact"/>
        <w:rPr>
          <w:rFonts w:ascii="仿宋" w:hAnsi="仿宋" w:eastAsia="仿宋" w:cs="仿宋_GB2312"/>
          <w:sz w:val="32"/>
          <w:szCs w:val="32"/>
        </w:rPr>
      </w:pPr>
      <w:r>
        <w:rPr>
          <w:rFonts w:ascii="仿宋_GB2312" w:hAnsi="仿宋_GB2312" w:eastAsia="仿宋" w:cs="仿宋_GB2312"/>
          <w:sz w:val="32"/>
          <w:szCs w:val="32"/>
        </w:rPr>
        <w:t>  </w:t>
      </w:r>
      <w:r>
        <w:rPr>
          <w:rFonts w:hint="eastAsia" w:ascii="仿宋_GB2312" w:hAnsi="仿宋_GB2312" w:eastAsia="仿宋" w:cs="仿宋_GB2312"/>
          <w:sz w:val="32"/>
          <w:szCs w:val="32"/>
        </w:rPr>
        <w:t xml:space="preserve">  </w:t>
      </w:r>
      <w:r>
        <w:rPr>
          <w:rFonts w:hint="eastAsia" w:ascii="仿宋" w:hAnsi="仿宋" w:eastAsia="仿宋" w:cs="仿宋_GB2312"/>
          <w:sz w:val="32"/>
          <w:szCs w:val="32"/>
        </w:rPr>
        <w:t>（</w:t>
      </w:r>
      <w:r>
        <w:rPr>
          <w:rFonts w:ascii="仿宋" w:hAnsi="仿宋" w:eastAsia="仿宋" w:cs="仿宋_GB2312"/>
          <w:sz w:val="32"/>
          <w:szCs w:val="32"/>
        </w:rPr>
        <w:t>1</w:t>
      </w:r>
      <w:r>
        <w:rPr>
          <w:rFonts w:hint="eastAsia" w:ascii="仿宋" w:hAnsi="仿宋" w:eastAsia="仿宋" w:cs="仿宋_GB2312"/>
          <w:sz w:val="32"/>
          <w:szCs w:val="32"/>
        </w:rPr>
        <w:t>1）负责水利行业的科技教育和对外合作工作。组织开展水务科学研究和技术推广任务及质量监督工作，组织拟订地方性水务行业技术质量标准和水务工程的规程、规范并监督实施。指导全县水务行业队伍建设。承担水利统计工作。</w:t>
      </w:r>
      <w:r>
        <w:rPr>
          <w:rFonts w:ascii="仿宋_GB2312" w:hAnsi="仿宋_GB2312" w:eastAsia="仿宋" w:cs="仿宋_GB2312"/>
          <w:sz w:val="32"/>
          <w:szCs w:val="32"/>
        </w:rPr>
        <w:t> </w:t>
      </w:r>
      <w:r>
        <w:rPr>
          <w:rFonts w:ascii="仿宋" w:hAnsi="仿宋" w:eastAsia="仿宋" w:cs="仿宋_GB2312"/>
          <w:sz w:val="32"/>
          <w:szCs w:val="32"/>
        </w:rPr>
        <w:br w:type="textWrapping"/>
      </w:r>
      <w:r>
        <w:rPr>
          <w:rFonts w:ascii="仿宋_GB2312" w:hAnsi="仿宋_GB2312" w:eastAsia="仿宋" w:cs="仿宋_GB2312"/>
          <w:sz w:val="32"/>
          <w:szCs w:val="32"/>
        </w:rPr>
        <w:t> </w:t>
      </w:r>
      <w:r>
        <w:rPr>
          <w:rFonts w:ascii="仿宋" w:hAnsi="仿宋" w:eastAsia="仿宋" w:cs="仿宋_GB2312"/>
          <w:sz w:val="32"/>
          <w:szCs w:val="32"/>
        </w:rPr>
        <w:t xml:space="preserve"> </w:t>
      </w:r>
      <w:r>
        <w:rPr>
          <w:rFonts w:hint="eastAsia" w:ascii="仿宋" w:hAnsi="仿宋" w:eastAsia="仿宋" w:cs="仿宋_GB2312"/>
          <w:sz w:val="32"/>
          <w:szCs w:val="32"/>
        </w:rPr>
        <w:t xml:space="preserve">  （</w:t>
      </w:r>
      <w:r>
        <w:rPr>
          <w:rFonts w:ascii="仿宋" w:hAnsi="仿宋" w:eastAsia="仿宋" w:cs="仿宋_GB2312"/>
          <w:sz w:val="32"/>
          <w:szCs w:val="32"/>
        </w:rPr>
        <w:t>1</w:t>
      </w:r>
      <w:r>
        <w:rPr>
          <w:rFonts w:hint="eastAsia" w:ascii="仿宋" w:hAnsi="仿宋" w:eastAsia="仿宋" w:cs="仿宋_GB2312"/>
          <w:sz w:val="32"/>
          <w:szCs w:val="32"/>
        </w:rPr>
        <w:t>2）承办县人民政府交办的其他事项。</w:t>
      </w:r>
    </w:p>
    <w:p>
      <w:pPr>
        <w:pStyle w:val="5"/>
        <w:spacing w:beforeAutospacing="0" w:afterAutospacing="0" w:line="600" w:lineRule="exact"/>
        <w:ind w:firstLine="643" w:firstLineChars="200"/>
        <w:rPr>
          <w:rFonts w:ascii="仿宋" w:hAnsi="仿宋" w:eastAsia="仿宋" w:cs="仿宋_GB2312"/>
          <w:b/>
          <w:sz w:val="32"/>
          <w:szCs w:val="32"/>
        </w:rPr>
      </w:pPr>
      <w:r>
        <w:rPr>
          <w:rFonts w:hint="eastAsia" w:ascii="仿宋" w:hAnsi="仿宋" w:eastAsia="仿宋" w:cs="仿宋_GB2312"/>
          <w:b/>
          <w:sz w:val="32"/>
          <w:szCs w:val="32"/>
        </w:rPr>
        <w:t>二、绩效评价工作情况</w:t>
      </w:r>
    </w:p>
    <w:p>
      <w:pPr>
        <w:pStyle w:val="5"/>
        <w:spacing w:beforeAutospacing="0" w:afterAutospacing="0" w:line="600" w:lineRule="exact"/>
        <w:ind w:left="279" w:leftChars="133" w:firstLine="321" w:firstLineChars="100"/>
        <w:rPr>
          <w:rFonts w:ascii="仿宋" w:hAnsi="仿宋" w:eastAsia="仿宋" w:cs="仿宋_GB2312"/>
          <w:b/>
          <w:sz w:val="32"/>
          <w:szCs w:val="32"/>
        </w:rPr>
      </w:pPr>
      <w:r>
        <w:rPr>
          <w:rFonts w:hint="eastAsia" w:ascii="仿宋" w:hAnsi="仿宋" w:eastAsia="仿宋" w:cs="仿宋_GB2312"/>
          <w:b/>
          <w:sz w:val="32"/>
          <w:szCs w:val="32"/>
        </w:rPr>
        <w:t>（一）绩效评价工作组织情况</w:t>
      </w:r>
    </w:p>
    <w:p>
      <w:pPr>
        <w:pStyle w:val="5"/>
        <w:spacing w:beforeAutospacing="0" w:afterAutospacing="0" w:line="600" w:lineRule="exact"/>
        <w:ind w:left="279" w:leftChars="133" w:firstLine="320" w:firstLineChars="100"/>
        <w:rPr>
          <w:rFonts w:ascii="仿宋" w:hAnsi="仿宋" w:eastAsia="仿宋" w:cs="仿宋_GB2312"/>
          <w:sz w:val="32"/>
          <w:szCs w:val="32"/>
        </w:rPr>
      </w:pPr>
      <w:r>
        <w:rPr>
          <w:rFonts w:ascii="仿宋" w:hAnsi="仿宋" w:eastAsia="仿宋" w:cs="仿宋_GB2312"/>
          <w:sz w:val="32"/>
          <w:szCs w:val="32"/>
        </w:rPr>
        <w:t>1</w:t>
      </w:r>
      <w:r>
        <w:rPr>
          <w:rFonts w:hint="eastAsia" w:ascii="仿宋" w:hAnsi="仿宋" w:eastAsia="仿宋" w:cs="仿宋_GB2312"/>
          <w:sz w:val="32"/>
          <w:szCs w:val="32"/>
        </w:rPr>
        <w:t>、前期准备（</w:t>
      </w:r>
      <w:r>
        <w:rPr>
          <w:rFonts w:ascii="仿宋" w:hAnsi="仿宋" w:eastAsia="仿宋" w:cs="仿宋_GB2312"/>
          <w:sz w:val="32"/>
          <w:szCs w:val="32"/>
        </w:rPr>
        <w:t>20</w:t>
      </w:r>
      <w:r>
        <w:rPr>
          <w:rFonts w:hint="eastAsia" w:ascii="仿宋" w:hAnsi="仿宋" w:eastAsia="仿宋" w:cs="仿宋_GB2312"/>
          <w:sz w:val="32"/>
          <w:szCs w:val="32"/>
        </w:rPr>
        <w:t>21年4月</w:t>
      </w:r>
      <w:r>
        <w:rPr>
          <w:rFonts w:ascii="仿宋" w:hAnsi="仿宋" w:eastAsia="仿宋" w:cs="仿宋_GB2312"/>
          <w:sz w:val="32"/>
          <w:szCs w:val="32"/>
        </w:rPr>
        <w:t>11</w:t>
      </w:r>
      <w:r>
        <w:rPr>
          <w:rFonts w:hint="eastAsia" w:ascii="仿宋" w:hAnsi="仿宋" w:eastAsia="仿宋" w:cs="仿宋_GB2312"/>
          <w:sz w:val="32"/>
          <w:szCs w:val="32"/>
        </w:rPr>
        <w:t>日</w:t>
      </w:r>
      <w:r>
        <w:rPr>
          <w:rFonts w:ascii="仿宋" w:hAnsi="仿宋" w:eastAsia="仿宋" w:cs="仿宋_GB2312"/>
          <w:sz w:val="32"/>
          <w:szCs w:val="32"/>
        </w:rPr>
        <w:t>—</w:t>
      </w:r>
      <w:r>
        <w:rPr>
          <w:rFonts w:hint="eastAsia" w:ascii="仿宋" w:hAnsi="仿宋" w:eastAsia="仿宋" w:cs="仿宋_GB2312"/>
          <w:sz w:val="32"/>
          <w:szCs w:val="32"/>
        </w:rPr>
        <w:t>4月15日）</w:t>
      </w:r>
    </w:p>
    <w:p>
      <w:pPr>
        <w:pStyle w:val="5"/>
        <w:spacing w:beforeAutospacing="0" w:afterAutospacing="0" w:line="600" w:lineRule="exact"/>
        <w:ind w:left="279" w:leftChars="133" w:firstLine="320" w:firstLineChars="100"/>
        <w:rPr>
          <w:rFonts w:ascii="仿宋" w:hAnsi="仿宋" w:eastAsia="仿宋" w:cs="仿宋_GB2312"/>
          <w:sz w:val="32"/>
          <w:szCs w:val="32"/>
        </w:rPr>
      </w:pPr>
      <w:r>
        <w:rPr>
          <w:rFonts w:ascii="仿宋" w:hAnsi="仿宋" w:eastAsia="仿宋" w:cs="仿宋_GB2312"/>
          <w:sz w:val="32"/>
          <w:szCs w:val="32"/>
        </w:rPr>
        <w:t>(1)</w:t>
      </w:r>
      <w:r>
        <w:rPr>
          <w:rFonts w:hint="eastAsia" w:ascii="仿宋" w:hAnsi="仿宋" w:eastAsia="仿宋" w:cs="仿宋_GB2312"/>
          <w:sz w:val="32"/>
          <w:szCs w:val="32"/>
        </w:rPr>
        <w:t>确定评价指标，制定评价工作底稿、评价报告内容；</w:t>
      </w:r>
    </w:p>
    <w:p>
      <w:pPr>
        <w:pStyle w:val="5"/>
        <w:spacing w:beforeAutospacing="0" w:afterAutospacing="0" w:line="600" w:lineRule="exact"/>
        <w:ind w:left="279" w:leftChars="133" w:firstLine="320" w:firstLineChars="100"/>
        <w:rPr>
          <w:rFonts w:ascii="仿宋" w:hAnsi="仿宋" w:eastAsia="仿宋" w:cs="仿宋_GB2312"/>
          <w:sz w:val="32"/>
          <w:szCs w:val="32"/>
        </w:rPr>
      </w:pPr>
      <w:r>
        <w:rPr>
          <w:rFonts w:ascii="仿宋" w:hAnsi="仿宋" w:eastAsia="仿宋" w:cs="仿宋_GB2312"/>
          <w:sz w:val="32"/>
          <w:szCs w:val="32"/>
        </w:rPr>
        <w:t>(2)</w:t>
      </w:r>
      <w:r>
        <w:rPr>
          <w:rFonts w:hint="eastAsia" w:ascii="仿宋" w:hAnsi="仿宋" w:eastAsia="仿宋" w:cs="仿宋_GB2312"/>
          <w:sz w:val="32"/>
          <w:szCs w:val="32"/>
        </w:rPr>
        <w:t>制定评价实施方案，确定现场评价时间；</w:t>
      </w:r>
    </w:p>
    <w:p>
      <w:pPr>
        <w:pStyle w:val="5"/>
        <w:spacing w:beforeAutospacing="0" w:afterAutospacing="0" w:line="600" w:lineRule="exact"/>
        <w:ind w:left="279" w:leftChars="133" w:firstLine="320" w:firstLineChars="100"/>
        <w:rPr>
          <w:rFonts w:ascii="仿宋" w:hAnsi="仿宋" w:eastAsia="仿宋" w:cs="仿宋_GB2312"/>
          <w:sz w:val="32"/>
          <w:szCs w:val="32"/>
        </w:rPr>
      </w:pPr>
      <w:r>
        <w:rPr>
          <w:rFonts w:ascii="仿宋" w:hAnsi="仿宋" w:eastAsia="仿宋" w:cs="仿宋_GB2312"/>
          <w:sz w:val="32"/>
          <w:szCs w:val="32"/>
        </w:rPr>
        <w:t>(3)</w:t>
      </w:r>
      <w:r>
        <w:rPr>
          <w:rFonts w:hint="eastAsia" w:ascii="仿宋" w:hAnsi="仿宋" w:eastAsia="仿宋" w:cs="仿宋_GB2312"/>
          <w:sz w:val="32"/>
          <w:szCs w:val="32"/>
        </w:rPr>
        <w:t>确定需要各站所配合的事项；</w:t>
      </w:r>
    </w:p>
    <w:p>
      <w:pPr>
        <w:pStyle w:val="5"/>
        <w:spacing w:beforeAutospacing="0" w:afterAutospacing="0" w:line="600" w:lineRule="exact"/>
        <w:ind w:left="279" w:leftChars="133" w:firstLine="320" w:firstLineChars="100"/>
        <w:rPr>
          <w:rFonts w:ascii="仿宋" w:hAnsi="仿宋" w:eastAsia="仿宋" w:cs="仿宋_GB2312"/>
          <w:sz w:val="32"/>
          <w:szCs w:val="32"/>
        </w:rPr>
      </w:pPr>
      <w:r>
        <w:rPr>
          <w:rFonts w:ascii="仿宋" w:hAnsi="仿宋" w:eastAsia="仿宋" w:cs="仿宋_GB2312"/>
          <w:sz w:val="32"/>
          <w:szCs w:val="32"/>
        </w:rPr>
        <w:t>(4)</w:t>
      </w:r>
      <w:r>
        <w:rPr>
          <w:rFonts w:hint="eastAsia" w:ascii="仿宋" w:hAnsi="仿宋" w:eastAsia="仿宋" w:cs="仿宋_GB2312"/>
          <w:sz w:val="32"/>
          <w:szCs w:val="32"/>
        </w:rPr>
        <w:t>召开评价工作布置会，并对评价相关人员进行培训；</w:t>
      </w:r>
    </w:p>
    <w:p>
      <w:pPr>
        <w:pStyle w:val="5"/>
        <w:spacing w:beforeAutospacing="0" w:afterAutospacing="0" w:line="600" w:lineRule="exact"/>
        <w:ind w:left="279" w:leftChars="133" w:firstLine="320" w:firstLineChars="100"/>
        <w:rPr>
          <w:rFonts w:ascii="仿宋" w:hAnsi="仿宋" w:eastAsia="仿宋" w:cs="仿宋_GB2312"/>
          <w:sz w:val="32"/>
          <w:szCs w:val="32"/>
        </w:rPr>
      </w:pPr>
      <w:r>
        <w:rPr>
          <w:rFonts w:ascii="仿宋" w:hAnsi="仿宋" w:eastAsia="仿宋" w:cs="仿宋_GB2312"/>
          <w:sz w:val="32"/>
          <w:szCs w:val="32"/>
        </w:rPr>
        <w:t>(5)</w:t>
      </w:r>
      <w:r>
        <w:rPr>
          <w:rFonts w:hint="eastAsia" w:ascii="仿宋" w:hAnsi="仿宋" w:eastAsia="仿宋" w:cs="仿宋_GB2312"/>
          <w:sz w:val="32"/>
          <w:szCs w:val="32"/>
        </w:rPr>
        <w:t>了解收集整理绩效自评的相关资料。</w:t>
      </w:r>
    </w:p>
    <w:p>
      <w:pPr>
        <w:pStyle w:val="5"/>
        <w:spacing w:beforeAutospacing="0" w:afterAutospacing="0" w:line="600" w:lineRule="exact"/>
        <w:ind w:left="279" w:leftChars="133" w:firstLine="320" w:firstLineChars="100"/>
        <w:rPr>
          <w:rFonts w:ascii="仿宋" w:hAnsi="仿宋" w:eastAsia="仿宋" w:cs="仿宋_GB2312"/>
          <w:sz w:val="32"/>
          <w:szCs w:val="32"/>
        </w:rPr>
      </w:pPr>
      <w:r>
        <w:rPr>
          <w:rFonts w:ascii="仿宋" w:hAnsi="仿宋" w:eastAsia="仿宋" w:cs="仿宋_GB2312"/>
          <w:sz w:val="32"/>
          <w:szCs w:val="32"/>
        </w:rPr>
        <w:t>2</w:t>
      </w:r>
      <w:r>
        <w:rPr>
          <w:rFonts w:hint="eastAsia" w:ascii="仿宋" w:hAnsi="仿宋" w:eastAsia="仿宋" w:cs="仿宋_GB2312"/>
          <w:sz w:val="32"/>
          <w:szCs w:val="32"/>
        </w:rPr>
        <w:t>、组织实施（</w:t>
      </w:r>
      <w:r>
        <w:rPr>
          <w:rFonts w:ascii="仿宋" w:hAnsi="仿宋" w:eastAsia="仿宋" w:cs="仿宋_GB2312"/>
          <w:sz w:val="32"/>
          <w:szCs w:val="32"/>
        </w:rPr>
        <w:t>20</w:t>
      </w:r>
      <w:r>
        <w:rPr>
          <w:rFonts w:hint="eastAsia" w:ascii="仿宋" w:hAnsi="仿宋" w:eastAsia="仿宋" w:cs="仿宋_GB2312"/>
          <w:sz w:val="32"/>
          <w:szCs w:val="32"/>
        </w:rPr>
        <w:t>21年4月</w:t>
      </w:r>
      <w:r>
        <w:rPr>
          <w:rFonts w:ascii="仿宋" w:hAnsi="仿宋" w:eastAsia="仿宋" w:cs="仿宋_GB2312"/>
          <w:sz w:val="32"/>
          <w:szCs w:val="32"/>
        </w:rPr>
        <w:t>16</w:t>
      </w:r>
      <w:r>
        <w:rPr>
          <w:rFonts w:hint="eastAsia" w:ascii="仿宋" w:hAnsi="仿宋" w:eastAsia="仿宋" w:cs="仿宋_GB2312"/>
          <w:sz w:val="32"/>
          <w:szCs w:val="32"/>
        </w:rPr>
        <w:t>日</w:t>
      </w:r>
      <w:r>
        <w:rPr>
          <w:rFonts w:ascii="仿宋" w:hAnsi="仿宋" w:eastAsia="仿宋" w:cs="仿宋_GB2312"/>
          <w:sz w:val="32"/>
          <w:szCs w:val="32"/>
        </w:rPr>
        <w:t>—</w:t>
      </w:r>
      <w:r>
        <w:rPr>
          <w:rFonts w:hint="eastAsia" w:ascii="仿宋" w:hAnsi="仿宋" w:eastAsia="仿宋" w:cs="仿宋_GB2312"/>
          <w:sz w:val="32"/>
          <w:szCs w:val="32"/>
        </w:rPr>
        <w:t>4月</w:t>
      </w:r>
      <w:r>
        <w:rPr>
          <w:rFonts w:ascii="仿宋" w:hAnsi="仿宋" w:eastAsia="仿宋" w:cs="仿宋_GB2312"/>
          <w:sz w:val="32"/>
          <w:szCs w:val="32"/>
        </w:rPr>
        <w:t>20</w:t>
      </w:r>
      <w:r>
        <w:rPr>
          <w:rFonts w:hint="eastAsia" w:ascii="仿宋" w:hAnsi="仿宋" w:eastAsia="仿宋" w:cs="仿宋_GB2312"/>
          <w:sz w:val="32"/>
          <w:szCs w:val="32"/>
        </w:rPr>
        <w:t>日）</w:t>
      </w:r>
    </w:p>
    <w:p>
      <w:pPr>
        <w:pStyle w:val="5"/>
        <w:spacing w:beforeAutospacing="0" w:afterAutospacing="0" w:line="600" w:lineRule="exact"/>
        <w:ind w:left="279" w:leftChars="133" w:firstLine="320" w:firstLineChars="100"/>
        <w:rPr>
          <w:rFonts w:ascii="仿宋" w:hAnsi="仿宋" w:eastAsia="仿宋" w:cs="仿宋_GB2312"/>
          <w:sz w:val="32"/>
          <w:szCs w:val="32"/>
        </w:rPr>
      </w:pPr>
      <w:r>
        <w:rPr>
          <w:rFonts w:ascii="仿宋" w:hAnsi="仿宋" w:eastAsia="仿宋" w:cs="仿宋_GB2312"/>
          <w:sz w:val="32"/>
          <w:szCs w:val="32"/>
        </w:rPr>
        <w:t>(1)</w:t>
      </w:r>
      <w:r>
        <w:rPr>
          <w:rFonts w:hint="eastAsia" w:ascii="仿宋" w:hAnsi="仿宋" w:eastAsia="仿宋" w:cs="仿宋_GB2312"/>
          <w:sz w:val="32"/>
          <w:szCs w:val="32"/>
        </w:rPr>
        <w:t>填报基础数据表、信息调查表；</w:t>
      </w:r>
    </w:p>
    <w:p>
      <w:pPr>
        <w:pStyle w:val="5"/>
        <w:spacing w:beforeAutospacing="0" w:afterAutospacing="0" w:line="600" w:lineRule="exact"/>
        <w:ind w:left="279" w:leftChars="133" w:firstLine="320" w:firstLineChars="100"/>
        <w:rPr>
          <w:rFonts w:ascii="仿宋" w:hAnsi="仿宋" w:eastAsia="仿宋" w:cs="仿宋_GB2312"/>
          <w:sz w:val="32"/>
          <w:szCs w:val="32"/>
        </w:rPr>
      </w:pPr>
      <w:r>
        <w:rPr>
          <w:rFonts w:ascii="仿宋" w:hAnsi="仿宋" w:eastAsia="仿宋" w:cs="仿宋_GB2312"/>
          <w:sz w:val="32"/>
          <w:szCs w:val="32"/>
        </w:rPr>
        <w:t>(2)</w:t>
      </w:r>
      <w:r>
        <w:rPr>
          <w:rFonts w:hint="eastAsia" w:ascii="仿宋" w:hAnsi="仿宋" w:eastAsia="仿宋" w:cs="仿宋_GB2312"/>
          <w:sz w:val="32"/>
          <w:szCs w:val="32"/>
        </w:rPr>
        <w:t>评价小组收集相关资料；</w:t>
      </w:r>
    </w:p>
    <w:p>
      <w:pPr>
        <w:pStyle w:val="5"/>
        <w:spacing w:beforeAutospacing="0" w:afterAutospacing="0" w:line="600" w:lineRule="exact"/>
        <w:ind w:left="279" w:leftChars="133" w:firstLine="320" w:firstLineChars="100"/>
        <w:rPr>
          <w:rFonts w:ascii="仿宋" w:hAnsi="仿宋" w:eastAsia="仿宋" w:cs="仿宋_GB2312"/>
          <w:sz w:val="32"/>
          <w:szCs w:val="32"/>
        </w:rPr>
      </w:pPr>
      <w:r>
        <w:rPr>
          <w:rFonts w:ascii="仿宋" w:hAnsi="仿宋" w:eastAsia="仿宋" w:cs="仿宋_GB2312"/>
          <w:sz w:val="32"/>
          <w:szCs w:val="32"/>
        </w:rPr>
        <w:t>(3)</w:t>
      </w:r>
      <w:r>
        <w:rPr>
          <w:rFonts w:hint="eastAsia" w:ascii="仿宋" w:hAnsi="仿宋" w:eastAsia="仿宋" w:cs="仿宋_GB2312"/>
          <w:sz w:val="32"/>
          <w:szCs w:val="32"/>
        </w:rPr>
        <w:t>进行实地考评。</w:t>
      </w:r>
    </w:p>
    <w:p>
      <w:pPr>
        <w:pStyle w:val="5"/>
        <w:spacing w:beforeAutospacing="0" w:afterAutospacing="0" w:line="600" w:lineRule="exact"/>
        <w:ind w:left="279" w:leftChars="133" w:firstLine="320" w:firstLineChars="100"/>
        <w:rPr>
          <w:rFonts w:ascii="仿宋" w:hAnsi="仿宋" w:eastAsia="仿宋" w:cs="仿宋_GB2312"/>
          <w:sz w:val="32"/>
          <w:szCs w:val="32"/>
        </w:rPr>
      </w:pPr>
      <w:r>
        <w:rPr>
          <w:rFonts w:ascii="仿宋" w:hAnsi="仿宋" w:eastAsia="仿宋" w:cs="仿宋_GB2312"/>
          <w:sz w:val="32"/>
          <w:szCs w:val="32"/>
        </w:rPr>
        <w:t>3</w:t>
      </w:r>
      <w:r>
        <w:rPr>
          <w:rFonts w:hint="eastAsia" w:ascii="仿宋" w:hAnsi="仿宋" w:eastAsia="仿宋" w:cs="仿宋_GB2312"/>
          <w:sz w:val="32"/>
          <w:szCs w:val="32"/>
        </w:rPr>
        <w:t>、分析评价（</w:t>
      </w:r>
      <w:r>
        <w:rPr>
          <w:rFonts w:ascii="仿宋" w:hAnsi="仿宋" w:eastAsia="仿宋" w:cs="仿宋_GB2312"/>
          <w:sz w:val="32"/>
          <w:szCs w:val="32"/>
        </w:rPr>
        <w:t>20</w:t>
      </w:r>
      <w:r>
        <w:rPr>
          <w:rFonts w:hint="eastAsia" w:ascii="仿宋" w:hAnsi="仿宋" w:eastAsia="仿宋" w:cs="仿宋_GB2312"/>
          <w:sz w:val="32"/>
          <w:szCs w:val="32"/>
        </w:rPr>
        <w:t>21年4月</w:t>
      </w:r>
      <w:r>
        <w:rPr>
          <w:rFonts w:ascii="仿宋" w:hAnsi="仿宋" w:eastAsia="仿宋" w:cs="仿宋_GB2312"/>
          <w:sz w:val="32"/>
          <w:szCs w:val="32"/>
        </w:rPr>
        <w:t>21</w:t>
      </w:r>
      <w:r>
        <w:rPr>
          <w:rFonts w:hint="eastAsia" w:ascii="仿宋" w:hAnsi="仿宋" w:eastAsia="仿宋" w:cs="仿宋_GB2312"/>
          <w:sz w:val="32"/>
          <w:szCs w:val="32"/>
        </w:rPr>
        <w:t>日</w:t>
      </w:r>
      <w:r>
        <w:rPr>
          <w:rFonts w:ascii="仿宋" w:hAnsi="仿宋" w:eastAsia="仿宋" w:cs="仿宋_GB2312"/>
          <w:sz w:val="32"/>
          <w:szCs w:val="32"/>
        </w:rPr>
        <w:t>—</w:t>
      </w:r>
      <w:r>
        <w:rPr>
          <w:rFonts w:hint="eastAsia" w:ascii="仿宋" w:hAnsi="仿宋" w:eastAsia="仿宋" w:cs="仿宋_GB2312"/>
          <w:sz w:val="32"/>
          <w:szCs w:val="32"/>
        </w:rPr>
        <w:t>4月</w:t>
      </w:r>
      <w:r>
        <w:rPr>
          <w:rFonts w:ascii="仿宋" w:hAnsi="仿宋" w:eastAsia="仿宋" w:cs="仿宋_GB2312"/>
          <w:sz w:val="32"/>
          <w:szCs w:val="32"/>
        </w:rPr>
        <w:t>28</w:t>
      </w:r>
      <w:r>
        <w:rPr>
          <w:rFonts w:hint="eastAsia" w:ascii="仿宋" w:hAnsi="仿宋" w:eastAsia="仿宋" w:cs="仿宋_GB2312"/>
          <w:sz w:val="32"/>
          <w:szCs w:val="32"/>
        </w:rPr>
        <w:t>日）</w:t>
      </w:r>
    </w:p>
    <w:p>
      <w:pPr>
        <w:pStyle w:val="5"/>
        <w:spacing w:beforeAutospacing="0" w:afterAutospacing="0" w:line="600" w:lineRule="exact"/>
        <w:ind w:left="279" w:leftChars="133" w:firstLine="320" w:firstLineChars="100"/>
        <w:rPr>
          <w:rFonts w:ascii="仿宋" w:hAnsi="仿宋" w:eastAsia="仿宋" w:cs="仿宋_GB2312"/>
          <w:sz w:val="32"/>
          <w:szCs w:val="32"/>
        </w:rPr>
      </w:pPr>
      <w:r>
        <w:rPr>
          <w:rFonts w:ascii="仿宋" w:hAnsi="仿宋" w:eastAsia="仿宋" w:cs="仿宋_GB2312"/>
          <w:sz w:val="32"/>
          <w:szCs w:val="32"/>
        </w:rPr>
        <w:t>(1)</w:t>
      </w:r>
      <w:r>
        <w:rPr>
          <w:rFonts w:hint="eastAsia" w:ascii="仿宋" w:hAnsi="仿宋" w:eastAsia="仿宋" w:cs="仿宋_GB2312"/>
          <w:sz w:val="32"/>
          <w:szCs w:val="32"/>
        </w:rPr>
        <w:t>评价小组根据有关规定，整理、综合分析项目相关信息；</w:t>
      </w:r>
    </w:p>
    <w:p>
      <w:pPr>
        <w:pStyle w:val="5"/>
        <w:spacing w:beforeAutospacing="0" w:afterAutospacing="0" w:line="600" w:lineRule="exact"/>
        <w:ind w:left="279" w:leftChars="133" w:firstLine="320" w:firstLineChars="100"/>
        <w:rPr>
          <w:rFonts w:ascii="仿宋" w:hAnsi="仿宋" w:eastAsia="仿宋" w:cs="仿宋_GB2312"/>
          <w:sz w:val="32"/>
          <w:szCs w:val="32"/>
        </w:rPr>
      </w:pPr>
      <w:r>
        <w:rPr>
          <w:rFonts w:ascii="仿宋" w:hAnsi="仿宋" w:eastAsia="仿宋" w:cs="仿宋_GB2312"/>
          <w:sz w:val="32"/>
          <w:szCs w:val="32"/>
        </w:rPr>
        <w:t>(2)</w:t>
      </w:r>
      <w:r>
        <w:rPr>
          <w:rFonts w:hint="eastAsia" w:ascii="仿宋" w:hAnsi="仿宋" w:eastAsia="仿宋" w:cs="仿宋_GB2312"/>
          <w:sz w:val="32"/>
          <w:szCs w:val="32"/>
        </w:rPr>
        <w:t>评价小组根据相关资料撰写绩效评价报告；</w:t>
      </w:r>
    </w:p>
    <w:p>
      <w:pPr>
        <w:pStyle w:val="5"/>
        <w:spacing w:beforeAutospacing="0" w:afterAutospacing="0" w:line="600" w:lineRule="exact"/>
        <w:ind w:left="279" w:leftChars="133" w:firstLine="320" w:firstLineChars="100"/>
        <w:rPr>
          <w:rFonts w:ascii="仿宋" w:hAnsi="仿宋" w:eastAsia="仿宋" w:cs="仿宋_GB2312"/>
          <w:sz w:val="32"/>
          <w:szCs w:val="32"/>
        </w:rPr>
      </w:pPr>
      <w:r>
        <w:rPr>
          <w:rFonts w:ascii="仿宋" w:hAnsi="仿宋" w:eastAsia="仿宋" w:cs="仿宋_GB2312"/>
          <w:sz w:val="32"/>
          <w:szCs w:val="32"/>
        </w:rPr>
        <w:t>(3)</w:t>
      </w:r>
      <w:r>
        <w:rPr>
          <w:rFonts w:hint="eastAsia" w:ascii="仿宋" w:hAnsi="仿宋" w:eastAsia="仿宋" w:cs="仿宋_GB2312"/>
          <w:sz w:val="32"/>
          <w:szCs w:val="32"/>
        </w:rPr>
        <w:t>就初步结果和评价报告初稿与相关方面进行沟通；</w:t>
      </w:r>
    </w:p>
    <w:p>
      <w:pPr>
        <w:pStyle w:val="5"/>
        <w:spacing w:beforeAutospacing="0" w:afterAutospacing="0" w:line="600" w:lineRule="exact"/>
        <w:ind w:left="279" w:leftChars="133" w:firstLine="320" w:firstLineChars="100"/>
        <w:rPr>
          <w:rFonts w:ascii="仿宋" w:hAnsi="仿宋" w:eastAsia="仿宋" w:cs="仿宋_GB2312"/>
          <w:sz w:val="32"/>
          <w:szCs w:val="32"/>
        </w:rPr>
      </w:pPr>
      <w:r>
        <w:rPr>
          <w:rFonts w:ascii="仿宋" w:hAnsi="仿宋" w:eastAsia="仿宋" w:cs="仿宋_GB2312"/>
          <w:sz w:val="32"/>
          <w:szCs w:val="32"/>
        </w:rPr>
        <w:t>(4)</w:t>
      </w:r>
      <w:r>
        <w:rPr>
          <w:rFonts w:hint="eastAsia" w:ascii="仿宋" w:hAnsi="仿宋" w:eastAsia="仿宋" w:cs="仿宋_GB2312"/>
          <w:sz w:val="32"/>
          <w:szCs w:val="32"/>
        </w:rPr>
        <w:t>提交正式绩效评价报告。</w:t>
      </w:r>
    </w:p>
    <w:p>
      <w:pPr>
        <w:pStyle w:val="5"/>
        <w:spacing w:beforeAutospacing="0" w:afterAutospacing="0" w:line="600" w:lineRule="exact"/>
        <w:ind w:left="279" w:leftChars="133" w:firstLine="321" w:firstLineChars="100"/>
        <w:rPr>
          <w:rFonts w:ascii="仿宋" w:hAnsi="仿宋" w:eastAsia="仿宋" w:cs="仿宋_GB2312"/>
          <w:b/>
          <w:bCs/>
          <w:sz w:val="32"/>
          <w:szCs w:val="32"/>
        </w:rPr>
      </w:pPr>
      <w:r>
        <w:rPr>
          <w:rFonts w:hint="eastAsia" w:ascii="仿宋" w:hAnsi="仿宋" w:eastAsia="仿宋" w:cs="仿宋_GB2312"/>
          <w:b/>
          <w:bCs/>
          <w:sz w:val="32"/>
          <w:szCs w:val="32"/>
        </w:rPr>
        <w:t>（二）部门自评情况</w:t>
      </w:r>
    </w:p>
    <w:p>
      <w:pPr>
        <w:pStyle w:val="5"/>
        <w:spacing w:beforeAutospacing="0" w:afterAutospacing="0"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在自评过程中，我们结合本部门的实际情况，实施了资料审阅、账务核实、现场查勘、抽查支付记录、询问、分析计算等必要的评价程序，通过对绩效目标与绩效结果进行比较，综合分析评价绩效目标完成情况，自评工作业已完成。根据部门整体支出绩效评价指标体系自评得分</w:t>
      </w:r>
      <w:r>
        <w:rPr>
          <w:rFonts w:ascii="仿宋" w:hAnsi="仿宋" w:eastAsia="仿宋" w:cs="仿宋_GB2312"/>
          <w:sz w:val="32"/>
          <w:szCs w:val="32"/>
        </w:rPr>
        <w:t>95</w:t>
      </w:r>
      <w:r>
        <w:rPr>
          <w:rFonts w:hint="eastAsia" w:ascii="仿宋" w:hAnsi="仿宋" w:eastAsia="仿宋" w:cs="仿宋_GB2312"/>
          <w:sz w:val="32"/>
          <w:szCs w:val="32"/>
        </w:rPr>
        <w:t>分，评定等次：优</w:t>
      </w:r>
    </w:p>
    <w:p>
      <w:pPr>
        <w:pStyle w:val="13"/>
        <w:spacing w:line="600" w:lineRule="exact"/>
        <w:ind w:firstLine="640" w:firstLineChars="200"/>
        <w:rPr>
          <w:rFonts w:ascii="仿宋" w:hAnsi="仿宋" w:eastAsia="仿宋" w:cs="仿宋_GB2312"/>
          <w:b/>
          <w:kern w:val="0"/>
          <w:sz w:val="32"/>
          <w:szCs w:val="32"/>
        </w:rPr>
      </w:pPr>
      <w:r>
        <w:rPr>
          <w:rFonts w:hint="eastAsia" w:ascii="仿宋" w:hAnsi="仿宋" w:eastAsia="仿宋" w:cs="仿宋_GB2312"/>
          <w:kern w:val="0"/>
          <w:sz w:val="32"/>
          <w:szCs w:val="32"/>
        </w:rPr>
        <w:t>三</w:t>
      </w:r>
      <w:r>
        <w:rPr>
          <w:rFonts w:hint="eastAsia" w:ascii="仿宋" w:hAnsi="仿宋" w:eastAsia="仿宋" w:cs="仿宋_GB2312"/>
          <w:b/>
          <w:kern w:val="0"/>
          <w:sz w:val="32"/>
          <w:szCs w:val="32"/>
        </w:rPr>
        <w:t>、部门整体支出绩效情况分析</w:t>
      </w:r>
    </w:p>
    <w:p>
      <w:pPr>
        <w:pStyle w:val="13"/>
        <w:spacing w:line="600" w:lineRule="exact"/>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根据收集的绩效资料，结合被评价单位年度工作情况汇报材料及自评报告内容，湘潭县水利局</w:t>
      </w:r>
      <w:r>
        <w:rPr>
          <w:rFonts w:ascii="仿宋" w:hAnsi="仿宋" w:eastAsia="仿宋" w:cs="仿宋_GB2312"/>
          <w:kern w:val="0"/>
          <w:sz w:val="32"/>
          <w:szCs w:val="32"/>
        </w:rPr>
        <w:t>20</w:t>
      </w:r>
      <w:r>
        <w:rPr>
          <w:rFonts w:hint="eastAsia" w:ascii="仿宋" w:hAnsi="仿宋" w:eastAsia="仿宋" w:cs="仿宋_GB2312"/>
          <w:kern w:val="0"/>
          <w:sz w:val="32"/>
          <w:szCs w:val="32"/>
        </w:rPr>
        <w:t>21年度部门整体支出主要绩效情况如下：</w:t>
      </w:r>
    </w:p>
    <w:p>
      <w:pPr>
        <w:pStyle w:val="13"/>
        <w:spacing w:line="600" w:lineRule="exact"/>
        <w:ind w:firstLine="640" w:firstLineChars="200"/>
        <w:rPr>
          <w:rFonts w:ascii="仿宋" w:hAnsi="仿宋" w:eastAsia="仿宋" w:cs="仿宋_GB2312"/>
          <w:kern w:val="0"/>
          <w:sz w:val="32"/>
          <w:szCs w:val="32"/>
        </w:rPr>
      </w:pPr>
      <w:r>
        <w:rPr>
          <w:rFonts w:ascii="仿宋" w:hAnsi="仿宋" w:eastAsia="仿宋" w:cs="仿宋_GB2312"/>
          <w:kern w:val="0"/>
          <w:sz w:val="32"/>
          <w:szCs w:val="32"/>
        </w:rPr>
        <w:t>1</w:t>
      </w:r>
      <w:r>
        <w:rPr>
          <w:rFonts w:hint="eastAsia" w:ascii="仿宋" w:hAnsi="仿宋" w:eastAsia="仿宋" w:cs="仿宋_GB2312"/>
          <w:kern w:val="0"/>
          <w:sz w:val="32"/>
          <w:szCs w:val="32"/>
        </w:rPr>
        <w:t>、年初预算安排明细情况（按预算报表填列）</w:t>
      </w:r>
    </w:p>
    <w:tbl>
      <w:tblPr>
        <w:tblStyle w:val="6"/>
        <w:tblpPr w:leftFromText="180" w:rightFromText="180" w:vertAnchor="text" w:horzAnchor="page" w:tblpX="1432" w:tblpY="553"/>
        <w:tblOverlap w:val="never"/>
        <w:tblW w:w="9040"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6609"/>
        <w:gridCol w:w="2431"/>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tcBorders>
              <w:top w:val="single" w:color="auto" w:sz="12" w:space="0"/>
            </w:tcBorders>
            <w:vAlign w:val="center"/>
          </w:tcPr>
          <w:p>
            <w:pPr>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预算支出类型</w:t>
            </w:r>
          </w:p>
        </w:tc>
        <w:tc>
          <w:tcPr>
            <w:tcW w:w="2431" w:type="dxa"/>
            <w:tcBorders>
              <w:top w:val="single" w:color="auto" w:sz="12" w:space="0"/>
            </w:tcBorders>
            <w:vAlign w:val="center"/>
          </w:tcPr>
          <w:p>
            <w:pPr>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金额（元）</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vAlign w:val="center"/>
          </w:tcPr>
          <w:p>
            <w:pPr>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一、基本支出</w:t>
            </w:r>
          </w:p>
        </w:tc>
        <w:tc>
          <w:tcPr>
            <w:tcW w:w="2431" w:type="dxa"/>
            <w:vAlign w:val="center"/>
          </w:tcPr>
          <w:p>
            <w:pPr>
              <w:spacing w:line="600" w:lineRule="exact"/>
              <w:jc w:val="center"/>
              <w:rPr>
                <w:rFonts w:ascii="仿宋" w:hAnsi="仿宋" w:eastAsia="仿宋" w:cs="仿宋_GB2312"/>
                <w:color w:val="000000" w:themeColor="text1"/>
                <w:sz w:val="32"/>
                <w:szCs w:val="32"/>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vAlign w:val="center"/>
          </w:tcPr>
          <w:p>
            <w:pPr>
              <w:spacing w:line="600" w:lineRule="exact"/>
              <w:jc w:val="center"/>
              <w:rPr>
                <w:rFonts w:ascii="仿宋" w:hAnsi="仿宋" w:eastAsia="仿宋" w:cs="仿宋_GB2312"/>
                <w:color w:val="000000" w:themeColor="text1"/>
                <w:sz w:val="32"/>
                <w:szCs w:val="32"/>
              </w:rPr>
            </w:pPr>
            <w:r>
              <w:rPr>
                <w:rFonts w:ascii="仿宋" w:hAnsi="仿宋" w:eastAsia="仿宋" w:cs="仿宋_GB2312"/>
                <w:color w:val="000000" w:themeColor="text1"/>
                <w:sz w:val="32"/>
                <w:szCs w:val="32"/>
              </w:rPr>
              <w:t>1</w:t>
            </w:r>
            <w:r>
              <w:rPr>
                <w:rFonts w:hint="eastAsia" w:ascii="仿宋" w:hAnsi="仿宋" w:eastAsia="仿宋" w:cs="仿宋_GB2312"/>
                <w:color w:val="000000" w:themeColor="text1"/>
                <w:sz w:val="32"/>
                <w:szCs w:val="32"/>
              </w:rPr>
              <w:t>、工资福利支出</w:t>
            </w:r>
          </w:p>
        </w:tc>
        <w:tc>
          <w:tcPr>
            <w:tcW w:w="2431" w:type="dxa"/>
            <w:vAlign w:val="center"/>
          </w:tcPr>
          <w:p>
            <w:pPr>
              <w:pStyle w:val="13"/>
              <w:jc w:val="center"/>
              <w:rPr>
                <w:rFonts w:ascii="仿宋" w:hAnsi="仿宋" w:eastAsia="仿宋"/>
                <w:color w:val="000000" w:themeColor="text1"/>
                <w:sz w:val="32"/>
                <w:szCs w:val="32"/>
              </w:rPr>
            </w:pPr>
            <w:r>
              <w:rPr>
                <w:rFonts w:ascii="仿宋" w:hAnsi="仿宋" w:eastAsia="仿宋"/>
                <w:color w:val="000000" w:themeColor="text1"/>
                <w:sz w:val="32"/>
                <w:szCs w:val="32"/>
              </w:rPr>
              <w:t>8901804</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vAlign w:val="center"/>
          </w:tcPr>
          <w:p>
            <w:pPr>
              <w:spacing w:line="600" w:lineRule="exact"/>
              <w:jc w:val="center"/>
              <w:rPr>
                <w:rFonts w:ascii="仿宋" w:hAnsi="仿宋" w:eastAsia="仿宋" w:cs="仿宋_GB2312"/>
                <w:color w:val="000000" w:themeColor="text1"/>
                <w:sz w:val="32"/>
                <w:szCs w:val="32"/>
              </w:rPr>
            </w:pPr>
            <w:r>
              <w:rPr>
                <w:rFonts w:ascii="仿宋" w:hAnsi="仿宋" w:eastAsia="仿宋" w:cs="仿宋_GB2312"/>
                <w:color w:val="000000" w:themeColor="text1"/>
                <w:sz w:val="32"/>
                <w:szCs w:val="32"/>
              </w:rPr>
              <w:t>2</w:t>
            </w:r>
            <w:r>
              <w:rPr>
                <w:rFonts w:hint="eastAsia" w:ascii="仿宋" w:hAnsi="仿宋" w:eastAsia="仿宋" w:cs="仿宋_GB2312"/>
                <w:color w:val="000000" w:themeColor="text1"/>
                <w:sz w:val="32"/>
                <w:szCs w:val="32"/>
              </w:rPr>
              <w:t>、商品和服务支出</w:t>
            </w:r>
          </w:p>
        </w:tc>
        <w:tc>
          <w:tcPr>
            <w:tcW w:w="2431" w:type="dxa"/>
            <w:vAlign w:val="center"/>
          </w:tcPr>
          <w:p>
            <w:pPr>
              <w:pStyle w:val="13"/>
              <w:jc w:val="center"/>
              <w:rPr>
                <w:rFonts w:ascii="仿宋" w:hAnsi="仿宋" w:eastAsia="仿宋"/>
                <w:color w:val="000000" w:themeColor="text1"/>
                <w:sz w:val="32"/>
                <w:szCs w:val="32"/>
              </w:rPr>
            </w:pPr>
            <w:r>
              <w:rPr>
                <w:rFonts w:ascii="仿宋" w:hAnsi="仿宋" w:eastAsia="仿宋"/>
                <w:color w:val="000000" w:themeColor="text1"/>
                <w:sz w:val="32"/>
                <w:szCs w:val="32"/>
              </w:rPr>
              <w:t>17315</w:t>
            </w:r>
            <w:r>
              <w:rPr>
                <w:rFonts w:hint="eastAsia" w:ascii="仿宋" w:hAnsi="仿宋" w:eastAsia="仿宋"/>
                <w:color w:val="000000" w:themeColor="text1"/>
                <w:sz w:val="32"/>
                <w:szCs w:val="32"/>
              </w:rPr>
              <w:t>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vAlign w:val="center"/>
          </w:tcPr>
          <w:p>
            <w:pPr>
              <w:spacing w:line="600" w:lineRule="exact"/>
              <w:jc w:val="center"/>
              <w:rPr>
                <w:rFonts w:ascii="仿宋" w:hAnsi="仿宋" w:eastAsia="仿宋" w:cs="仿宋_GB2312"/>
                <w:color w:val="000000" w:themeColor="text1"/>
                <w:sz w:val="32"/>
                <w:szCs w:val="32"/>
              </w:rPr>
            </w:pPr>
            <w:r>
              <w:rPr>
                <w:rFonts w:ascii="仿宋" w:hAnsi="仿宋" w:eastAsia="仿宋" w:cs="仿宋_GB2312"/>
                <w:color w:val="000000" w:themeColor="text1"/>
                <w:sz w:val="32"/>
                <w:szCs w:val="32"/>
              </w:rPr>
              <w:t>3</w:t>
            </w:r>
            <w:r>
              <w:rPr>
                <w:rFonts w:hint="eastAsia" w:ascii="仿宋" w:hAnsi="仿宋" w:eastAsia="仿宋" w:cs="仿宋_GB2312"/>
                <w:color w:val="000000" w:themeColor="text1"/>
                <w:sz w:val="32"/>
                <w:szCs w:val="32"/>
              </w:rPr>
              <w:t>、其他资本性支出</w:t>
            </w:r>
          </w:p>
        </w:tc>
        <w:tc>
          <w:tcPr>
            <w:tcW w:w="2431" w:type="dxa"/>
            <w:vAlign w:val="center"/>
          </w:tcPr>
          <w:p>
            <w:pPr>
              <w:tabs>
                <w:tab w:val="left" w:pos="4053"/>
                <w:tab w:val="left" w:pos="4161"/>
              </w:tabs>
              <w:spacing w:line="600" w:lineRule="exact"/>
              <w:jc w:val="center"/>
              <w:rPr>
                <w:rFonts w:ascii="仿宋" w:hAnsi="仿宋" w:eastAsia="仿宋" w:cs="仿宋_GB2312"/>
                <w:color w:val="000000" w:themeColor="text1"/>
                <w:sz w:val="32"/>
                <w:szCs w:val="32"/>
              </w:rPr>
            </w:pPr>
            <w:r>
              <w:rPr>
                <w:rFonts w:ascii="仿宋" w:hAnsi="仿宋" w:eastAsia="仿宋" w:cs="仿宋_GB2312"/>
                <w:color w:val="000000" w:themeColor="text1"/>
                <w:sz w:val="32"/>
                <w:szCs w:val="32"/>
              </w:rPr>
              <w:t>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vAlign w:val="center"/>
          </w:tcPr>
          <w:p>
            <w:pPr>
              <w:spacing w:line="600" w:lineRule="exact"/>
              <w:jc w:val="center"/>
              <w:rPr>
                <w:rFonts w:ascii="仿宋" w:hAnsi="仿宋" w:eastAsia="仿宋" w:cs="仿宋_GB2312"/>
                <w:color w:val="000000" w:themeColor="text1"/>
                <w:sz w:val="32"/>
                <w:szCs w:val="32"/>
              </w:rPr>
            </w:pPr>
            <w:r>
              <w:rPr>
                <w:rFonts w:ascii="仿宋" w:hAnsi="仿宋" w:eastAsia="仿宋" w:cs="仿宋_GB2312"/>
                <w:color w:val="000000" w:themeColor="text1"/>
                <w:sz w:val="32"/>
                <w:szCs w:val="32"/>
              </w:rPr>
              <w:t>4</w:t>
            </w:r>
            <w:r>
              <w:rPr>
                <w:rFonts w:hint="eastAsia" w:ascii="仿宋" w:hAnsi="仿宋" w:eastAsia="仿宋" w:cs="仿宋_GB2312"/>
                <w:color w:val="000000" w:themeColor="text1"/>
                <w:sz w:val="32"/>
                <w:szCs w:val="32"/>
              </w:rPr>
              <w:t>、对个人和家庭的补助</w:t>
            </w:r>
          </w:p>
        </w:tc>
        <w:tc>
          <w:tcPr>
            <w:tcW w:w="2431" w:type="dxa"/>
            <w:vAlign w:val="center"/>
          </w:tcPr>
          <w:p>
            <w:pPr>
              <w:tabs>
                <w:tab w:val="left" w:pos="4053"/>
                <w:tab w:val="left" w:pos="4161"/>
              </w:tabs>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97460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6609" w:type="dxa"/>
            <w:vAlign w:val="center"/>
          </w:tcPr>
          <w:p>
            <w:pPr>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基本支出小计</w:t>
            </w:r>
          </w:p>
        </w:tc>
        <w:tc>
          <w:tcPr>
            <w:tcW w:w="2431" w:type="dxa"/>
            <w:vAlign w:val="center"/>
          </w:tcPr>
          <w:p>
            <w:pPr>
              <w:tabs>
                <w:tab w:val="left" w:pos="4053"/>
                <w:tab w:val="left" w:pos="4161"/>
              </w:tabs>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10730764</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vAlign w:val="center"/>
          </w:tcPr>
          <w:p>
            <w:pPr>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二、项目支出</w:t>
            </w:r>
          </w:p>
        </w:tc>
        <w:tc>
          <w:tcPr>
            <w:tcW w:w="2431" w:type="dxa"/>
            <w:vAlign w:val="center"/>
          </w:tcPr>
          <w:p>
            <w:pPr>
              <w:tabs>
                <w:tab w:val="left" w:pos="4053"/>
                <w:tab w:val="left" w:pos="4161"/>
              </w:tabs>
              <w:spacing w:line="600" w:lineRule="exact"/>
              <w:jc w:val="center"/>
              <w:rPr>
                <w:rFonts w:ascii="仿宋" w:hAnsi="仿宋" w:eastAsia="仿宋" w:cs="仿宋_GB2312"/>
                <w:color w:val="000000" w:themeColor="text1"/>
                <w:sz w:val="32"/>
                <w:szCs w:val="32"/>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vAlign w:val="center"/>
          </w:tcPr>
          <w:p>
            <w:pPr>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专项支出</w:t>
            </w:r>
          </w:p>
        </w:tc>
        <w:tc>
          <w:tcPr>
            <w:tcW w:w="2431" w:type="dxa"/>
            <w:vAlign w:val="center"/>
          </w:tcPr>
          <w:p>
            <w:pPr>
              <w:tabs>
                <w:tab w:val="left" w:pos="4053"/>
                <w:tab w:val="left" w:pos="4161"/>
              </w:tabs>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13547364</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vAlign w:val="center"/>
          </w:tcPr>
          <w:p>
            <w:pPr>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项目支出小计</w:t>
            </w:r>
          </w:p>
        </w:tc>
        <w:tc>
          <w:tcPr>
            <w:tcW w:w="2431" w:type="dxa"/>
            <w:vAlign w:val="center"/>
          </w:tcPr>
          <w:p>
            <w:pPr>
              <w:tabs>
                <w:tab w:val="left" w:pos="4053"/>
                <w:tab w:val="left" w:pos="4161"/>
              </w:tabs>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13547364</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tcBorders>
              <w:bottom w:val="single" w:color="auto" w:sz="12" w:space="0"/>
            </w:tcBorders>
            <w:vAlign w:val="center"/>
          </w:tcPr>
          <w:p>
            <w:pPr>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总计</w:t>
            </w:r>
          </w:p>
        </w:tc>
        <w:tc>
          <w:tcPr>
            <w:tcW w:w="2431" w:type="dxa"/>
            <w:tcBorders>
              <w:bottom w:val="single" w:color="auto" w:sz="12" w:space="0"/>
            </w:tcBorders>
            <w:vAlign w:val="center"/>
          </w:tcPr>
          <w:p>
            <w:pPr>
              <w:tabs>
                <w:tab w:val="left" w:pos="4053"/>
                <w:tab w:val="left" w:pos="4161"/>
              </w:tabs>
              <w:spacing w:line="600" w:lineRule="exact"/>
              <w:jc w:val="center"/>
              <w:rPr>
                <w:rFonts w:ascii="仿宋" w:hAnsi="仿宋" w:eastAsia="仿宋" w:cs="仿宋_GB2312"/>
                <w:color w:val="000000" w:themeColor="text1"/>
                <w:sz w:val="32"/>
                <w:szCs w:val="32"/>
                <w:highlight w:val="yellow"/>
              </w:rPr>
            </w:pPr>
            <w:r>
              <w:rPr>
                <w:rFonts w:hint="eastAsia" w:ascii="仿宋" w:hAnsi="仿宋" w:eastAsia="仿宋" w:cs="仿宋_GB2312"/>
                <w:color w:val="000000" w:themeColor="text1"/>
                <w:sz w:val="32"/>
                <w:szCs w:val="32"/>
              </w:rPr>
              <w:t>24278128</w:t>
            </w:r>
          </w:p>
        </w:tc>
      </w:tr>
    </w:tbl>
    <w:p>
      <w:pPr>
        <w:widowControl/>
        <w:shd w:val="clear" w:color="auto" w:fill="FFFFFF"/>
        <w:snapToGrid w:val="0"/>
        <w:spacing w:before="100" w:after="100" w:line="600" w:lineRule="exact"/>
        <w:ind w:firstLine="800" w:firstLineChars="250"/>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湘潭县水利局</w:t>
      </w:r>
      <w:r>
        <w:rPr>
          <w:rFonts w:ascii="仿宋" w:hAnsi="仿宋" w:eastAsia="仿宋" w:cs="仿宋_GB2312"/>
          <w:color w:val="000000" w:themeColor="text1"/>
          <w:kern w:val="0"/>
          <w:sz w:val="32"/>
          <w:szCs w:val="32"/>
        </w:rPr>
        <w:t>20</w:t>
      </w:r>
      <w:r>
        <w:rPr>
          <w:rFonts w:hint="eastAsia" w:ascii="仿宋" w:hAnsi="仿宋" w:eastAsia="仿宋" w:cs="仿宋_GB2312"/>
          <w:color w:val="000000" w:themeColor="text1"/>
          <w:kern w:val="0"/>
          <w:sz w:val="32"/>
          <w:szCs w:val="32"/>
        </w:rPr>
        <w:t>21年三公经费预算明细表</w:t>
      </w:r>
    </w:p>
    <w:tbl>
      <w:tblPr>
        <w:tblStyle w:val="6"/>
        <w:tblW w:w="8520" w:type="dxa"/>
        <w:tblInd w:w="91" w:type="dxa"/>
        <w:tblLayout w:type="fixed"/>
        <w:tblCellMar>
          <w:top w:w="0" w:type="dxa"/>
          <w:left w:w="108" w:type="dxa"/>
          <w:bottom w:w="0" w:type="dxa"/>
          <w:right w:w="108" w:type="dxa"/>
        </w:tblCellMar>
      </w:tblPr>
      <w:tblGrid>
        <w:gridCol w:w="3701"/>
        <w:gridCol w:w="2977"/>
        <w:gridCol w:w="1842"/>
      </w:tblGrid>
      <w:tr>
        <w:tblPrEx>
          <w:tblCellMar>
            <w:top w:w="0" w:type="dxa"/>
            <w:left w:w="108" w:type="dxa"/>
            <w:bottom w:w="0" w:type="dxa"/>
            <w:right w:w="108" w:type="dxa"/>
          </w:tblCellMar>
        </w:tblPrEx>
        <w:trPr>
          <w:trHeight w:val="23" w:hRule="atLeast"/>
        </w:trPr>
        <w:tc>
          <w:tcPr>
            <w:tcW w:w="3701" w:type="dxa"/>
            <w:tcBorders>
              <w:top w:val="single" w:color="auto" w:sz="4" w:space="0"/>
              <w:left w:val="single" w:color="auto" w:sz="4" w:space="0"/>
              <w:bottom w:val="single" w:color="auto" w:sz="4" w:space="0"/>
              <w:right w:val="single" w:color="auto" w:sz="4" w:space="0"/>
            </w:tcBorders>
            <w:vAlign w:val="center"/>
          </w:tcPr>
          <w:p>
            <w:pPr>
              <w:spacing w:line="600" w:lineRule="exact"/>
              <w:ind w:firstLine="1920" w:firstLineChars="600"/>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项目</w:t>
            </w:r>
          </w:p>
        </w:tc>
        <w:tc>
          <w:tcPr>
            <w:tcW w:w="2977" w:type="dxa"/>
            <w:tcBorders>
              <w:top w:val="single" w:color="auto" w:sz="4" w:space="0"/>
              <w:left w:val="nil"/>
              <w:bottom w:val="single" w:color="auto" w:sz="4" w:space="0"/>
              <w:right w:val="single" w:color="auto" w:sz="4" w:space="0"/>
            </w:tcBorders>
            <w:vAlign w:val="center"/>
          </w:tcPr>
          <w:p>
            <w:pPr>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本年预算</w:t>
            </w:r>
            <w:r>
              <w:rPr>
                <w:rFonts w:ascii="仿宋" w:hAnsi="仿宋" w:eastAsia="仿宋" w:cs="仿宋_GB2312"/>
                <w:color w:val="000000" w:themeColor="text1"/>
                <w:sz w:val="32"/>
                <w:szCs w:val="32"/>
              </w:rPr>
              <w:t>(</w:t>
            </w:r>
            <w:r>
              <w:rPr>
                <w:rFonts w:hint="eastAsia" w:ascii="仿宋" w:hAnsi="仿宋" w:eastAsia="仿宋" w:cs="仿宋_GB2312"/>
                <w:color w:val="000000" w:themeColor="text1"/>
                <w:sz w:val="32"/>
                <w:szCs w:val="32"/>
              </w:rPr>
              <w:t>元</w:t>
            </w:r>
            <w:r>
              <w:rPr>
                <w:rFonts w:ascii="仿宋" w:hAnsi="仿宋" w:eastAsia="仿宋" w:cs="仿宋_GB2312"/>
                <w:color w:val="000000" w:themeColor="text1"/>
                <w:sz w:val="32"/>
                <w:szCs w:val="32"/>
              </w:rPr>
              <w:t>)</w:t>
            </w:r>
          </w:p>
        </w:tc>
        <w:tc>
          <w:tcPr>
            <w:tcW w:w="1842" w:type="dxa"/>
            <w:tcBorders>
              <w:top w:val="single" w:color="auto" w:sz="4" w:space="0"/>
              <w:left w:val="nil"/>
              <w:bottom w:val="single" w:color="auto" w:sz="4" w:space="0"/>
              <w:right w:val="single" w:color="auto" w:sz="4" w:space="0"/>
            </w:tcBorders>
            <w:vAlign w:val="center"/>
          </w:tcPr>
          <w:p>
            <w:pPr>
              <w:spacing w:line="600" w:lineRule="exact"/>
              <w:ind w:firstLine="640" w:firstLineChars="200"/>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备注</w:t>
            </w:r>
          </w:p>
        </w:tc>
      </w:tr>
      <w:tr>
        <w:tblPrEx>
          <w:tblCellMar>
            <w:top w:w="0" w:type="dxa"/>
            <w:left w:w="108" w:type="dxa"/>
            <w:bottom w:w="0" w:type="dxa"/>
            <w:right w:w="108" w:type="dxa"/>
          </w:tblCellMar>
        </w:tblPrEx>
        <w:trPr>
          <w:trHeight w:val="560" w:hRule="atLeast"/>
        </w:trPr>
        <w:tc>
          <w:tcPr>
            <w:tcW w:w="3701" w:type="dxa"/>
            <w:tcBorders>
              <w:top w:val="nil"/>
              <w:left w:val="single" w:color="auto" w:sz="4" w:space="0"/>
              <w:bottom w:val="single" w:color="auto" w:sz="4" w:space="0"/>
              <w:right w:val="single" w:color="auto" w:sz="4" w:space="0"/>
            </w:tcBorders>
            <w:vAlign w:val="center"/>
          </w:tcPr>
          <w:p>
            <w:pPr>
              <w:widowControl/>
              <w:spacing w:before="100" w:after="100"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合计</w:t>
            </w:r>
          </w:p>
        </w:tc>
        <w:tc>
          <w:tcPr>
            <w:tcW w:w="2977" w:type="dxa"/>
            <w:tcBorders>
              <w:top w:val="nil"/>
              <w:left w:val="nil"/>
              <w:bottom w:val="single" w:color="auto" w:sz="4" w:space="0"/>
              <w:right w:val="single" w:color="auto" w:sz="4" w:space="0"/>
            </w:tcBorders>
            <w:vAlign w:val="center"/>
          </w:tcPr>
          <w:p>
            <w:pPr>
              <w:widowControl/>
              <w:spacing w:before="100" w:after="100"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sz w:val="32"/>
                <w:szCs w:val="32"/>
              </w:rPr>
              <w:t>273000</w:t>
            </w:r>
          </w:p>
        </w:tc>
        <w:tc>
          <w:tcPr>
            <w:tcW w:w="1842" w:type="dxa"/>
            <w:tcBorders>
              <w:top w:val="nil"/>
              <w:left w:val="nil"/>
              <w:bottom w:val="single" w:color="auto" w:sz="4" w:space="0"/>
              <w:right w:val="single" w:color="auto" w:sz="4" w:space="0"/>
            </w:tcBorders>
            <w:vAlign w:val="center"/>
          </w:tcPr>
          <w:p>
            <w:pPr>
              <w:widowControl/>
              <w:spacing w:before="100" w:after="100" w:line="600" w:lineRule="exact"/>
              <w:jc w:val="center"/>
              <w:rPr>
                <w:rFonts w:ascii="仿宋" w:hAnsi="仿宋" w:eastAsia="仿宋" w:cs="仿宋_GB2312"/>
                <w:color w:val="000000" w:themeColor="text1"/>
                <w:kern w:val="0"/>
                <w:sz w:val="32"/>
                <w:szCs w:val="32"/>
              </w:rPr>
            </w:pPr>
          </w:p>
        </w:tc>
      </w:tr>
      <w:tr>
        <w:tblPrEx>
          <w:tblCellMar>
            <w:top w:w="0" w:type="dxa"/>
            <w:left w:w="108" w:type="dxa"/>
            <w:bottom w:w="0" w:type="dxa"/>
            <w:right w:w="108" w:type="dxa"/>
          </w:tblCellMar>
        </w:tblPrEx>
        <w:trPr>
          <w:trHeight w:val="500" w:hRule="atLeast"/>
        </w:trPr>
        <w:tc>
          <w:tcPr>
            <w:tcW w:w="3701" w:type="dxa"/>
            <w:tcBorders>
              <w:top w:val="nil"/>
              <w:left w:val="single" w:color="auto" w:sz="4" w:space="0"/>
              <w:bottom w:val="single" w:color="auto" w:sz="4" w:space="0"/>
              <w:right w:val="single" w:color="auto" w:sz="4" w:space="0"/>
            </w:tcBorders>
            <w:vAlign w:val="center"/>
          </w:tcPr>
          <w:p>
            <w:pPr>
              <w:widowControl/>
              <w:spacing w:before="100" w:after="100"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sz w:val="32"/>
                <w:szCs w:val="32"/>
              </w:rPr>
              <w:t>一、因公出国（境）费</w:t>
            </w:r>
          </w:p>
        </w:tc>
        <w:tc>
          <w:tcPr>
            <w:tcW w:w="2977" w:type="dxa"/>
            <w:tcBorders>
              <w:top w:val="nil"/>
              <w:left w:val="nil"/>
              <w:bottom w:val="single" w:color="auto" w:sz="4" w:space="0"/>
              <w:right w:val="single" w:color="auto" w:sz="4" w:space="0"/>
            </w:tcBorders>
            <w:vAlign w:val="center"/>
          </w:tcPr>
          <w:p>
            <w:pPr>
              <w:widowControl/>
              <w:spacing w:before="100" w:after="100" w:line="600" w:lineRule="exact"/>
              <w:jc w:val="center"/>
              <w:rPr>
                <w:rFonts w:ascii="仿宋" w:hAnsi="仿宋" w:eastAsia="仿宋" w:cs="仿宋_GB2312"/>
                <w:color w:val="000000" w:themeColor="text1"/>
                <w:kern w:val="0"/>
                <w:sz w:val="32"/>
                <w:szCs w:val="32"/>
              </w:rPr>
            </w:pPr>
            <w:r>
              <w:rPr>
                <w:rFonts w:ascii="仿宋" w:hAnsi="仿宋" w:eastAsia="仿宋" w:cs="仿宋_GB2312"/>
                <w:color w:val="000000" w:themeColor="text1"/>
                <w:kern w:val="0"/>
                <w:sz w:val="32"/>
                <w:szCs w:val="32"/>
              </w:rPr>
              <w:t>0</w:t>
            </w:r>
          </w:p>
        </w:tc>
        <w:tc>
          <w:tcPr>
            <w:tcW w:w="1842" w:type="dxa"/>
            <w:tcBorders>
              <w:top w:val="nil"/>
              <w:left w:val="nil"/>
              <w:bottom w:val="single" w:color="auto" w:sz="4" w:space="0"/>
              <w:right w:val="single" w:color="auto" w:sz="4" w:space="0"/>
            </w:tcBorders>
            <w:vAlign w:val="center"/>
          </w:tcPr>
          <w:p>
            <w:pPr>
              <w:widowControl/>
              <w:spacing w:before="100" w:after="100" w:line="600" w:lineRule="exact"/>
              <w:jc w:val="center"/>
              <w:rPr>
                <w:rFonts w:ascii="仿宋" w:hAnsi="仿宋" w:eastAsia="仿宋" w:cs="仿宋_GB2312"/>
                <w:color w:val="000000" w:themeColor="text1"/>
                <w:kern w:val="0"/>
                <w:sz w:val="32"/>
                <w:szCs w:val="32"/>
              </w:rPr>
            </w:pPr>
          </w:p>
        </w:tc>
      </w:tr>
      <w:tr>
        <w:tblPrEx>
          <w:tblCellMar>
            <w:top w:w="0" w:type="dxa"/>
            <w:left w:w="108" w:type="dxa"/>
            <w:bottom w:w="0" w:type="dxa"/>
            <w:right w:w="108" w:type="dxa"/>
          </w:tblCellMar>
        </w:tblPrEx>
        <w:trPr>
          <w:trHeight w:val="605" w:hRule="atLeast"/>
        </w:trPr>
        <w:tc>
          <w:tcPr>
            <w:tcW w:w="3701" w:type="dxa"/>
            <w:tcBorders>
              <w:top w:val="nil"/>
              <w:left w:val="single" w:color="auto" w:sz="4" w:space="0"/>
              <w:bottom w:val="single" w:color="auto" w:sz="4" w:space="0"/>
              <w:right w:val="single" w:color="auto" w:sz="4" w:space="0"/>
            </w:tcBorders>
            <w:vAlign w:val="center"/>
          </w:tcPr>
          <w:p>
            <w:pPr>
              <w:widowControl/>
              <w:spacing w:before="100" w:after="100"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sz w:val="32"/>
                <w:szCs w:val="32"/>
              </w:rPr>
              <w:t>二、公务接待费</w:t>
            </w:r>
          </w:p>
        </w:tc>
        <w:tc>
          <w:tcPr>
            <w:tcW w:w="2977" w:type="dxa"/>
            <w:tcBorders>
              <w:top w:val="nil"/>
              <w:left w:val="nil"/>
              <w:bottom w:val="single" w:color="auto" w:sz="4" w:space="0"/>
              <w:right w:val="single" w:color="auto" w:sz="4" w:space="0"/>
            </w:tcBorders>
            <w:vAlign w:val="center"/>
          </w:tcPr>
          <w:p>
            <w:pPr>
              <w:widowControl/>
              <w:spacing w:before="100" w:after="100"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sz w:val="32"/>
                <w:szCs w:val="32"/>
              </w:rPr>
              <w:t>81000</w:t>
            </w:r>
          </w:p>
        </w:tc>
        <w:tc>
          <w:tcPr>
            <w:tcW w:w="1842" w:type="dxa"/>
            <w:tcBorders>
              <w:top w:val="nil"/>
              <w:left w:val="nil"/>
              <w:bottom w:val="single" w:color="auto" w:sz="4" w:space="0"/>
              <w:right w:val="single" w:color="auto" w:sz="4" w:space="0"/>
            </w:tcBorders>
            <w:vAlign w:val="center"/>
          </w:tcPr>
          <w:p>
            <w:pPr>
              <w:widowControl/>
              <w:spacing w:before="100" w:after="100" w:line="600" w:lineRule="exact"/>
              <w:jc w:val="center"/>
              <w:rPr>
                <w:rFonts w:ascii="仿宋" w:hAnsi="仿宋" w:eastAsia="仿宋" w:cs="仿宋_GB2312"/>
                <w:color w:val="000000" w:themeColor="text1"/>
                <w:kern w:val="0"/>
                <w:sz w:val="32"/>
                <w:szCs w:val="32"/>
              </w:rPr>
            </w:pPr>
          </w:p>
        </w:tc>
      </w:tr>
      <w:tr>
        <w:tblPrEx>
          <w:tblCellMar>
            <w:top w:w="0" w:type="dxa"/>
            <w:left w:w="108" w:type="dxa"/>
            <w:bottom w:w="0" w:type="dxa"/>
            <w:right w:w="108" w:type="dxa"/>
          </w:tblCellMar>
        </w:tblPrEx>
        <w:trPr>
          <w:trHeight w:val="500" w:hRule="atLeast"/>
        </w:trPr>
        <w:tc>
          <w:tcPr>
            <w:tcW w:w="3701" w:type="dxa"/>
            <w:tcBorders>
              <w:top w:val="nil"/>
              <w:left w:val="single" w:color="auto" w:sz="4" w:space="0"/>
              <w:bottom w:val="single" w:color="auto" w:sz="4" w:space="0"/>
              <w:right w:val="single" w:color="auto" w:sz="4" w:space="0"/>
            </w:tcBorders>
            <w:vAlign w:val="center"/>
          </w:tcPr>
          <w:p>
            <w:pPr>
              <w:widowControl/>
              <w:spacing w:before="100" w:after="100"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sz w:val="32"/>
                <w:szCs w:val="32"/>
              </w:rPr>
              <w:t>三、公务用车购置及运行费</w:t>
            </w:r>
          </w:p>
        </w:tc>
        <w:tc>
          <w:tcPr>
            <w:tcW w:w="2977" w:type="dxa"/>
            <w:tcBorders>
              <w:top w:val="nil"/>
              <w:left w:val="nil"/>
              <w:bottom w:val="single" w:color="auto" w:sz="4" w:space="0"/>
              <w:right w:val="single" w:color="auto" w:sz="4" w:space="0"/>
            </w:tcBorders>
            <w:vAlign w:val="center"/>
          </w:tcPr>
          <w:p>
            <w:pPr>
              <w:widowControl/>
              <w:spacing w:before="100" w:after="100"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sz w:val="32"/>
                <w:szCs w:val="32"/>
              </w:rPr>
              <w:t>192000</w:t>
            </w:r>
          </w:p>
        </w:tc>
        <w:tc>
          <w:tcPr>
            <w:tcW w:w="1842" w:type="dxa"/>
            <w:tcBorders>
              <w:top w:val="nil"/>
              <w:left w:val="nil"/>
              <w:bottom w:val="single" w:color="auto" w:sz="4" w:space="0"/>
              <w:right w:val="single" w:color="auto" w:sz="4" w:space="0"/>
            </w:tcBorders>
            <w:vAlign w:val="center"/>
          </w:tcPr>
          <w:p>
            <w:pPr>
              <w:widowControl/>
              <w:spacing w:before="100" w:after="100" w:line="600" w:lineRule="exact"/>
              <w:jc w:val="center"/>
              <w:rPr>
                <w:rFonts w:ascii="仿宋" w:hAnsi="仿宋" w:eastAsia="仿宋" w:cs="仿宋_GB2312"/>
                <w:color w:val="000000" w:themeColor="text1"/>
                <w:kern w:val="0"/>
                <w:sz w:val="32"/>
                <w:szCs w:val="32"/>
              </w:rPr>
            </w:pPr>
          </w:p>
        </w:tc>
      </w:tr>
      <w:tr>
        <w:tblPrEx>
          <w:tblCellMar>
            <w:top w:w="0" w:type="dxa"/>
            <w:left w:w="108" w:type="dxa"/>
            <w:bottom w:w="0" w:type="dxa"/>
            <w:right w:w="108" w:type="dxa"/>
          </w:tblCellMar>
        </w:tblPrEx>
        <w:trPr>
          <w:trHeight w:val="90" w:hRule="atLeast"/>
        </w:trPr>
        <w:tc>
          <w:tcPr>
            <w:tcW w:w="3701" w:type="dxa"/>
            <w:tcBorders>
              <w:top w:val="nil"/>
              <w:left w:val="single" w:color="auto" w:sz="4" w:space="0"/>
              <w:bottom w:val="single" w:color="auto" w:sz="4" w:space="0"/>
              <w:right w:val="single" w:color="auto" w:sz="4" w:space="0"/>
            </w:tcBorders>
            <w:vAlign w:val="center"/>
          </w:tcPr>
          <w:p>
            <w:pPr>
              <w:widowControl/>
              <w:spacing w:before="100" w:after="100"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sz w:val="32"/>
                <w:szCs w:val="32"/>
              </w:rPr>
              <w:t>其中：（</w:t>
            </w:r>
            <w:r>
              <w:rPr>
                <w:rFonts w:ascii="仿宋" w:hAnsi="仿宋" w:eastAsia="仿宋" w:cs="仿宋_GB2312"/>
                <w:color w:val="000000" w:themeColor="text1"/>
                <w:sz w:val="32"/>
                <w:szCs w:val="32"/>
              </w:rPr>
              <w:t>1</w:t>
            </w:r>
            <w:r>
              <w:rPr>
                <w:rFonts w:hint="eastAsia" w:ascii="仿宋" w:hAnsi="仿宋" w:eastAsia="仿宋" w:cs="仿宋_GB2312"/>
                <w:color w:val="000000" w:themeColor="text1"/>
                <w:sz w:val="32"/>
                <w:szCs w:val="32"/>
              </w:rPr>
              <w:t>）公务用车运行维护费</w:t>
            </w:r>
          </w:p>
        </w:tc>
        <w:tc>
          <w:tcPr>
            <w:tcW w:w="2977" w:type="dxa"/>
            <w:tcBorders>
              <w:top w:val="nil"/>
              <w:left w:val="nil"/>
              <w:bottom w:val="single" w:color="auto" w:sz="4" w:space="0"/>
              <w:right w:val="single" w:color="auto" w:sz="4" w:space="0"/>
            </w:tcBorders>
            <w:vAlign w:val="center"/>
          </w:tcPr>
          <w:p>
            <w:pPr>
              <w:widowControl/>
              <w:spacing w:before="100" w:after="100"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sz w:val="32"/>
                <w:szCs w:val="32"/>
              </w:rPr>
              <w:t>192000</w:t>
            </w:r>
          </w:p>
        </w:tc>
        <w:tc>
          <w:tcPr>
            <w:tcW w:w="1842" w:type="dxa"/>
            <w:tcBorders>
              <w:top w:val="nil"/>
              <w:left w:val="nil"/>
              <w:bottom w:val="single" w:color="auto" w:sz="4" w:space="0"/>
              <w:right w:val="single" w:color="auto" w:sz="4" w:space="0"/>
            </w:tcBorders>
            <w:vAlign w:val="center"/>
          </w:tcPr>
          <w:p>
            <w:pPr>
              <w:widowControl/>
              <w:spacing w:before="100" w:after="100" w:line="600" w:lineRule="exact"/>
              <w:jc w:val="center"/>
              <w:rPr>
                <w:rFonts w:ascii="仿宋" w:hAnsi="仿宋" w:eastAsia="仿宋" w:cs="仿宋_GB2312"/>
                <w:color w:val="000000" w:themeColor="text1"/>
                <w:kern w:val="0"/>
                <w:sz w:val="32"/>
                <w:szCs w:val="32"/>
              </w:rPr>
            </w:pPr>
          </w:p>
        </w:tc>
      </w:tr>
    </w:tbl>
    <w:p>
      <w:pPr>
        <w:pStyle w:val="13"/>
        <w:spacing w:line="600" w:lineRule="exact"/>
        <w:jc w:val="center"/>
        <w:rPr>
          <w:rFonts w:ascii="仿宋" w:hAnsi="仿宋" w:eastAsia="仿宋" w:cs="仿宋_GB2312"/>
          <w:color w:val="000000" w:themeColor="text1"/>
          <w:kern w:val="0"/>
          <w:sz w:val="32"/>
          <w:szCs w:val="32"/>
        </w:rPr>
      </w:pPr>
      <w:r>
        <w:rPr>
          <w:rFonts w:ascii="仿宋" w:hAnsi="仿宋" w:eastAsia="仿宋" w:cs="仿宋_GB2312"/>
          <w:color w:val="000000" w:themeColor="text1"/>
          <w:kern w:val="0"/>
          <w:sz w:val="32"/>
          <w:szCs w:val="32"/>
        </w:rPr>
        <w:t>2</w:t>
      </w:r>
      <w:r>
        <w:rPr>
          <w:rFonts w:hint="eastAsia" w:ascii="仿宋" w:hAnsi="仿宋" w:eastAsia="仿宋" w:cs="仿宋_GB2312"/>
          <w:color w:val="000000" w:themeColor="text1"/>
          <w:kern w:val="0"/>
          <w:sz w:val="32"/>
          <w:szCs w:val="32"/>
        </w:rPr>
        <w:t>、全年预算安排明细情况：（年度预算报表填列）</w:t>
      </w:r>
    </w:p>
    <w:tbl>
      <w:tblPr>
        <w:tblStyle w:val="6"/>
        <w:tblW w:w="8924" w:type="dxa"/>
        <w:tblInd w:w="-176"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6238"/>
        <w:gridCol w:w="2686"/>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238" w:type="dxa"/>
            <w:tcBorders>
              <w:top w:val="single" w:color="auto" w:sz="12" w:space="0"/>
            </w:tcBorders>
            <w:vAlign w:val="center"/>
          </w:tcPr>
          <w:p>
            <w:pPr>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预算支出类型</w:t>
            </w:r>
          </w:p>
        </w:tc>
        <w:tc>
          <w:tcPr>
            <w:tcW w:w="2686" w:type="dxa"/>
            <w:tcBorders>
              <w:top w:val="single" w:color="auto" w:sz="12" w:space="0"/>
            </w:tcBorders>
            <w:vAlign w:val="center"/>
          </w:tcPr>
          <w:p>
            <w:pPr>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金额（元）</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238" w:type="dxa"/>
            <w:vAlign w:val="center"/>
          </w:tcPr>
          <w:p>
            <w:pPr>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一、基本支出</w:t>
            </w:r>
          </w:p>
        </w:tc>
        <w:tc>
          <w:tcPr>
            <w:tcW w:w="2686" w:type="dxa"/>
            <w:vAlign w:val="center"/>
          </w:tcPr>
          <w:p>
            <w:pPr>
              <w:spacing w:line="600" w:lineRule="exact"/>
              <w:ind w:right="420"/>
              <w:jc w:val="center"/>
              <w:rPr>
                <w:rFonts w:ascii="仿宋" w:hAnsi="仿宋" w:eastAsia="仿宋" w:cs="仿宋_GB2312"/>
                <w:color w:val="000000" w:themeColor="text1"/>
                <w:sz w:val="32"/>
                <w:szCs w:val="32"/>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238" w:type="dxa"/>
            <w:vAlign w:val="center"/>
          </w:tcPr>
          <w:p>
            <w:pPr>
              <w:spacing w:line="600" w:lineRule="exact"/>
              <w:jc w:val="center"/>
              <w:rPr>
                <w:rFonts w:ascii="仿宋" w:hAnsi="仿宋" w:eastAsia="仿宋" w:cs="仿宋_GB2312"/>
                <w:color w:val="000000" w:themeColor="text1"/>
                <w:sz w:val="32"/>
                <w:szCs w:val="32"/>
              </w:rPr>
            </w:pPr>
            <w:r>
              <w:rPr>
                <w:rFonts w:ascii="仿宋" w:hAnsi="仿宋" w:eastAsia="仿宋" w:cs="仿宋_GB2312"/>
                <w:color w:val="000000" w:themeColor="text1"/>
                <w:sz w:val="32"/>
                <w:szCs w:val="32"/>
              </w:rPr>
              <w:t>1</w:t>
            </w:r>
            <w:r>
              <w:rPr>
                <w:rFonts w:hint="eastAsia" w:ascii="仿宋" w:hAnsi="仿宋" w:eastAsia="仿宋" w:cs="仿宋_GB2312"/>
                <w:color w:val="000000" w:themeColor="text1"/>
                <w:sz w:val="32"/>
                <w:szCs w:val="32"/>
              </w:rPr>
              <w:t>、工资福利支出：</w:t>
            </w:r>
          </w:p>
        </w:tc>
        <w:tc>
          <w:tcPr>
            <w:tcW w:w="2686" w:type="dxa"/>
            <w:vAlign w:val="center"/>
          </w:tcPr>
          <w:p>
            <w:pPr>
              <w:tabs>
                <w:tab w:val="left" w:pos="4053"/>
                <w:tab w:val="left" w:pos="4161"/>
              </w:tabs>
              <w:spacing w:line="600" w:lineRule="exact"/>
              <w:ind w:right="3"/>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9576283.87</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238" w:type="dxa"/>
            <w:vAlign w:val="center"/>
          </w:tcPr>
          <w:p>
            <w:pPr>
              <w:spacing w:line="600" w:lineRule="exact"/>
              <w:ind w:firstLine="480" w:firstLineChars="150"/>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年初预算安排</w:t>
            </w:r>
          </w:p>
        </w:tc>
        <w:tc>
          <w:tcPr>
            <w:tcW w:w="2686" w:type="dxa"/>
            <w:vAlign w:val="center"/>
          </w:tcPr>
          <w:p>
            <w:pPr>
              <w:tabs>
                <w:tab w:val="left" w:pos="4053"/>
                <w:tab w:val="left" w:pos="4161"/>
              </w:tabs>
              <w:spacing w:line="600" w:lineRule="exact"/>
              <w:ind w:left="362" w:right="3" w:hanging="361" w:hangingChars="113"/>
              <w:jc w:val="center"/>
              <w:rPr>
                <w:rFonts w:ascii="仿宋" w:hAnsi="仿宋" w:eastAsia="仿宋" w:cs="仿宋_GB2312"/>
                <w:color w:val="000000" w:themeColor="text1"/>
                <w:sz w:val="32"/>
                <w:szCs w:val="32"/>
              </w:rPr>
            </w:pPr>
            <w:r>
              <w:rPr>
                <w:rFonts w:ascii="仿宋" w:hAnsi="仿宋" w:eastAsia="仿宋"/>
                <w:color w:val="000000" w:themeColor="text1"/>
                <w:sz w:val="32"/>
                <w:szCs w:val="32"/>
              </w:rPr>
              <w:t>8901804</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238" w:type="dxa"/>
            <w:vAlign w:val="center"/>
          </w:tcPr>
          <w:p>
            <w:pPr>
              <w:spacing w:line="600" w:lineRule="exact"/>
              <w:ind w:firstLine="480" w:firstLineChars="150"/>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预算追加安排</w:t>
            </w:r>
          </w:p>
        </w:tc>
        <w:tc>
          <w:tcPr>
            <w:tcW w:w="2686" w:type="dxa"/>
            <w:vAlign w:val="center"/>
          </w:tcPr>
          <w:p>
            <w:pPr>
              <w:tabs>
                <w:tab w:val="left" w:pos="4053"/>
                <w:tab w:val="left" w:pos="4161"/>
              </w:tabs>
              <w:spacing w:line="600" w:lineRule="exact"/>
              <w:ind w:right="3"/>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674479.87</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238" w:type="dxa"/>
            <w:vAlign w:val="center"/>
          </w:tcPr>
          <w:p>
            <w:pPr>
              <w:spacing w:line="600" w:lineRule="exact"/>
              <w:ind w:firstLine="320" w:firstLineChars="100"/>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上年结转</w:t>
            </w:r>
          </w:p>
        </w:tc>
        <w:tc>
          <w:tcPr>
            <w:tcW w:w="2686" w:type="dxa"/>
            <w:vAlign w:val="center"/>
          </w:tcPr>
          <w:p>
            <w:pPr>
              <w:tabs>
                <w:tab w:val="left" w:pos="4053"/>
                <w:tab w:val="left" w:pos="4161"/>
              </w:tabs>
              <w:spacing w:line="600" w:lineRule="exact"/>
              <w:ind w:right="3"/>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238" w:type="dxa"/>
            <w:vAlign w:val="center"/>
          </w:tcPr>
          <w:p>
            <w:pPr>
              <w:spacing w:line="600" w:lineRule="exact"/>
              <w:jc w:val="center"/>
              <w:rPr>
                <w:rFonts w:ascii="仿宋" w:hAnsi="仿宋" w:eastAsia="仿宋" w:cs="仿宋_GB2312"/>
                <w:color w:val="000000" w:themeColor="text1"/>
                <w:sz w:val="32"/>
                <w:szCs w:val="32"/>
              </w:rPr>
            </w:pPr>
            <w:r>
              <w:rPr>
                <w:rFonts w:ascii="仿宋" w:hAnsi="仿宋" w:eastAsia="仿宋" w:cs="仿宋_GB2312"/>
                <w:color w:val="000000" w:themeColor="text1"/>
                <w:sz w:val="32"/>
                <w:szCs w:val="32"/>
              </w:rPr>
              <w:t>2</w:t>
            </w:r>
            <w:r>
              <w:rPr>
                <w:rFonts w:hint="eastAsia" w:ascii="仿宋" w:hAnsi="仿宋" w:eastAsia="仿宋" w:cs="仿宋_GB2312"/>
                <w:color w:val="000000" w:themeColor="text1"/>
                <w:sz w:val="32"/>
                <w:szCs w:val="32"/>
              </w:rPr>
              <w:t>、商品和服务支出</w:t>
            </w:r>
            <w:r>
              <w:rPr>
                <w:rFonts w:ascii="仿宋" w:hAnsi="仿宋" w:eastAsia="仿宋" w:cs="仿宋_GB2312"/>
                <w:color w:val="000000" w:themeColor="text1"/>
                <w:sz w:val="32"/>
                <w:szCs w:val="32"/>
              </w:rPr>
              <w:t>:</w:t>
            </w:r>
          </w:p>
        </w:tc>
        <w:tc>
          <w:tcPr>
            <w:tcW w:w="2686" w:type="dxa"/>
            <w:vAlign w:val="center"/>
          </w:tcPr>
          <w:p>
            <w:pPr>
              <w:tabs>
                <w:tab w:val="left" w:pos="4053"/>
                <w:tab w:val="left" w:pos="4161"/>
              </w:tabs>
              <w:spacing w:line="600" w:lineRule="exact"/>
              <w:ind w:right="3"/>
              <w:jc w:val="center"/>
              <w:rPr>
                <w:rFonts w:ascii="仿宋" w:hAnsi="仿宋" w:eastAsia="仿宋" w:cs="仿宋_GB2312"/>
                <w:color w:val="000000" w:themeColor="text1"/>
                <w:sz w:val="32"/>
                <w:szCs w:val="32"/>
              </w:rPr>
            </w:pPr>
            <w:r>
              <w:rPr>
                <w:rFonts w:hint="eastAsia" w:ascii="仿宋" w:hAnsi="仿宋" w:eastAsia="仿宋"/>
                <w:color w:val="000000" w:themeColor="text1"/>
                <w:sz w:val="32"/>
                <w:szCs w:val="32"/>
              </w:rPr>
              <w:t>2082300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238" w:type="dxa"/>
            <w:vAlign w:val="center"/>
          </w:tcPr>
          <w:p>
            <w:pPr>
              <w:spacing w:line="600" w:lineRule="exact"/>
              <w:ind w:firstLine="480" w:firstLineChars="150"/>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年初预算安排</w:t>
            </w:r>
          </w:p>
        </w:tc>
        <w:tc>
          <w:tcPr>
            <w:tcW w:w="2686" w:type="dxa"/>
            <w:vAlign w:val="center"/>
          </w:tcPr>
          <w:p>
            <w:pPr>
              <w:tabs>
                <w:tab w:val="left" w:pos="4053"/>
                <w:tab w:val="left" w:pos="4161"/>
              </w:tabs>
              <w:spacing w:line="600" w:lineRule="exact"/>
              <w:ind w:right="3"/>
              <w:jc w:val="center"/>
              <w:rPr>
                <w:rFonts w:ascii="仿宋" w:hAnsi="仿宋" w:eastAsia="仿宋" w:cs="仿宋_GB2312"/>
                <w:color w:val="000000" w:themeColor="text1"/>
                <w:sz w:val="32"/>
                <w:szCs w:val="32"/>
              </w:rPr>
            </w:pPr>
            <w:r>
              <w:rPr>
                <w:rFonts w:ascii="仿宋" w:hAnsi="仿宋" w:eastAsia="仿宋"/>
                <w:color w:val="000000" w:themeColor="text1"/>
                <w:sz w:val="32"/>
                <w:szCs w:val="32"/>
              </w:rPr>
              <w:t>17315</w:t>
            </w:r>
            <w:r>
              <w:rPr>
                <w:rFonts w:hint="eastAsia" w:ascii="仿宋" w:hAnsi="仿宋" w:eastAsia="仿宋"/>
                <w:color w:val="000000" w:themeColor="text1"/>
                <w:sz w:val="32"/>
                <w:szCs w:val="32"/>
              </w:rPr>
              <w:t>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238" w:type="dxa"/>
            <w:vAlign w:val="center"/>
          </w:tcPr>
          <w:p>
            <w:pPr>
              <w:spacing w:line="600" w:lineRule="exact"/>
              <w:ind w:firstLine="480" w:firstLineChars="150"/>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预算追加安排</w:t>
            </w:r>
          </w:p>
        </w:tc>
        <w:tc>
          <w:tcPr>
            <w:tcW w:w="2686" w:type="dxa"/>
            <w:vAlign w:val="center"/>
          </w:tcPr>
          <w:p>
            <w:pPr>
              <w:tabs>
                <w:tab w:val="left" w:pos="4053"/>
                <w:tab w:val="left" w:pos="4161"/>
              </w:tabs>
              <w:spacing w:line="600" w:lineRule="exact"/>
              <w:ind w:right="3"/>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238" w:type="dxa"/>
            <w:vAlign w:val="center"/>
          </w:tcPr>
          <w:p>
            <w:pPr>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上年结转</w:t>
            </w:r>
          </w:p>
        </w:tc>
        <w:tc>
          <w:tcPr>
            <w:tcW w:w="2686" w:type="dxa"/>
            <w:vAlign w:val="center"/>
          </w:tcPr>
          <w:p>
            <w:pPr>
              <w:tabs>
                <w:tab w:val="left" w:pos="4053"/>
                <w:tab w:val="left" w:pos="4161"/>
              </w:tabs>
              <w:spacing w:line="600" w:lineRule="exact"/>
              <w:ind w:right="3"/>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350800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238" w:type="dxa"/>
            <w:vAlign w:val="center"/>
          </w:tcPr>
          <w:p>
            <w:pPr>
              <w:spacing w:line="600" w:lineRule="exact"/>
              <w:jc w:val="center"/>
              <w:rPr>
                <w:rFonts w:ascii="仿宋" w:hAnsi="仿宋" w:eastAsia="仿宋" w:cs="仿宋_GB2312"/>
                <w:color w:val="000000" w:themeColor="text1"/>
                <w:sz w:val="32"/>
                <w:szCs w:val="32"/>
              </w:rPr>
            </w:pPr>
            <w:r>
              <w:rPr>
                <w:rFonts w:ascii="仿宋" w:hAnsi="仿宋" w:eastAsia="仿宋" w:cs="仿宋_GB2312"/>
                <w:color w:val="000000" w:themeColor="text1"/>
                <w:sz w:val="32"/>
                <w:szCs w:val="32"/>
              </w:rPr>
              <w:t>3</w:t>
            </w:r>
            <w:r>
              <w:rPr>
                <w:rFonts w:hint="eastAsia" w:ascii="仿宋" w:hAnsi="仿宋" w:eastAsia="仿宋" w:cs="仿宋_GB2312"/>
                <w:color w:val="000000" w:themeColor="text1"/>
                <w:sz w:val="32"/>
                <w:szCs w:val="32"/>
              </w:rPr>
              <w:t>、对个人和家庭的补助</w:t>
            </w:r>
            <w:r>
              <w:rPr>
                <w:rFonts w:ascii="仿宋" w:hAnsi="仿宋" w:eastAsia="仿宋" w:cs="仿宋_GB2312"/>
                <w:color w:val="000000" w:themeColor="text1"/>
                <w:sz w:val="32"/>
                <w:szCs w:val="32"/>
              </w:rPr>
              <w:t>:</w:t>
            </w:r>
          </w:p>
        </w:tc>
        <w:tc>
          <w:tcPr>
            <w:tcW w:w="2686" w:type="dxa"/>
            <w:vAlign w:val="center"/>
          </w:tcPr>
          <w:p>
            <w:pPr>
              <w:tabs>
                <w:tab w:val="left" w:pos="4053"/>
                <w:tab w:val="left" w:pos="4161"/>
              </w:tabs>
              <w:spacing w:line="600" w:lineRule="exact"/>
              <w:ind w:right="3"/>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363676</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238" w:type="dxa"/>
            <w:vAlign w:val="center"/>
          </w:tcPr>
          <w:p>
            <w:pPr>
              <w:spacing w:line="600" w:lineRule="exact"/>
              <w:ind w:firstLine="480" w:firstLineChars="150"/>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年初预算安排</w:t>
            </w:r>
          </w:p>
        </w:tc>
        <w:tc>
          <w:tcPr>
            <w:tcW w:w="2686" w:type="dxa"/>
            <w:vAlign w:val="center"/>
          </w:tcPr>
          <w:p>
            <w:pPr>
              <w:tabs>
                <w:tab w:val="left" w:pos="4053"/>
                <w:tab w:val="left" w:pos="4161"/>
              </w:tabs>
              <w:spacing w:line="600" w:lineRule="exact"/>
              <w:ind w:right="3"/>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97460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238" w:type="dxa"/>
            <w:vAlign w:val="center"/>
          </w:tcPr>
          <w:p>
            <w:pPr>
              <w:spacing w:line="600" w:lineRule="exact"/>
              <w:ind w:firstLine="320" w:firstLineChars="100"/>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预算追加安排</w:t>
            </w:r>
          </w:p>
        </w:tc>
        <w:tc>
          <w:tcPr>
            <w:tcW w:w="2686" w:type="dxa"/>
            <w:vAlign w:val="center"/>
          </w:tcPr>
          <w:p>
            <w:pPr>
              <w:tabs>
                <w:tab w:val="left" w:pos="4053"/>
                <w:tab w:val="left" w:pos="4161"/>
              </w:tabs>
              <w:spacing w:line="600" w:lineRule="exact"/>
              <w:ind w:right="3"/>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266216</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6238" w:type="dxa"/>
            <w:vAlign w:val="center"/>
          </w:tcPr>
          <w:p>
            <w:pPr>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基本支出小计</w:t>
            </w:r>
          </w:p>
        </w:tc>
        <w:tc>
          <w:tcPr>
            <w:tcW w:w="2686" w:type="dxa"/>
            <w:vAlign w:val="center"/>
          </w:tcPr>
          <w:p>
            <w:pPr>
              <w:tabs>
                <w:tab w:val="left" w:pos="4053"/>
                <w:tab w:val="left" w:pos="4161"/>
              </w:tabs>
              <w:spacing w:line="600" w:lineRule="exact"/>
              <w:ind w:right="3"/>
              <w:jc w:val="center"/>
              <w:rPr>
                <w:rFonts w:ascii="仿宋" w:hAnsi="仿宋" w:eastAsia="仿宋" w:cs="仿宋_GB2312"/>
                <w:color w:val="000000" w:themeColor="text1"/>
                <w:sz w:val="32"/>
                <w:szCs w:val="32"/>
              </w:rPr>
            </w:pPr>
            <w:r>
              <w:rPr>
                <w:rFonts w:ascii="仿宋" w:hAnsi="仿宋" w:eastAsia="仿宋" w:cs="仿宋_GB2312"/>
                <w:color w:val="000000" w:themeColor="text1"/>
                <w:sz w:val="32"/>
                <w:szCs w:val="32"/>
              </w:rPr>
              <w:t>12022259.87</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6238" w:type="dxa"/>
          </w:tcPr>
          <w:p>
            <w:pPr>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二、项目支出</w:t>
            </w:r>
          </w:p>
        </w:tc>
        <w:tc>
          <w:tcPr>
            <w:tcW w:w="2686" w:type="dxa"/>
            <w:vAlign w:val="center"/>
          </w:tcPr>
          <w:p>
            <w:pPr>
              <w:spacing w:line="600" w:lineRule="exact"/>
              <w:jc w:val="center"/>
              <w:rPr>
                <w:rFonts w:ascii="仿宋" w:hAnsi="仿宋" w:eastAsia="仿宋" w:cs="仿宋_GB2312"/>
                <w:color w:val="000000" w:themeColor="text1"/>
                <w:sz w:val="32"/>
                <w:szCs w:val="32"/>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238" w:type="dxa"/>
            <w:vAlign w:val="center"/>
          </w:tcPr>
          <w:p>
            <w:pPr>
              <w:spacing w:line="600" w:lineRule="exact"/>
              <w:ind w:firstLine="320" w:firstLineChars="100"/>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年初安排</w:t>
            </w:r>
          </w:p>
        </w:tc>
        <w:tc>
          <w:tcPr>
            <w:tcW w:w="2686" w:type="dxa"/>
            <w:vAlign w:val="center"/>
          </w:tcPr>
          <w:p>
            <w:pPr>
              <w:tabs>
                <w:tab w:val="left" w:pos="4053"/>
                <w:tab w:val="left" w:pos="4161"/>
              </w:tabs>
              <w:spacing w:line="600" w:lineRule="exact"/>
              <w:ind w:right="3"/>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13547364</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238" w:type="dxa"/>
            <w:vAlign w:val="center"/>
          </w:tcPr>
          <w:p>
            <w:pPr>
              <w:spacing w:line="600" w:lineRule="exact"/>
              <w:ind w:firstLine="320" w:firstLineChars="100"/>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预算追加安排</w:t>
            </w:r>
          </w:p>
        </w:tc>
        <w:tc>
          <w:tcPr>
            <w:tcW w:w="2686" w:type="dxa"/>
            <w:vAlign w:val="center"/>
          </w:tcPr>
          <w:p>
            <w:pPr>
              <w:tabs>
                <w:tab w:val="left" w:pos="4053"/>
                <w:tab w:val="left" w:pos="4161"/>
              </w:tabs>
              <w:spacing w:line="600" w:lineRule="exact"/>
              <w:ind w:right="3"/>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1000000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238" w:type="dxa"/>
            <w:vAlign w:val="center"/>
          </w:tcPr>
          <w:p>
            <w:pPr>
              <w:spacing w:line="600" w:lineRule="exact"/>
              <w:ind w:firstLine="320" w:firstLineChars="100"/>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预算压减支出</w:t>
            </w:r>
          </w:p>
        </w:tc>
        <w:tc>
          <w:tcPr>
            <w:tcW w:w="2686" w:type="dxa"/>
            <w:vAlign w:val="center"/>
          </w:tcPr>
          <w:p>
            <w:pPr>
              <w:tabs>
                <w:tab w:val="left" w:pos="4053"/>
                <w:tab w:val="left" w:pos="4161"/>
              </w:tabs>
              <w:spacing w:line="600" w:lineRule="exact"/>
              <w:ind w:right="3"/>
              <w:jc w:val="center"/>
              <w:rPr>
                <w:rFonts w:ascii="仿宋" w:hAnsi="仿宋" w:eastAsia="仿宋" w:cs="仿宋_GB2312"/>
                <w:color w:val="000000" w:themeColor="text1"/>
                <w:sz w:val="32"/>
                <w:szCs w:val="32"/>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238" w:type="dxa"/>
            <w:vAlign w:val="center"/>
          </w:tcPr>
          <w:p>
            <w:pPr>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项目支出小计</w:t>
            </w:r>
          </w:p>
        </w:tc>
        <w:tc>
          <w:tcPr>
            <w:tcW w:w="2686" w:type="dxa"/>
            <w:vAlign w:val="center"/>
          </w:tcPr>
          <w:p>
            <w:pPr>
              <w:tabs>
                <w:tab w:val="left" w:pos="4053"/>
                <w:tab w:val="left" w:pos="4161"/>
              </w:tabs>
              <w:spacing w:line="600" w:lineRule="exact"/>
              <w:ind w:right="3"/>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23547364</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238" w:type="dxa"/>
            <w:tcBorders>
              <w:bottom w:val="single" w:color="auto" w:sz="12" w:space="0"/>
            </w:tcBorders>
            <w:vAlign w:val="center"/>
          </w:tcPr>
          <w:p>
            <w:pPr>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总计</w:t>
            </w:r>
          </w:p>
        </w:tc>
        <w:tc>
          <w:tcPr>
            <w:tcW w:w="2686" w:type="dxa"/>
            <w:tcBorders>
              <w:bottom w:val="single" w:color="auto" w:sz="12" w:space="0"/>
            </w:tcBorders>
            <w:vAlign w:val="center"/>
          </w:tcPr>
          <w:p>
            <w:pPr>
              <w:tabs>
                <w:tab w:val="left" w:pos="4053"/>
                <w:tab w:val="left" w:pos="4161"/>
              </w:tabs>
              <w:spacing w:line="600" w:lineRule="exact"/>
              <w:ind w:right="3"/>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26569623.87</w:t>
            </w:r>
          </w:p>
        </w:tc>
      </w:tr>
    </w:tbl>
    <w:p>
      <w:pPr>
        <w:pStyle w:val="13"/>
        <w:spacing w:line="600" w:lineRule="exact"/>
        <w:ind w:firstLine="640" w:firstLineChars="200"/>
        <w:jc w:val="center"/>
        <w:rPr>
          <w:rFonts w:ascii="仿宋" w:hAnsi="仿宋" w:eastAsia="仿宋" w:cs="仿宋_GB2312"/>
          <w:color w:val="000000" w:themeColor="text1"/>
          <w:kern w:val="0"/>
          <w:sz w:val="32"/>
          <w:szCs w:val="32"/>
        </w:rPr>
      </w:pPr>
      <w:r>
        <w:rPr>
          <w:rFonts w:ascii="仿宋" w:hAnsi="仿宋" w:eastAsia="仿宋" w:cs="仿宋_GB2312"/>
          <w:color w:val="000000" w:themeColor="text1"/>
          <w:sz w:val="32"/>
          <w:szCs w:val="32"/>
        </w:rPr>
        <w:t>3</w:t>
      </w:r>
      <w:r>
        <w:rPr>
          <w:rFonts w:hint="eastAsia" w:ascii="仿宋" w:hAnsi="仿宋" w:eastAsia="仿宋" w:cs="仿宋_GB2312"/>
          <w:color w:val="000000" w:themeColor="text1"/>
          <w:sz w:val="32"/>
          <w:szCs w:val="32"/>
        </w:rPr>
        <w:t>、基本支出预算执行情况</w:t>
      </w:r>
    </w:p>
    <w:tbl>
      <w:tblPr>
        <w:tblStyle w:val="6"/>
        <w:tblW w:w="9016" w:type="dxa"/>
        <w:tblInd w:w="-176"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2544"/>
        <w:gridCol w:w="1779"/>
        <w:gridCol w:w="1693"/>
        <w:gridCol w:w="1585"/>
        <w:gridCol w:w="141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22" w:hRule="exact"/>
        </w:trPr>
        <w:tc>
          <w:tcPr>
            <w:tcW w:w="2544" w:type="dxa"/>
            <w:tcBorders>
              <w:top w:val="single" w:color="auto" w:sz="12" w:space="0"/>
            </w:tcBorders>
            <w:vAlign w:val="center"/>
          </w:tcPr>
          <w:p>
            <w:pPr>
              <w:spacing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科目</w:t>
            </w:r>
          </w:p>
        </w:tc>
        <w:tc>
          <w:tcPr>
            <w:tcW w:w="1779" w:type="dxa"/>
            <w:tcBorders>
              <w:top w:val="single" w:color="auto" w:sz="12" w:space="0"/>
            </w:tcBorders>
            <w:vAlign w:val="center"/>
          </w:tcPr>
          <w:p>
            <w:pPr>
              <w:spacing w:line="600" w:lineRule="exact"/>
              <w:ind w:right="174" w:rightChars="83"/>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预算支出（元）</w:t>
            </w:r>
          </w:p>
        </w:tc>
        <w:tc>
          <w:tcPr>
            <w:tcW w:w="1693" w:type="dxa"/>
            <w:tcBorders>
              <w:top w:val="single" w:color="auto" w:sz="12" w:space="0"/>
            </w:tcBorders>
            <w:vAlign w:val="center"/>
          </w:tcPr>
          <w:p>
            <w:pPr>
              <w:spacing w:line="600" w:lineRule="exact"/>
              <w:ind w:right="174" w:rightChars="83"/>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实际支出（元）</w:t>
            </w:r>
          </w:p>
        </w:tc>
        <w:tc>
          <w:tcPr>
            <w:tcW w:w="1585" w:type="dxa"/>
            <w:tcBorders>
              <w:top w:val="single" w:color="auto" w:sz="12" w:space="0"/>
            </w:tcBorders>
            <w:vAlign w:val="center"/>
          </w:tcPr>
          <w:p>
            <w:pPr>
              <w:spacing w:line="600" w:lineRule="exact"/>
              <w:ind w:right="174" w:rightChars="83"/>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超支（元）</w:t>
            </w:r>
          </w:p>
        </w:tc>
        <w:tc>
          <w:tcPr>
            <w:tcW w:w="1415" w:type="dxa"/>
            <w:tcBorders>
              <w:top w:val="single" w:color="auto" w:sz="12" w:space="0"/>
            </w:tcBorders>
          </w:tcPr>
          <w:p>
            <w:pPr>
              <w:pStyle w:val="13"/>
              <w:spacing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预算执行</w:t>
            </w:r>
          </w:p>
          <w:p>
            <w:pPr>
              <w:widowControl/>
              <w:spacing w:line="600" w:lineRule="exact"/>
              <w:jc w:val="center"/>
              <w:textAlignment w:val="center"/>
              <w:rPr>
                <w:rFonts w:ascii="仿宋" w:hAnsi="仿宋" w:eastAsia="仿宋" w:cs="仿宋_GB2312"/>
                <w:color w:val="000000" w:themeColor="text1"/>
                <w:kern w:val="0"/>
                <w:sz w:val="32"/>
                <w:szCs w:val="32"/>
              </w:rPr>
            </w:pPr>
          </w:p>
          <w:p>
            <w:pPr>
              <w:spacing w:line="600" w:lineRule="exact"/>
              <w:ind w:right="174" w:rightChars="83"/>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预算执行</w:t>
            </w:r>
          </w:p>
          <w:p>
            <w:pPr>
              <w:spacing w:line="600" w:lineRule="exact"/>
              <w:ind w:right="174" w:rightChars="83"/>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完成率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0" w:hRule="exact"/>
        </w:trPr>
        <w:tc>
          <w:tcPr>
            <w:tcW w:w="2544" w:type="dxa"/>
            <w:vAlign w:val="center"/>
          </w:tcPr>
          <w:p>
            <w:pPr>
              <w:spacing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工资福利支出</w:t>
            </w:r>
          </w:p>
        </w:tc>
        <w:tc>
          <w:tcPr>
            <w:tcW w:w="1779" w:type="dxa"/>
            <w:vAlign w:val="center"/>
          </w:tcPr>
          <w:p>
            <w:pPr>
              <w:pStyle w:val="13"/>
              <w:jc w:val="center"/>
              <w:rPr>
                <w:rFonts w:ascii="仿宋" w:hAnsi="仿宋" w:eastAsia="仿宋" w:cs="仿宋_GB2312"/>
                <w:color w:val="000000" w:themeColor="text1"/>
                <w:kern w:val="0"/>
                <w:sz w:val="24"/>
                <w:szCs w:val="24"/>
              </w:rPr>
            </w:pPr>
            <w:r>
              <w:rPr>
                <w:rFonts w:hint="eastAsia" w:ascii="仿宋" w:hAnsi="仿宋" w:eastAsia="仿宋" w:cs="仿宋_GB2312"/>
                <w:color w:val="000000" w:themeColor="text1"/>
                <w:sz w:val="24"/>
                <w:szCs w:val="24"/>
              </w:rPr>
              <w:t>9576283.87</w:t>
            </w:r>
          </w:p>
        </w:tc>
        <w:tc>
          <w:tcPr>
            <w:tcW w:w="1693" w:type="dxa"/>
            <w:vAlign w:val="bottom"/>
          </w:tcPr>
          <w:p>
            <w:pPr>
              <w:spacing w:line="600" w:lineRule="exact"/>
              <w:jc w:val="center"/>
              <w:rPr>
                <w:rFonts w:ascii="仿宋" w:hAnsi="仿宋" w:eastAsia="仿宋" w:cs="仿宋_GB2312"/>
                <w:color w:val="000000" w:themeColor="text1"/>
                <w:kern w:val="0"/>
                <w:sz w:val="24"/>
              </w:rPr>
            </w:pPr>
            <w:r>
              <w:rPr>
                <w:rFonts w:hint="eastAsia" w:ascii="仿宋" w:hAnsi="仿宋" w:eastAsia="仿宋" w:cs="仿宋_GB2312"/>
                <w:color w:val="000000" w:themeColor="text1"/>
                <w:kern w:val="0"/>
                <w:sz w:val="24"/>
              </w:rPr>
              <w:t>9422601.63</w:t>
            </w:r>
          </w:p>
        </w:tc>
        <w:tc>
          <w:tcPr>
            <w:tcW w:w="1585" w:type="dxa"/>
            <w:vAlign w:val="bottom"/>
          </w:tcPr>
          <w:p>
            <w:pPr>
              <w:spacing w:line="600" w:lineRule="exact"/>
              <w:jc w:val="center"/>
              <w:rPr>
                <w:rFonts w:ascii="仿宋" w:hAnsi="仿宋" w:eastAsia="仿宋" w:cs="仿宋_GB2312"/>
                <w:color w:val="000000" w:themeColor="text1"/>
                <w:kern w:val="0"/>
                <w:sz w:val="24"/>
              </w:rPr>
            </w:pPr>
          </w:p>
        </w:tc>
        <w:tc>
          <w:tcPr>
            <w:tcW w:w="1415" w:type="dxa"/>
            <w:vAlign w:val="bottom"/>
          </w:tcPr>
          <w:p>
            <w:pPr>
              <w:spacing w:line="600" w:lineRule="exact"/>
              <w:ind w:right="174" w:rightChars="83"/>
              <w:jc w:val="center"/>
              <w:rPr>
                <w:rFonts w:ascii="仿宋" w:hAnsi="仿宋" w:eastAsia="仿宋" w:cs="仿宋_GB2312"/>
                <w:color w:val="000000" w:themeColor="text1"/>
                <w:kern w:val="0"/>
                <w:sz w:val="24"/>
              </w:rPr>
            </w:pPr>
            <w:r>
              <w:rPr>
                <w:rFonts w:hint="eastAsia" w:ascii="仿宋" w:hAnsi="仿宋" w:eastAsia="仿宋" w:cs="仿宋_GB2312"/>
                <w:color w:val="000000" w:themeColor="text1"/>
                <w:kern w:val="0"/>
                <w:sz w:val="24"/>
              </w:rPr>
              <w:t>98.4%</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80" w:hRule="exact"/>
        </w:trPr>
        <w:tc>
          <w:tcPr>
            <w:tcW w:w="2544" w:type="dxa"/>
            <w:vAlign w:val="center"/>
          </w:tcPr>
          <w:p>
            <w:pPr>
              <w:spacing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商品和服务支出</w:t>
            </w:r>
          </w:p>
        </w:tc>
        <w:tc>
          <w:tcPr>
            <w:tcW w:w="1779" w:type="dxa"/>
            <w:vAlign w:val="center"/>
          </w:tcPr>
          <w:p>
            <w:pPr>
              <w:pStyle w:val="13"/>
              <w:jc w:val="center"/>
              <w:rPr>
                <w:rFonts w:ascii="仿宋" w:hAnsi="仿宋" w:eastAsia="仿宋" w:cs="仿宋_GB2312"/>
                <w:color w:val="000000" w:themeColor="text1"/>
                <w:kern w:val="0"/>
                <w:sz w:val="24"/>
                <w:szCs w:val="24"/>
              </w:rPr>
            </w:pPr>
            <w:r>
              <w:rPr>
                <w:rFonts w:hint="eastAsia" w:ascii="仿宋" w:hAnsi="仿宋" w:eastAsia="仿宋" w:cs="仿宋_GB2312"/>
                <w:color w:val="000000" w:themeColor="text1"/>
                <w:sz w:val="24"/>
                <w:szCs w:val="24"/>
              </w:rPr>
              <w:t>1839284</w:t>
            </w:r>
          </w:p>
        </w:tc>
        <w:tc>
          <w:tcPr>
            <w:tcW w:w="1693" w:type="dxa"/>
            <w:vAlign w:val="bottom"/>
          </w:tcPr>
          <w:p>
            <w:pPr>
              <w:spacing w:line="600" w:lineRule="exact"/>
              <w:jc w:val="center"/>
              <w:rPr>
                <w:rFonts w:ascii="仿宋" w:hAnsi="仿宋" w:eastAsia="仿宋" w:cs="仿宋_GB2312"/>
                <w:color w:val="000000" w:themeColor="text1"/>
                <w:kern w:val="0"/>
                <w:sz w:val="24"/>
              </w:rPr>
            </w:pPr>
            <w:r>
              <w:rPr>
                <w:rFonts w:hint="eastAsia" w:ascii="仿宋" w:hAnsi="仿宋" w:eastAsia="仿宋" w:cs="仿宋_GB2312"/>
                <w:color w:val="000000" w:themeColor="text1"/>
                <w:sz w:val="24"/>
              </w:rPr>
              <w:t>1784978.1</w:t>
            </w:r>
          </w:p>
        </w:tc>
        <w:tc>
          <w:tcPr>
            <w:tcW w:w="1585" w:type="dxa"/>
            <w:vAlign w:val="bottom"/>
          </w:tcPr>
          <w:p>
            <w:pPr>
              <w:spacing w:line="600" w:lineRule="exact"/>
              <w:jc w:val="center"/>
              <w:rPr>
                <w:rFonts w:ascii="仿宋" w:hAnsi="仿宋" w:eastAsia="仿宋" w:cs="仿宋_GB2312"/>
                <w:color w:val="000000" w:themeColor="text1"/>
                <w:kern w:val="0"/>
                <w:sz w:val="24"/>
              </w:rPr>
            </w:pPr>
          </w:p>
        </w:tc>
        <w:tc>
          <w:tcPr>
            <w:tcW w:w="1415" w:type="dxa"/>
            <w:vAlign w:val="bottom"/>
          </w:tcPr>
          <w:p>
            <w:pPr>
              <w:spacing w:line="600" w:lineRule="exact"/>
              <w:ind w:right="174" w:rightChars="83"/>
              <w:jc w:val="center"/>
              <w:rPr>
                <w:rFonts w:ascii="仿宋" w:hAnsi="仿宋" w:eastAsia="仿宋" w:cs="仿宋_GB2312"/>
                <w:color w:val="000000" w:themeColor="text1"/>
                <w:kern w:val="0"/>
                <w:sz w:val="24"/>
              </w:rPr>
            </w:pPr>
            <w:r>
              <w:rPr>
                <w:rFonts w:hint="eastAsia" w:ascii="仿宋" w:hAnsi="仿宋" w:eastAsia="仿宋" w:cs="仿宋_GB2312"/>
                <w:color w:val="000000" w:themeColor="text1"/>
                <w:kern w:val="0"/>
                <w:sz w:val="24"/>
              </w:rPr>
              <w:t>97.04%</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25" w:hRule="exact"/>
        </w:trPr>
        <w:tc>
          <w:tcPr>
            <w:tcW w:w="2544" w:type="dxa"/>
            <w:vAlign w:val="center"/>
          </w:tcPr>
          <w:p>
            <w:pPr>
              <w:spacing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对个人和家庭补助</w:t>
            </w:r>
          </w:p>
        </w:tc>
        <w:tc>
          <w:tcPr>
            <w:tcW w:w="1779" w:type="dxa"/>
            <w:vAlign w:val="bottom"/>
          </w:tcPr>
          <w:p>
            <w:pPr>
              <w:spacing w:line="600" w:lineRule="exact"/>
              <w:jc w:val="center"/>
              <w:rPr>
                <w:rFonts w:ascii="仿宋" w:hAnsi="仿宋" w:eastAsia="仿宋" w:cs="仿宋_GB2312"/>
                <w:color w:val="000000" w:themeColor="text1"/>
                <w:kern w:val="0"/>
                <w:sz w:val="24"/>
              </w:rPr>
            </w:pPr>
            <w:r>
              <w:rPr>
                <w:rFonts w:ascii="仿宋" w:hAnsi="仿宋" w:eastAsia="仿宋" w:cs="仿宋_GB2312"/>
                <w:color w:val="000000" w:themeColor="text1"/>
                <w:sz w:val="24"/>
              </w:rPr>
              <w:t>363676</w:t>
            </w:r>
          </w:p>
        </w:tc>
        <w:tc>
          <w:tcPr>
            <w:tcW w:w="1693" w:type="dxa"/>
            <w:vAlign w:val="bottom"/>
          </w:tcPr>
          <w:p>
            <w:pPr>
              <w:spacing w:line="600" w:lineRule="exact"/>
              <w:jc w:val="center"/>
              <w:rPr>
                <w:rFonts w:ascii="仿宋" w:hAnsi="仿宋" w:eastAsia="仿宋" w:cs="仿宋_GB2312"/>
                <w:color w:val="000000" w:themeColor="text1"/>
                <w:kern w:val="0"/>
                <w:sz w:val="24"/>
              </w:rPr>
            </w:pPr>
            <w:r>
              <w:rPr>
                <w:rFonts w:hint="eastAsia" w:ascii="仿宋" w:hAnsi="仿宋" w:eastAsia="仿宋" w:cs="仿宋_GB2312"/>
                <w:color w:val="000000" w:themeColor="text1"/>
                <w:kern w:val="0"/>
                <w:sz w:val="24"/>
              </w:rPr>
              <w:t>363676</w:t>
            </w:r>
          </w:p>
        </w:tc>
        <w:tc>
          <w:tcPr>
            <w:tcW w:w="1585" w:type="dxa"/>
            <w:vAlign w:val="bottom"/>
          </w:tcPr>
          <w:p>
            <w:pPr>
              <w:spacing w:line="600" w:lineRule="exact"/>
              <w:jc w:val="center"/>
              <w:rPr>
                <w:rFonts w:ascii="仿宋" w:hAnsi="仿宋" w:eastAsia="仿宋" w:cs="仿宋_GB2312"/>
                <w:color w:val="000000" w:themeColor="text1"/>
                <w:kern w:val="0"/>
                <w:sz w:val="24"/>
              </w:rPr>
            </w:pPr>
          </w:p>
        </w:tc>
        <w:tc>
          <w:tcPr>
            <w:tcW w:w="1415" w:type="dxa"/>
            <w:vAlign w:val="bottom"/>
          </w:tcPr>
          <w:p>
            <w:pPr>
              <w:spacing w:line="600" w:lineRule="exact"/>
              <w:ind w:right="174" w:rightChars="83"/>
              <w:jc w:val="center"/>
              <w:rPr>
                <w:rFonts w:ascii="仿宋" w:hAnsi="仿宋" w:eastAsia="仿宋" w:cs="仿宋_GB2312"/>
                <w:color w:val="000000" w:themeColor="text1"/>
                <w:kern w:val="0"/>
                <w:sz w:val="24"/>
              </w:rPr>
            </w:pPr>
            <w:r>
              <w:rPr>
                <w:rFonts w:hint="eastAsia" w:ascii="仿宋" w:hAnsi="仿宋" w:eastAsia="仿宋" w:cs="仿宋_GB2312"/>
                <w:color w:val="000000" w:themeColor="text1"/>
                <w:kern w:val="0"/>
                <w:sz w:val="24"/>
              </w:rPr>
              <w:t>100%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10" w:hRule="exact"/>
        </w:trPr>
        <w:tc>
          <w:tcPr>
            <w:tcW w:w="2544" w:type="dxa"/>
            <w:vAlign w:val="center"/>
          </w:tcPr>
          <w:p>
            <w:pPr>
              <w:spacing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其他资本性支出</w:t>
            </w:r>
          </w:p>
        </w:tc>
        <w:tc>
          <w:tcPr>
            <w:tcW w:w="1779" w:type="dxa"/>
            <w:vAlign w:val="bottom"/>
          </w:tcPr>
          <w:p>
            <w:pPr>
              <w:spacing w:line="600" w:lineRule="exact"/>
              <w:jc w:val="center"/>
              <w:rPr>
                <w:rFonts w:ascii="仿宋" w:hAnsi="仿宋" w:eastAsia="仿宋" w:cs="仿宋_GB2312"/>
                <w:color w:val="000000" w:themeColor="text1"/>
                <w:kern w:val="0"/>
                <w:sz w:val="24"/>
              </w:rPr>
            </w:pPr>
          </w:p>
        </w:tc>
        <w:tc>
          <w:tcPr>
            <w:tcW w:w="1693" w:type="dxa"/>
            <w:vAlign w:val="bottom"/>
          </w:tcPr>
          <w:p>
            <w:pPr>
              <w:spacing w:line="600" w:lineRule="exact"/>
              <w:jc w:val="center"/>
              <w:rPr>
                <w:rFonts w:ascii="仿宋" w:hAnsi="仿宋" w:eastAsia="仿宋" w:cs="仿宋_GB2312"/>
                <w:color w:val="000000" w:themeColor="text1"/>
                <w:kern w:val="0"/>
                <w:sz w:val="24"/>
              </w:rPr>
            </w:pPr>
            <w:r>
              <w:rPr>
                <w:rFonts w:ascii="仿宋" w:hAnsi="仿宋" w:eastAsia="仿宋" w:cs="仿宋_GB2312"/>
                <w:color w:val="000000" w:themeColor="text1"/>
                <w:kern w:val="0"/>
                <w:sz w:val="24"/>
              </w:rPr>
              <w:t>-</w:t>
            </w:r>
          </w:p>
        </w:tc>
        <w:tc>
          <w:tcPr>
            <w:tcW w:w="1585" w:type="dxa"/>
            <w:vAlign w:val="bottom"/>
          </w:tcPr>
          <w:p>
            <w:pPr>
              <w:spacing w:line="600" w:lineRule="exact"/>
              <w:jc w:val="center"/>
              <w:rPr>
                <w:rFonts w:ascii="仿宋" w:hAnsi="仿宋" w:eastAsia="仿宋" w:cs="仿宋_GB2312"/>
                <w:color w:val="000000" w:themeColor="text1"/>
                <w:kern w:val="0"/>
                <w:sz w:val="24"/>
              </w:rPr>
            </w:pPr>
          </w:p>
        </w:tc>
        <w:tc>
          <w:tcPr>
            <w:tcW w:w="1415" w:type="dxa"/>
            <w:vAlign w:val="bottom"/>
          </w:tcPr>
          <w:p>
            <w:pPr>
              <w:spacing w:line="600" w:lineRule="exact"/>
              <w:jc w:val="center"/>
              <w:rPr>
                <w:rFonts w:ascii="仿宋" w:hAnsi="仿宋" w:eastAsia="仿宋" w:cs="仿宋_GB2312"/>
                <w:color w:val="000000" w:themeColor="text1"/>
                <w:kern w:val="0"/>
                <w:sz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10" w:hRule="exact"/>
        </w:trPr>
        <w:tc>
          <w:tcPr>
            <w:tcW w:w="2544" w:type="dxa"/>
            <w:tcBorders>
              <w:bottom w:val="single" w:color="auto" w:sz="12" w:space="0"/>
            </w:tcBorders>
            <w:vAlign w:val="center"/>
          </w:tcPr>
          <w:p>
            <w:pPr>
              <w:spacing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合计</w:t>
            </w:r>
          </w:p>
        </w:tc>
        <w:tc>
          <w:tcPr>
            <w:tcW w:w="1779" w:type="dxa"/>
            <w:tcBorders>
              <w:bottom w:val="single" w:color="auto" w:sz="12" w:space="0"/>
            </w:tcBorders>
            <w:vAlign w:val="bottom"/>
          </w:tcPr>
          <w:p>
            <w:pPr>
              <w:spacing w:line="600" w:lineRule="exact"/>
              <w:jc w:val="center"/>
              <w:rPr>
                <w:rFonts w:ascii="仿宋" w:hAnsi="仿宋" w:eastAsia="仿宋" w:cs="仿宋_GB2312"/>
                <w:color w:val="000000" w:themeColor="text1"/>
                <w:sz w:val="24"/>
              </w:rPr>
            </w:pPr>
            <w:r>
              <w:rPr>
                <w:rFonts w:ascii="仿宋" w:hAnsi="仿宋" w:eastAsia="仿宋" w:cs="仿宋_GB2312"/>
                <w:color w:val="000000" w:themeColor="text1"/>
                <w:sz w:val="24"/>
              </w:rPr>
              <w:t>12022259.87</w:t>
            </w:r>
          </w:p>
        </w:tc>
        <w:tc>
          <w:tcPr>
            <w:tcW w:w="1693" w:type="dxa"/>
            <w:tcBorders>
              <w:bottom w:val="single" w:color="auto" w:sz="12" w:space="0"/>
            </w:tcBorders>
            <w:vAlign w:val="bottom"/>
          </w:tcPr>
          <w:p>
            <w:pPr>
              <w:spacing w:line="600" w:lineRule="exact"/>
              <w:jc w:val="center"/>
              <w:rPr>
                <w:rFonts w:ascii="仿宋" w:hAnsi="仿宋" w:eastAsia="仿宋" w:cs="仿宋_GB2312"/>
                <w:color w:val="000000" w:themeColor="text1"/>
                <w:kern w:val="0"/>
                <w:sz w:val="24"/>
              </w:rPr>
            </w:pPr>
            <w:r>
              <w:rPr>
                <w:rFonts w:hint="eastAsia" w:ascii="仿宋" w:hAnsi="仿宋" w:eastAsia="仿宋" w:cs="仿宋_GB2312"/>
                <w:color w:val="000000" w:themeColor="text1"/>
                <w:kern w:val="0"/>
                <w:sz w:val="24"/>
              </w:rPr>
              <w:t>11571255.73</w:t>
            </w:r>
          </w:p>
        </w:tc>
        <w:tc>
          <w:tcPr>
            <w:tcW w:w="1585" w:type="dxa"/>
            <w:tcBorders>
              <w:bottom w:val="single" w:color="auto" w:sz="12" w:space="0"/>
            </w:tcBorders>
            <w:vAlign w:val="bottom"/>
          </w:tcPr>
          <w:p>
            <w:pPr>
              <w:spacing w:line="600" w:lineRule="exact"/>
              <w:jc w:val="center"/>
              <w:rPr>
                <w:rFonts w:ascii="仿宋" w:hAnsi="仿宋" w:eastAsia="仿宋" w:cs="仿宋_GB2312"/>
                <w:color w:val="000000" w:themeColor="text1"/>
                <w:kern w:val="0"/>
                <w:sz w:val="24"/>
              </w:rPr>
            </w:pPr>
          </w:p>
        </w:tc>
        <w:tc>
          <w:tcPr>
            <w:tcW w:w="1415" w:type="dxa"/>
            <w:tcBorders>
              <w:bottom w:val="single" w:color="auto" w:sz="12" w:space="0"/>
            </w:tcBorders>
            <w:vAlign w:val="bottom"/>
          </w:tcPr>
          <w:p>
            <w:pPr>
              <w:spacing w:line="600" w:lineRule="exact"/>
              <w:jc w:val="center"/>
              <w:rPr>
                <w:rFonts w:ascii="仿宋" w:hAnsi="仿宋" w:eastAsia="仿宋" w:cs="仿宋_GB2312"/>
                <w:color w:val="000000" w:themeColor="text1"/>
                <w:kern w:val="0"/>
                <w:sz w:val="24"/>
              </w:rPr>
            </w:pPr>
            <w:r>
              <w:rPr>
                <w:rFonts w:hint="eastAsia" w:ascii="仿宋" w:hAnsi="仿宋" w:eastAsia="仿宋" w:cs="仿宋_GB2312"/>
                <w:color w:val="000000" w:themeColor="text1"/>
                <w:kern w:val="0"/>
                <w:sz w:val="24"/>
              </w:rPr>
              <w:t>96.25%</w:t>
            </w:r>
          </w:p>
        </w:tc>
      </w:tr>
    </w:tbl>
    <w:p>
      <w:pPr>
        <w:pStyle w:val="13"/>
        <w:spacing w:line="600" w:lineRule="exact"/>
        <w:ind w:firstLine="640" w:firstLineChars="200"/>
        <w:jc w:val="center"/>
        <w:rPr>
          <w:rFonts w:ascii="仿宋" w:hAnsi="仿宋" w:eastAsia="仿宋" w:cs="仿宋_GB2312"/>
          <w:color w:val="000000" w:themeColor="text1"/>
          <w:kern w:val="0"/>
          <w:sz w:val="32"/>
          <w:szCs w:val="32"/>
        </w:rPr>
      </w:pPr>
      <w:r>
        <w:rPr>
          <w:rFonts w:ascii="仿宋" w:hAnsi="仿宋" w:eastAsia="仿宋" w:cs="仿宋_GB2312"/>
          <w:color w:val="000000" w:themeColor="text1"/>
          <w:kern w:val="0"/>
          <w:sz w:val="32"/>
          <w:szCs w:val="32"/>
        </w:rPr>
        <w:t>4</w:t>
      </w:r>
      <w:r>
        <w:rPr>
          <w:rFonts w:hint="eastAsia" w:ascii="仿宋" w:hAnsi="仿宋" w:eastAsia="仿宋" w:cs="仿宋_GB2312"/>
          <w:color w:val="000000" w:themeColor="text1"/>
          <w:kern w:val="0"/>
          <w:sz w:val="32"/>
          <w:szCs w:val="32"/>
        </w:rPr>
        <w:t>、项目支出预算执行情况：</w:t>
      </w:r>
    </w:p>
    <w:tbl>
      <w:tblPr>
        <w:tblStyle w:val="6"/>
        <w:tblW w:w="9312" w:type="dxa"/>
        <w:tblInd w:w="-176"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2871"/>
        <w:gridCol w:w="1808"/>
        <w:gridCol w:w="1842"/>
        <w:gridCol w:w="1400"/>
        <w:gridCol w:w="1391"/>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55" w:hRule="exact"/>
        </w:trPr>
        <w:tc>
          <w:tcPr>
            <w:tcW w:w="2871" w:type="dxa"/>
            <w:tcBorders>
              <w:top w:val="single" w:color="auto" w:sz="12" w:space="0"/>
            </w:tcBorders>
            <w:vAlign w:val="center"/>
          </w:tcPr>
          <w:p>
            <w:pPr>
              <w:pStyle w:val="13"/>
              <w:spacing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项  目</w:t>
            </w:r>
          </w:p>
        </w:tc>
        <w:tc>
          <w:tcPr>
            <w:tcW w:w="1808" w:type="dxa"/>
            <w:tcBorders>
              <w:top w:val="single" w:color="auto" w:sz="12" w:space="0"/>
            </w:tcBorders>
            <w:vAlign w:val="center"/>
          </w:tcPr>
          <w:p>
            <w:pPr>
              <w:pStyle w:val="13"/>
              <w:spacing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预算支出（元）</w:t>
            </w:r>
          </w:p>
        </w:tc>
        <w:tc>
          <w:tcPr>
            <w:tcW w:w="1842" w:type="dxa"/>
            <w:tcBorders>
              <w:top w:val="single" w:color="auto" w:sz="12" w:space="0"/>
            </w:tcBorders>
            <w:vAlign w:val="center"/>
          </w:tcPr>
          <w:p>
            <w:pPr>
              <w:pStyle w:val="13"/>
              <w:spacing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实际支出（元）</w:t>
            </w:r>
          </w:p>
        </w:tc>
        <w:tc>
          <w:tcPr>
            <w:tcW w:w="1400" w:type="dxa"/>
            <w:tcBorders>
              <w:top w:val="single" w:color="auto" w:sz="12" w:space="0"/>
            </w:tcBorders>
            <w:vAlign w:val="center"/>
          </w:tcPr>
          <w:p>
            <w:pPr>
              <w:pStyle w:val="13"/>
              <w:spacing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超支（元）</w:t>
            </w:r>
          </w:p>
        </w:tc>
        <w:tc>
          <w:tcPr>
            <w:tcW w:w="1391" w:type="dxa"/>
            <w:tcBorders>
              <w:top w:val="single" w:color="auto" w:sz="12" w:space="0"/>
            </w:tcBorders>
            <w:vAlign w:val="center"/>
          </w:tcPr>
          <w:p>
            <w:pPr>
              <w:pStyle w:val="13"/>
              <w:spacing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预算执行</w:t>
            </w:r>
          </w:p>
          <w:p>
            <w:pPr>
              <w:pStyle w:val="13"/>
              <w:spacing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完成率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5" w:hRule="exact"/>
        </w:trPr>
        <w:tc>
          <w:tcPr>
            <w:tcW w:w="2871" w:type="dxa"/>
            <w:vAlign w:val="center"/>
          </w:tcPr>
          <w:p>
            <w:pPr>
              <w:rPr>
                <w:rFonts w:ascii="宋体" w:hAnsi="宋体" w:cs="宋体"/>
                <w:color w:val="000000" w:themeColor="text1"/>
                <w:sz w:val="18"/>
                <w:szCs w:val="18"/>
              </w:rPr>
            </w:pPr>
            <w:r>
              <w:rPr>
                <w:rFonts w:hint="eastAsia"/>
                <w:color w:val="000000" w:themeColor="text1"/>
                <w:sz w:val="18"/>
                <w:szCs w:val="18"/>
              </w:rPr>
              <w:t>水利管理事务支出</w:t>
            </w:r>
          </w:p>
        </w:tc>
        <w:tc>
          <w:tcPr>
            <w:tcW w:w="1808" w:type="dxa"/>
            <w:vAlign w:val="center"/>
          </w:tcPr>
          <w:p>
            <w:pPr>
              <w:jc w:val="right"/>
              <w:rPr>
                <w:rFonts w:ascii="宋体" w:hAnsi="宋体" w:cs="宋体"/>
                <w:color w:val="000000" w:themeColor="text1"/>
                <w:sz w:val="28"/>
                <w:szCs w:val="28"/>
              </w:rPr>
            </w:pPr>
            <w:r>
              <w:rPr>
                <w:rFonts w:hint="eastAsia"/>
                <w:color w:val="000000" w:themeColor="text1"/>
                <w:sz w:val="28"/>
                <w:szCs w:val="28"/>
              </w:rPr>
              <w:t>163,200</w:t>
            </w:r>
          </w:p>
        </w:tc>
        <w:tc>
          <w:tcPr>
            <w:tcW w:w="1842" w:type="dxa"/>
            <w:vAlign w:val="center"/>
          </w:tcPr>
          <w:p>
            <w:pPr>
              <w:jc w:val="right"/>
              <w:rPr>
                <w:rFonts w:ascii="宋体" w:hAnsi="宋体" w:cs="宋体"/>
                <w:color w:val="000000" w:themeColor="text1"/>
                <w:sz w:val="28"/>
                <w:szCs w:val="28"/>
              </w:rPr>
            </w:pPr>
            <w:r>
              <w:rPr>
                <w:rFonts w:hint="eastAsia"/>
                <w:color w:val="000000" w:themeColor="text1"/>
                <w:sz w:val="28"/>
                <w:szCs w:val="28"/>
              </w:rPr>
              <w:t>163,200</w:t>
            </w:r>
          </w:p>
        </w:tc>
        <w:tc>
          <w:tcPr>
            <w:tcW w:w="1400" w:type="dxa"/>
            <w:vAlign w:val="center"/>
          </w:tcPr>
          <w:p>
            <w:pPr>
              <w:widowControl/>
              <w:spacing w:line="600" w:lineRule="exact"/>
              <w:jc w:val="center"/>
              <w:textAlignment w:val="center"/>
              <w:rPr>
                <w:rFonts w:ascii="仿宋" w:hAnsi="仿宋" w:eastAsia="仿宋" w:cs="仿宋_GB2312"/>
                <w:color w:val="000000" w:themeColor="text1"/>
                <w:kern w:val="0"/>
                <w:sz w:val="32"/>
                <w:szCs w:val="32"/>
              </w:rPr>
            </w:pPr>
          </w:p>
        </w:tc>
        <w:tc>
          <w:tcPr>
            <w:tcW w:w="1391" w:type="dxa"/>
            <w:vAlign w:val="center"/>
          </w:tcPr>
          <w:p>
            <w:pPr>
              <w:widowControl/>
              <w:spacing w:line="600" w:lineRule="exact"/>
              <w:jc w:val="center"/>
              <w:textAlignment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100%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5" w:hRule="exact"/>
        </w:trPr>
        <w:tc>
          <w:tcPr>
            <w:tcW w:w="2871" w:type="dxa"/>
            <w:vAlign w:val="center"/>
          </w:tcPr>
          <w:p>
            <w:pPr>
              <w:rPr>
                <w:rFonts w:ascii="宋体" w:hAnsi="宋体" w:cs="宋体"/>
                <w:color w:val="000000" w:themeColor="text1"/>
                <w:sz w:val="18"/>
                <w:szCs w:val="18"/>
              </w:rPr>
            </w:pPr>
            <w:r>
              <w:rPr>
                <w:rFonts w:hint="eastAsia"/>
                <w:color w:val="000000" w:themeColor="text1"/>
                <w:sz w:val="18"/>
                <w:szCs w:val="18"/>
              </w:rPr>
              <w:t>水淹区口粮补贴经费</w:t>
            </w:r>
          </w:p>
        </w:tc>
        <w:tc>
          <w:tcPr>
            <w:tcW w:w="1808" w:type="dxa"/>
            <w:vAlign w:val="center"/>
          </w:tcPr>
          <w:p>
            <w:pPr>
              <w:jc w:val="right"/>
              <w:rPr>
                <w:rFonts w:ascii="宋体" w:hAnsi="宋体" w:cs="宋体"/>
                <w:color w:val="000000" w:themeColor="text1"/>
                <w:sz w:val="28"/>
                <w:szCs w:val="28"/>
              </w:rPr>
            </w:pPr>
            <w:r>
              <w:rPr>
                <w:rFonts w:hint="eastAsia"/>
                <w:color w:val="000000" w:themeColor="text1"/>
                <w:sz w:val="28"/>
                <w:szCs w:val="28"/>
              </w:rPr>
              <w:t>790,000</w:t>
            </w:r>
          </w:p>
        </w:tc>
        <w:tc>
          <w:tcPr>
            <w:tcW w:w="1842" w:type="dxa"/>
            <w:vAlign w:val="center"/>
          </w:tcPr>
          <w:p>
            <w:pPr>
              <w:jc w:val="right"/>
              <w:rPr>
                <w:rFonts w:ascii="宋体" w:hAnsi="宋体" w:cs="宋体"/>
                <w:color w:val="000000" w:themeColor="text1"/>
                <w:sz w:val="28"/>
                <w:szCs w:val="28"/>
              </w:rPr>
            </w:pPr>
            <w:r>
              <w:rPr>
                <w:rFonts w:hint="eastAsia"/>
                <w:color w:val="000000" w:themeColor="text1"/>
                <w:sz w:val="28"/>
                <w:szCs w:val="28"/>
              </w:rPr>
              <w:t>790,000</w:t>
            </w:r>
          </w:p>
        </w:tc>
        <w:tc>
          <w:tcPr>
            <w:tcW w:w="1400" w:type="dxa"/>
            <w:vAlign w:val="center"/>
          </w:tcPr>
          <w:p>
            <w:pPr>
              <w:widowControl/>
              <w:spacing w:line="600" w:lineRule="exact"/>
              <w:jc w:val="center"/>
              <w:textAlignment w:val="center"/>
              <w:rPr>
                <w:rFonts w:ascii="仿宋" w:hAnsi="仿宋" w:eastAsia="仿宋" w:cs="仿宋_GB2312"/>
                <w:color w:val="000000" w:themeColor="text1"/>
                <w:kern w:val="0"/>
                <w:sz w:val="32"/>
                <w:szCs w:val="32"/>
              </w:rPr>
            </w:pPr>
          </w:p>
        </w:tc>
        <w:tc>
          <w:tcPr>
            <w:tcW w:w="1391" w:type="dxa"/>
            <w:vAlign w:val="center"/>
          </w:tcPr>
          <w:p>
            <w:pPr>
              <w:widowControl/>
              <w:spacing w:line="600" w:lineRule="exact"/>
              <w:jc w:val="center"/>
              <w:textAlignment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100%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10" w:hRule="exact"/>
        </w:trPr>
        <w:tc>
          <w:tcPr>
            <w:tcW w:w="2871" w:type="dxa"/>
            <w:vAlign w:val="center"/>
          </w:tcPr>
          <w:p>
            <w:pPr>
              <w:rPr>
                <w:rFonts w:ascii="宋体" w:hAnsi="宋体" w:cs="宋体"/>
                <w:color w:val="000000" w:themeColor="text1"/>
                <w:sz w:val="18"/>
                <w:szCs w:val="18"/>
              </w:rPr>
            </w:pPr>
            <w:r>
              <w:rPr>
                <w:rFonts w:hint="eastAsia"/>
                <w:color w:val="000000" w:themeColor="text1"/>
                <w:sz w:val="18"/>
                <w:szCs w:val="18"/>
              </w:rPr>
              <w:t>水费转移支付</w:t>
            </w:r>
          </w:p>
        </w:tc>
        <w:tc>
          <w:tcPr>
            <w:tcW w:w="1808" w:type="dxa"/>
            <w:vAlign w:val="center"/>
          </w:tcPr>
          <w:p>
            <w:pPr>
              <w:jc w:val="right"/>
              <w:rPr>
                <w:rFonts w:ascii="宋体" w:hAnsi="宋体" w:cs="宋体"/>
                <w:color w:val="000000" w:themeColor="text1"/>
                <w:sz w:val="28"/>
                <w:szCs w:val="28"/>
              </w:rPr>
            </w:pPr>
            <w:r>
              <w:rPr>
                <w:rFonts w:hint="eastAsia"/>
                <w:color w:val="000000" w:themeColor="text1"/>
                <w:sz w:val="28"/>
                <w:szCs w:val="28"/>
              </w:rPr>
              <w:t>9,934,164</w:t>
            </w:r>
          </w:p>
        </w:tc>
        <w:tc>
          <w:tcPr>
            <w:tcW w:w="1842" w:type="dxa"/>
            <w:vAlign w:val="center"/>
          </w:tcPr>
          <w:p>
            <w:pPr>
              <w:jc w:val="right"/>
              <w:rPr>
                <w:rFonts w:ascii="宋体" w:hAnsi="宋体" w:cs="宋体"/>
                <w:color w:val="000000" w:themeColor="text1"/>
                <w:sz w:val="28"/>
                <w:szCs w:val="28"/>
              </w:rPr>
            </w:pPr>
            <w:r>
              <w:rPr>
                <w:rFonts w:hint="eastAsia"/>
                <w:color w:val="000000" w:themeColor="text1"/>
                <w:sz w:val="28"/>
                <w:szCs w:val="28"/>
              </w:rPr>
              <w:t>9934164</w:t>
            </w:r>
          </w:p>
        </w:tc>
        <w:tc>
          <w:tcPr>
            <w:tcW w:w="1400" w:type="dxa"/>
            <w:vAlign w:val="center"/>
          </w:tcPr>
          <w:p>
            <w:pPr>
              <w:widowControl/>
              <w:spacing w:line="600" w:lineRule="exact"/>
              <w:jc w:val="center"/>
              <w:textAlignment w:val="center"/>
              <w:rPr>
                <w:rFonts w:ascii="仿宋" w:hAnsi="仿宋" w:eastAsia="仿宋" w:cs="仿宋_GB2312"/>
                <w:color w:val="000000" w:themeColor="text1"/>
                <w:kern w:val="0"/>
                <w:sz w:val="32"/>
                <w:szCs w:val="32"/>
              </w:rPr>
            </w:pPr>
          </w:p>
        </w:tc>
        <w:tc>
          <w:tcPr>
            <w:tcW w:w="1391" w:type="dxa"/>
            <w:vAlign w:val="center"/>
          </w:tcPr>
          <w:p>
            <w:pPr>
              <w:widowControl/>
              <w:spacing w:line="600" w:lineRule="exact"/>
              <w:jc w:val="center"/>
              <w:textAlignment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100%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10" w:hRule="exact"/>
        </w:trPr>
        <w:tc>
          <w:tcPr>
            <w:tcW w:w="2871" w:type="dxa"/>
            <w:vAlign w:val="center"/>
          </w:tcPr>
          <w:p>
            <w:pPr>
              <w:rPr>
                <w:rFonts w:ascii="宋体" w:hAnsi="宋体" w:cs="宋体"/>
                <w:color w:val="000000" w:themeColor="text1"/>
                <w:sz w:val="18"/>
                <w:szCs w:val="18"/>
              </w:rPr>
            </w:pPr>
            <w:r>
              <w:rPr>
                <w:rFonts w:hint="eastAsia"/>
                <w:color w:val="000000" w:themeColor="text1"/>
                <w:sz w:val="18"/>
                <w:szCs w:val="18"/>
              </w:rPr>
              <w:t>农村饮水安全工程</w:t>
            </w:r>
          </w:p>
        </w:tc>
        <w:tc>
          <w:tcPr>
            <w:tcW w:w="1808" w:type="dxa"/>
            <w:vAlign w:val="center"/>
          </w:tcPr>
          <w:p>
            <w:pPr>
              <w:jc w:val="right"/>
              <w:rPr>
                <w:rFonts w:ascii="宋体" w:hAnsi="宋体" w:cs="宋体"/>
                <w:color w:val="000000" w:themeColor="text1"/>
                <w:sz w:val="28"/>
                <w:szCs w:val="28"/>
              </w:rPr>
            </w:pPr>
            <w:r>
              <w:rPr>
                <w:rFonts w:hint="eastAsia"/>
                <w:color w:val="000000" w:themeColor="text1"/>
                <w:sz w:val="28"/>
                <w:szCs w:val="28"/>
              </w:rPr>
              <w:t>1,460,000</w:t>
            </w:r>
          </w:p>
        </w:tc>
        <w:tc>
          <w:tcPr>
            <w:tcW w:w="1842" w:type="dxa"/>
            <w:vAlign w:val="center"/>
          </w:tcPr>
          <w:p>
            <w:pPr>
              <w:jc w:val="right"/>
              <w:rPr>
                <w:rFonts w:ascii="宋体" w:hAnsi="宋体" w:cs="宋体"/>
                <w:color w:val="000000" w:themeColor="text1"/>
                <w:sz w:val="28"/>
                <w:szCs w:val="28"/>
              </w:rPr>
            </w:pPr>
            <w:r>
              <w:rPr>
                <w:rFonts w:hint="eastAsia"/>
                <w:color w:val="000000" w:themeColor="text1"/>
                <w:sz w:val="28"/>
                <w:szCs w:val="28"/>
              </w:rPr>
              <w:t>1,460,000</w:t>
            </w:r>
          </w:p>
        </w:tc>
        <w:tc>
          <w:tcPr>
            <w:tcW w:w="1400" w:type="dxa"/>
            <w:vAlign w:val="center"/>
          </w:tcPr>
          <w:p>
            <w:pPr>
              <w:widowControl/>
              <w:spacing w:line="600" w:lineRule="exact"/>
              <w:jc w:val="center"/>
              <w:textAlignment w:val="center"/>
              <w:rPr>
                <w:rFonts w:ascii="仿宋" w:hAnsi="仿宋" w:eastAsia="仿宋" w:cs="仿宋_GB2312"/>
                <w:color w:val="000000" w:themeColor="text1"/>
                <w:kern w:val="0"/>
                <w:sz w:val="32"/>
                <w:szCs w:val="32"/>
              </w:rPr>
            </w:pPr>
          </w:p>
        </w:tc>
        <w:tc>
          <w:tcPr>
            <w:tcW w:w="1391" w:type="dxa"/>
            <w:vAlign w:val="center"/>
          </w:tcPr>
          <w:p>
            <w:pPr>
              <w:widowControl/>
              <w:spacing w:line="600" w:lineRule="exact"/>
              <w:jc w:val="center"/>
              <w:textAlignment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100%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083" w:hRule="exact"/>
        </w:trPr>
        <w:tc>
          <w:tcPr>
            <w:tcW w:w="2871" w:type="dxa"/>
            <w:vAlign w:val="center"/>
          </w:tcPr>
          <w:p>
            <w:pPr>
              <w:rPr>
                <w:rFonts w:ascii="宋体" w:hAnsi="宋体" w:cs="宋体"/>
                <w:color w:val="000000" w:themeColor="text1"/>
                <w:sz w:val="18"/>
                <w:szCs w:val="18"/>
              </w:rPr>
            </w:pPr>
            <w:r>
              <w:rPr>
                <w:rFonts w:hint="eastAsia"/>
                <w:color w:val="000000" w:themeColor="text1"/>
                <w:sz w:val="18"/>
                <w:szCs w:val="18"/>
              </w:rPr>
              <w:t>防汛抗旱经费（险工隐患处置、山洪灾害防御非工程措施维护、防汛值班补助）</w:t>
            </w:r>
          </w:p>
        </w:tc>
        <w:tc>
          <w:tcPr>
            <w:tcW w:w="1808" w:type="dxa"/>
            <w:vAlign w:val="center"/>
          </w:tcPr>
          <w:p>
            <w:pPr>
              <w:jc w:val="right"/>
              <w:rPr>
                <w:rFonts w:ascii="宋体" w:hAnsi="宋体" w:cs="宋体"/>
                <w:color w:val="000000" w:themeColor="text1"/>
                <w:sz w:val="28"/>
                <w:szCs w:val="28"/>
              </w:rPr>
            </w:pPr>
            <w:r>
              <w:rPr>
                <w:rFonts w:hint="eastAsia"/>
                <w:color w:val="000000" w:themeColor="text1"/>
                <w:sz w:val="28"/>
                <w:szCs w:val="28"/>
              </w:rPr>
              <w:t>400,000</w:t>
            </w:r>
          </w:p>
        </w:tc>
        <w:tc>
          <w:tcPr>
            <w:tcW w:w="1842" w:type="dxa"/>
            <w:vAlign w:val="center"/>
          </w:tcPr>
          <w:p>
            <w:pPr>
              <w:jc w:val="right"/>
              <w:rPr>
                <w:rFonts w:ascii="宋体" w:hAnsi="宋体" w:cs="宋体"/>
                <w:color w:val="000000" w:themeColor="text1"/>
                <w:sz w:val="28"/>
                <w:szCs w:val="28"/>
              </w:rPr>
            </w:pPr>
            <w:r>
              <w:rPr>
                <w:rFonts w:hint="eastAsia"/>
                <w:color w:val="000000" w:themeColor="text1"/>
                <w:sz w:val="28"/>
                <w:szCs w:val="28"/>
              </w:rPr>
              <w:t>400,000</w:t>
            </w:r>
          </w:p>
        </w:tc>
        <w:tc>
          <w:tcPr>
            <w:tcW w:w="1400" w:type="dxa"/>
            <w:vAlign w:val="center"/>
          </w:tcPr>
          <w:p>
            <w:pPr>
              <w:widowControl/>
              <w:spacing w:line="600" w:lineRule="exact"/>
              <w:jc w:val="center"/>
              <w:textAlignment w:val="center"/>
              <w:rPr>
                <w:rFonts w:ascii="仿宋" w:hAnsi="仿宋" w:eastAsia="仿宋" w:cs="仿宋_GB2312"/>
                <w:color w:val="000000" w:themeColor="text1"/>
                <w:kern w:val="0"/>
                <w:sz w:val="32"/>
                <w:szCs w:val="32"/>
              </w:rPr>
            </w:pPr>
          </w:p>
        </w:tc>
        <w:tc>
          <w:tcPr>
            <w:tcW w:w="1391" w:type="dxa"/>
            <w:vAlign w:val="center"/>
          </w:tcPr>
          <w:p>
            <w:pPr>
              <w:widowControl/>
              <w:spacing w:line="600" w:lineRule="exact"/>
              <w:jc w:val="center"/>
              <w:textAlignment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100%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5" w:hRule="exact"/>
        </w:trPr>
        <w:tc>
          <w:tcPr>
            <w:tcW w:w="2871" w:type="dxa"/>
            <w:vAlign w:val="center"/>
          </w:tcPr>
          <w:p>
            <w:pPr>
              <w:rPr>
                <w:rFonts w:ascii="宋体" w:hAnsi="宋体" w:cs="宋体"/>
                <w:color w:val="000000" w:themeColor="text1"/>
                <w:sz w:val="18"/>
                <w:szCs w:val="18"/>
              </w:rPr>
            </w:pPr>
            <w:r>
              <w:rPr>
                <w:rFonts w:hint="eastAsia"/>
                <w:color w:val="000000" w:themeColor="text1"/>
                <w:sz w:val="18"/>
                <w:szCs w:val="18"/>
              </w:rPr>
              <w:t>消防栓维护、检修试水等经费</w:t>
            </w:r>
          </w:p>
        </w:tc>
        <w:tc>
          <w:tcPr>
            <w:tcW w:w="1808" w:type="dxa"/>
            <w:vAlign w:val="center"/>
          </w:tcPr>
          <w:p>
            <w:pPr>
              <w:jc w:val="right"/>
              <w:rPr>
                <w:rFonts w:ascii="宋体" w:hAnsi="宋体" w:cs="宋体"/>
                <w:color w:val="000000" w:themeColor="text1"/>
                <w:sz w:val="28"/>
                <w:szCs w:val="28"/>
              </w:rPr>
            </w:pPr>
            <w:r>
              <w:rPr>
                <w:rFonts w:hint="eastAsia"/>
                <w:color w:val="000000" w:themeColor="text1"/>
                <w:sz w:val="28"/>
                <w:szCs w:val="28"/>
              </w:rPr>
              <w:t>200,000</w:t>
            </w:r>
          </w:p>
        </w:tc>
        <w:tc>
          <w:tcPr>
            <w:tcW w:w="1842" w:type="dxa"/>
            <w:vAlign w:val="center"/>
          </w:tcPr>
          <w:p>
            <w:pPr>
              <w:jc w:val="right"/>
              <w:rPr>
                <w:rFonts w:ascii="宋体" w:hAnsi="宋体" w:cs="宋体"/>
                <w:color w:val="000000" w:themeColor="text1"/>
                <w:sz w:val="28"/>
                <w:szCs w:val="28"/>
              </w:rPr>
            </w:pPr>
            <w:r>
              <w:rPr>
                <w:rFonts w:hint="eastAsia"/>
                <w:color w:val="000000" w:themeColor="text1"/>
                <w:sz w:val="28"/>
                <w:szCs w:val="28"/>
              </w:rPr>
              <w:t>200,000</w:t>
            </w:r>
          </w:p>
        </w:tc>
        <w:tc>
          <w:tcPr>
            <w:tcW w:w="1400" w:type="dxa"/>
            <w:vAlign w:val="center"/>
          </w:tcPr>
          <w:p>
            <w:pPr>
              <w:widowControl/>
              <w:spacing w:line="600" w:lineRule="exact"/>
              <w:jc w:val="center"/>
              <w:textAlignment w:val="center"/>
              <w:rPr>
                <w:rFonts w:ascii="仿宋" w:hAnsi="仿宋" w:eastAsia="仿宋" w:cs="仿宋_GB2312"/>
                <w:color w:val="000000" w:themeColor="text1"/>
                <w:kern w:val="0"/>
                <w:sz w:val="32"/>
                <w:szCs w:val="32"/>
              </w:rPr>
            </w:pPr>
          </w:p>
        </w:tc>
        <w:tc>
          <w:tcPr>
            <w:tcW w:w="1391" w:type="dxa"/>
            <w:vAlign w:val="center"/>
          </w:tcPr>
          <w:p>
            <w:pPr>
              <w:widowControl/>
              <w:spacing w:line="600" w:lineRule="exact"/>
              <w:jc w:val="center"/>
              <w:textAlignment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100%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5" w:hRule="exact"/>
        </w:trPr>
        <w:tc>
          <w:tcPr>
            <w:tcW w:w="2871" w:type="dxa"/>
            <w:vAlign w:val="center"/>
          </w:tcPr>
          <w:p>
            <w:pPr>
              <w:rPr>
                <w:rFonts w:ascii="宋体" w:hAnsi="宋体" w:cs="宋体"/>
                <w:color w:val="000000" w:themeColor="text1"/>
                <w:sz w:val="18"/>
                <w:szCs w:val="18"/>
              </w:rPr>
            </w:pPr>
            <w:r>
              <w:rPr>
                <w:rFonts w:hint="eastAsia"/>
                <w:color w:val="000000" w:themeColor="text1"/>
                <w:sz w:val="18"/>
                <w:szCs w:val="18"/>
              </w:rPr>
              <w:t>金霞山、龙兴寺消防用水项目</w:t>
            </w:r>
          </w:p>
        </w:tc>
        <w:tc>
          <w:tcPr>
            <w:tcW w:w="1808" w:type="dxa"/>
            <w:vAlign w:val="center"/>
          </w:tcPr>
          <w:p>
            <w:pPr>
              <w:jc w:val="right"/>
              <w:rPr>
                <w:rFonts w:ascii="宋体" w:hAnsi="宋体" w:cs="宋体"/>
                <w:color w:val="000000" w:themeColor="text1"/>
                <w:sz w:val="28"/>
                <w:szCs w:val="28"/>
              </w:rPr>
            </w:pPr>
            <w:r>
              <w:rPr>
                <w:rFonts w:hint="eastAsia"/>
                <w:color w:val="000000" w:themeColor="text1"/>
                <w:sz w:val="28"/>
                <w:szCs w:val="28"/>
              </w:rPr>
              <w:t>600,000</w:t>
            </w:r>
          </w:p>
        </w:tc>
        <w:tc>
          <w:tcPr>
            <w:tcW w:w="1842" w:type="dxa"/>
            <w:vAlign w:val="center"/>
          </w:tcPr>
          <w:p>
            <w:pPr>
              <w:jc w:val="right"/>
              <w:rPr>
                <w:rFonts w:ascii="宋体" w:hAnsi="宋体" w:cs="宋体"/>
                <w:color w:val="000000" w:themeColor="text1"/>
                <w:sz w:val="28"/>
                <w:szCs w:val="28"/>
              </w:rPr>
            </w:pPr>
            <w:r>
              <w:rPr>
                <w:rFonts w:hint="eastAsia"/>
                <w:color w:val="000000" w:themeColor="text1"/>
                <w:sz w:val="28"/>
                <w:szCs w:val="28"/>
              </w:rPr>
              <w:t>600,000</w:t>
            </w:r>
          </w:p>
        </w:tc>
        <w:tc>
          <w:tcPr>
            <w:tcW w:w="1400" w:type="dxa"/>
            <w:vAlign w:val="center"/>
          </w:tcPr>
          <w:p>
            <w:pPr>
              <w:widowControl/>
              <w:spacing w:line="600" w:lineRule="exact"/>
              <w:jc w:val="center"/>
              <w:textAlignment w:val="center"/>
              <w:rPr>
                <w:rFonts w:ascii="仿宋" w:hAnsi="仿宋" w:eastAsia="仿宋" w:cs="仿宋_GB2312"/>
                <w:color w:val="000000" w:themeColor="text1"/>
                <w:kern w:val="0"/>
                <w:sz w:val="32"/>
                <w:szCs w:val="32"/>
              </w:rPr>
            </w:pPr>
          </w:p>
        </w:tc>
        <w:tc>
          <w:tcPr>
            <w:tcW w:w="1391" w:type="dxa"/>
            <w:vAlign w:val="center"/>
          </w:tcPr>
          <w:p>
            <w:pPr>
              <w:widowControl/>
              <w:spacing w:line="600" w:lineRule="exact"/>
              <w:jc w:val="center"/>
              <w:textAlignment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100%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5" w:hRule="exact"/>
        </w:trPr>
        <w:tc>
          <w:tcPr>
            <w:tcW w:w="2871" w:type="dxa"/>
            <w:vAlign w:val="center"/>
          </w:tcPr>
          <w:p>
            <w:pPr>
              <w:widowControl/>
              <w:spacing w:line="600" w:lineRule="exact"/>
              <w:jc w:val="center"/>
              <w:textAlignment w:val="center"/>
              <w:rPr>
                <w:rFonts w:ascii="仿宋" w:hAnsi="仿宋" w:eastAsia="仿宋" w:cs="仿宋_GB2312"/>
                <w:b/>
                <w:bCs/>
                <w:color w:val="000000" w:themeColor="text1"/>
                <w:kern w:val="0"/>
                <w:sz w:val="32"/>
                <w:szCs w:val="32"/>
              </w:rPr>
            </w:pPr>
            <w:r>
              <w:rPr>
                <w:rFonts w:hint="eastAsia" w:ascii="仿宋" w:hAnsi="仿宋" w:eastAsia="仿宋" w:cs="仿宋_GB2312"/>
                <w:b/>
                <w:bCs/>
                <w:color w:val="000000" w:themeColor="text1"/>
                <w:kern w:val="0"/>
                <w:sz w:val="32"/>
                <w:szCs w:val="32"/>
              </w:rPr>
              <w:t>合计</w:t>
            </w:r>
          </w:p>
        </w:tc>
        <w:tc>
          <w:tcPr>
            <w:tcW w:w="1808" w:type="dxa"/>
            <w:vAlign w:val="center"/>
          </w:tcPr>
          <w:p>
            <w:pPr>
              <w:widowControl/>
              <w:spacing w:line="600" w:lineRule="exact"/>
              <w:jc w:val="right"/>
              <w:textAlignment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sz w:val="32"/>
                <w:szCs w:val="32"/>
              </w:rPr>
              <w:t>13547364</w:t>
            </w:r>
          </w:p>
        </w:tc>
        <w:tc>
          <w:tcPr>
            <w:tcW w:w="1842" w:type="dxa"/>
            <w:vAlign w:val="center"/>
          </w:tcPr>
          <w:p>
            <w:pPr>
              <w:widowControl/>
              <w:spacing w:line="600" w:lineRule="exact"/>
              <w:jc w:val="right"/>
              <w:textAlignment w:val="center"/>
              <w:rPr>
                <w:rFonts w:ascii="仿宋" w:hAnsi="仿宋" w:eastAsia="仿宋" w:cs="仿宋_GB2312"/>
                <w:color w:val="000000" w:themeColor="text1"/>
                <w:sz w:val="28"/>
                <w:szCs w:val="28"/>
              </w:rPr>
            </w:pPr>
            <w:r>
              <w:rPr>
                <w:rFonts w:ascii="仿宋" w:hAnsi="仿宋" w:eastAsia="仿宋" w:cs="仿宋_GB2312"/>
                <w:color w:val="000000" w:themeColor="text1"/>
                <w:sz w:val="28"/>
                <w:szCs w:val="28"/>
              </w:rPr>
              <w:t>11525361.24</w:t>
            </w:r>
          </w:p>
        </w:tc>
        <w:tc>
          <w:tcPr>
            <w:tcW w:w="1400" w:type="dxa"/>
            <w:vAlign w:val="center"/>
          </w:tcPr>
          <w:p>
            <w:pPr>
              <w:widowControl/>
              <w:spacing w:line="600" w:lineRule="exact"/>
              <w:jc w:val="right"/>
              <w:textAlignment w:val="center"/>
              <w:rPr>
                <w:rFonts w:ascii="仿宋" w:hAnsi="仿宋" w:eastAsia="仿宋" w:cs="仿宋_GB2312"/>
                <w:color w:val="000000" w:themeColor="text1"/>
                <w:kern w:val="0"/>
                <w:sz w:val="28"/>
                <w:szCs w:val="28"/>
              </w:rPr>
            </w:pPr>
          </w:p>
        </w:tc>
        <w:tc>
          <w:tcPr>
            <w:tcW w:w="1391" w:type="dxa"/>
            <w:vAlign w:val="center"/>
          </w:tcPr>
          <w:p>
            <w:pPr>
              <w:widowControl/>
              <w:spacing w:line="600" w:lineRule="exact"/>
              <w:ind w:right="160"/>
              <w:jc w:val="right"/>
              <w:textAlignment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100%</w:t>
            </w:r>
          </w:p>
        </w:tc>
      </w:tr>
    </w:tbl>
    <w:p>
      <w:pPr>
        <w:spacing w:line="600" w:lineRule="exact"/>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本单位在今年收支预算内，确保完成以下整体目标：</w:t>
      </w:r>
    </w:p>
    <w:p>
      <w:pPr>
        <w:spacing w:line="600" w:lineRule="exact"/>
        <w:ind w:firstLine="640" w:firstLineChars="200"/>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目标</w:t>
      </w:r>
      <w:r>
        <w:rPr>
          <w:rFonts w:ascii="仿宋" w:hAnsi="仿宋" w:eastAsia="仿宋" w:cs="仿宋_GB2312"/>
          <w:color w:val="000000" w:themeColor="text1"/>
          <w:sz w:val="32"/>
          <w:szCs w:val="32"/>
        </w:rPr>
        <w:t>1</w:t>
      </w:r>
      <w:r>
        <w:rPr>
          <w:rFonts w:hint="eastAsia" w:ascii="仿宋" w:hAnsi="仿宋" w:eastAsia="仿宋" w:cs="仿宋_GB2312"/>
          <w:color w:val="000000" w:themeColor="text1"/>
          <w:sz w:val="32"/>
          <w:szCs w:val="32"/>
        </w:rPr>
        <w:t>：依法行政，维护机关及直属事业单位的正常运转，争创文明单位；厉行节约、反对浪费、严格控制三公经费；合法地组织政府购买服务等政府采购支出；机关运行经费不超年初预算总额。</w:t>
      </w:r>
    </w:p>
    <w:p>
      <w:pPr>
        <w:spacing w:line="600" w:lineRule="exact"/>
        <w:ind w:firstLine="800" w:firstLineChars="250"/>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目标</w:t>
      </w:r>
      <w:r>
        <w:rPr>
          <w:rFonts w:ascii="仿宋" w:hAnsi="仿宋" w:eastAsia="仿宋" w:cs="仿宋_GB2312"/>
          <w:color w:val="000000" w:themeColor="text1"/>
          <w:sz w:val="32"/>
          <w:szCs w:val="32"/>
        </w:rPr>
        <w:t>2</w:t>
      </w:r>
      <w:r>
        <w:rPr>
          <w:rFonts w:hint="eastAsia" w:ascii="仿宋" w:hAnsi="仿宋" w:eastAsia="仿宋" w:cs="仿宋_GB2312"/>
          <w:color w:val="000000" w:themeColor="text1"/>
          <w:sz w:val="32"/>
          <w:szCs w:val="32"/>
        </w:rPr>
        <w:t>：统筹协调、统一管理水费转移支付资金等7个业务性专项资金的分配和监管，积极开展项目争取、申报等前期工作，争取上级项目资金投入50</w:t>
      </w:r>
      <w:r>
        <w:rPr>
          <w:rFonts w:ascii="仿宋" w:hAnsi="仿宋" w:eastAsia="仿宋" w:cs="仿宋_GB2312"/>
          <w:color w:val="000000" w:themeColor="text1"/>
          <w:sz w:val="32"/>
          <w:szCs w:val="32"/>
        </w:rPr>
        <w:t>00</w:t>
      </w:r>
      <w:r>
        <w:rPr>
          <w:rFonts w:hint="eastAsia" w:ascii="仿宋" w:hAnsi="仿宋" w:eastAsia="仿宋" w:cs="仿宋_GB2312"/>
          <w:color w:val="000000" w:themeColor="text1"/>
          <w:sz w:val="32"/>
          <w:szCs w:val="32"/>
        </w:rPr>
        <w:t>万元以上。</w:t>
      </w:r>
    </w:p>
    <w:p>
      <w:pPr>
        <w:spacing w:line="600" w:lineRule="exact"/>
        <w:ind w:firstLine="800" w:firstLineChars="250"/>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目标</w:t>
      </w:r>
      <w:r>
        <w:rPr>
          <w:rFonts w:ascii="仿宋" w:hAnsi="仿宋" w:eastAsia="仿宋" w:cs="仿宋_GB2312"/>
          <w:color w:val="000000" w:themeColor="text1"/>
          <w:sz w:val="32"/>
          <w:szCs w:val="32"/>
        </w:rPr>
        <w:t>3</w:t>
      </w:r>
      <w:r>
        <w:rPr>
          <w:rFonts w:hint="eastAsia" w:ascii="仿宋" w:hAnsi="仿宋" w:eastAsia="仿宋" w:cs="仿宋_GB2312"/>
          <w:color w:val="000000" w:themeColor="text1"/>
          <w:sz w:val="32"/>
          <w:szCs w:val="32"/>
        </w:rPr>
        <w:t>：积极组织实施专项工程建设，做好水利建设资金等2个项目性专项资金的使用和监管，完成水利建设投入</w:t>
      </w:r>
      <w:r>
        <w:rPr>
          <w:rFonts w:ascii="仿宋" w:hAnsi="仿宋" w:eastAsia="仿宋" w:cs="仿宋_GB2312"/>
          <w:color w:val="000000" w:themeColor="text1"/>
          <w:sz w:val="32"/>
          <w:szCs w:val="32"/>
        </w:rPr>
        <w:t>10000</w:t>
      </w:r>
      <w:r>
        <w:rPr>
          <w:rFonts w:hint="eastAsia" w:ascii="仿宋" w:hAnsi="仿宋" w:eastAsia="仿宋" w:cs="仿宋_GB2312"/>
          <w:color w:val="000000" w:themeColor="text1"/>
          <w:sz w:val="32"/>
          <w:szCs w:val="32"/>
        </w:rPr>
        <w:t>万元。</w:t>
      </w:r>
    </w:p>
    <w:p>
      <w:pPr>
        <w:shd w:val="clear" w:color="auto" w:fill="FFFFFF"/>
        <w:snapToGrid w:val="0"/>
        <w:spacing w:before="100" w:after="100" w:line="600" w:lineRule="exact"/>
        <w:ind w:firstLine="800" w:firstLineChars="250"/>
        <w:rPr>
          <w:rFonts w:ascii="仿宋" w:hAnsi="仿宋" w:eastAsia="仿宋" w:cs="仿宋_GB2312"/>
          <w:color w:val="000000" w:themeColor="text1"/>
          <w:sz w:val="32"/>
          <w:szCs w:val="32"/>
        </w:rPr>
      </w:pPr>
      <w:r>
        <w:rPr>
          <w:rFonts w:ascii="仿宋" w:hAnsi="仿宋" w:eastAsia="仿宋" w:cs="仿宋_GB2312"/>
          <w:color w:val="000000" w:themeColor="text1"/>
          <w:sz w:val="32"/>
          <w:szCs w:val="32"/>
        </w:rPr>
        <w:t>5</w:t>
      </w:r>
      <w:r>
        <w:rPr>
          <w:rFonts w:hint="eastAsia" w:ascii="仿宋" w:hAnsi="仿宋" w:eastAsia="仿宋" w:cs="仿宋_GB2312"/>
          <w:color w:val="000000" w:themeColor="text1"/>
          <w:sz w:val="32"/>
          <w:szCs w:val="32"/>
        </w:rPr>
        <w:t>、部门专项资金组织实施情况：</w:t>
      </w:r>
    </w:p>
    <w:p>
      <w:pPr>
        <w:tabs>
          <w:tab w:val="left" w:pos="690"/>
        </w:tabs>
        <w:ind w:firstLine="800" w:firstLineChars="250"/>
        <w:rPr>
          <w:rFonts w:ascii="仿宋" w:hAnsi="仿宋" w:eastAsia="仿宋" w:cs="仿宋_GB2312"/>
          <w:color w:val="000000" w:themeColor="text1"/>
          <w:sz w:val="32"/>
          <w:szCs w:val="32"/>
        </w:rPr>
      </w:pPr>
      <w:r>
        <w:rPr>
          <w:rFonts w:ascii="仿宋" w:hAnsi="仿宋" w:eastAsia="仿宋" w:cs="仿宋_GB2312"/>
          <w:color w:val="000000" w:themeColor="text1"/>
          <w:sz w:val="32"/>
          <w:szCs w:val="32"/>
        </w:rPr>
        <w:t>(1)</w:t>
      </w:r>
      <w:r>
        <w:rPr>
          <w:rFonts w:hint="eastAsia" w:ascii="仿宋" w:hAnsi="仿宋" w:eastAsia="仿宋" w:cs="仿宋_GB2312"/>
          <w:color w:val="000000" w:themeColor="text1"/>
          <w:sz w:val="32"/>
          <w:szCs w:val="32"/>
        </w:rPr>
        <w:t>、水利管理事务支出16.32万元：本项目为延续性项目，其中：人事代理12.32万、劳务派遣4万。</w:t>
      </w:r>
    </w:p>
    <w:p>
      <w:pPr>
        <w:tabs>
          <w:tab w:val="left" w:pos="690"/>
        </w:tabs>
        <w:ind w:firstLine="640" w:firstLineChars="200"/>
        <w:rPr>
          <w:rFonts w:ascii="仿宋" w:hAnsi="仿宋" w:eastAsia="仿宋"/>
          <w:color w:val="000000" w:themeColor="text1"/>
          <w:sz w:val="32"/>
          <w:szCs w:val="32"/>
        </w:rPr>
      </w:pPr>
      <w:r>
        <w:rPr>
          <w:rFonts w:ascii="仿宋" w:hAnsi="仿宋" w:eastAsia="仿宋" w:cs="仿宋_GB2312"/>
          <w:color w:val="000000" w:themeColor="text1"/>
          <w:sz w:val="32"/>
          <w:szCs w:val="32"/>
        </w:rPr>
        <w:t>(</w:t>
      </w:r>
      <w:r>
        <w:rPr>
          <w:rFonts w:hint="eastAsia" w:ascii="仿宋" w:hAnsi="仿宋" w:eastAsia="仿宋" w:cs="仿宋_GB2312"/>
          <w:color w:val="000000" w:themeColor="text1"/>
          <w:sz w:val="32"/>
          <w:szCs w:val="32"/>
        </w:rPr>
        <w:t>2</w:t>
      </w:r>
      <w:r>
        <w:rPr>
          <w:rFonts w:ascii="仿宋" w:hAnsi="仿宋" w:eastAsia="仿宋" w:cs="仿宋_GB2312"/>
          <w:color w:val="000000" w:themeColor="text1"/>
          <w:sz w:val="32"/>
          <w:szCs w:val="32"/>
        </w:rPr>
        <w:t>)</w:t>
      </w:r>
      <w:r>
        <w:rPr>
          <w:rFonts w:hint="eastAsia" w:ascii="仿宋" w:hAnsi="仿宋" w:eastAsia="仿宋" w:cs="仿宋_GB2312"/>
          <w:color w:val="000000" w:themeColor="text1"/>
          <w:sz w:val="32"/>
          <w:szCs w:val="32"/>
        </w:rPr>
        <w:t>、水淹区口粮补贴经费79万元：本项目为延续项目，</w:t>
      </w:r>
      <w:r>
        <w:rPr>
          <w:rFonts w:hint="eastAsia" w:ascii="仿宋" w:hAnsi="仿宋" w:eastAsia="仿宋"/>
          <w:color w:val="000000" w:themeColor="text1"/>
          <w:sz w:val="32"/>
          <w:szCs w:val="32"/>
        </w:rPr>
        <w:t>立项依据：《关于完善大中型水库移民后期扶持政策的意见》（国发【2006】17号）、湖南省人民政府（2007年）第109次常务会议纪要精神，移民扶助金由县市区政府包干负责，统筹调剂解决小水库移民.原享受了口粮补贴而不能享受每人每年600元后扶政策人员和其他连带影响人口的吃饭困难问题。</w:t>
      </w:r>
    </w:p>
    <w:p>
      <w:pPr>
        <w:tabs>
          <w:tab w:val="left" w:pos="690"/>
        </w:tabs>
        <w:ind w:firstLine="640" w:firstLineChars="200"/>
        <w:rPr>
          <w:rFonts w:ascii="仿宋" w:hAnsi="仿宋" w:eastAsia="仿宋"/>
          <w:color w:val="000000" w:themeColor="text1"/>
          <w:sz w:val="32"/>
          <w:szCs w:val="32"/>
        </w:rPr>
      </w:pPr>
      <w:r>
        <w:rPr>
          <w:rFonts w:ascii="仿宋" w:hAnsi="仿宋" w:eastAsia="仿宋" w:cs="仿宋_GB2312"/>
          <w:color w:val="000000" w:themeColor="text1"/>
          <w:sz w:val="32"/>
          <w:szCs w:val="32"/>
        </w:rPr>
        <w:t>(</w:t>
      </w:r>
      <w:r>
        <w:rPr>
          <w:rFonts w:hint="eastAsia" w:ascii="仿宋" w:hAnsi="仿宋" w:eastAsia="仿宋" w:cs="仿宋_GB2312"/>
          <w:color w:val="000000" w:themeColor="text1"/>
          <w:sz w:val="32"/>
          <w:szCs w:val="32"/>
        </w:rPr>
        <w:t>3</w:t>
      </w:r>
      <w:r>
        <w:rPr>
          <w:rFonts w:ascii="仿宋" w:hAnsi="仿宋" w:eastAsia="仿宋" w:cs="仿宋_GB2312"/>
          <w:color w:val="000000" w:themeColor="text1"/>
          <w:sz w:val="32"/>
          <w:szCs w:val="32"/>
        </w:rPr>
        <w:t>)</w:t>
      </w:r>
      <w:r>
        <w:rPr>
          <w:rFonts w:hint="eastAsia" w:ascii="仿宋" w:hAnsi="仿宋" w:eastAsia="仿宋"/>
          <w:b/>
          <w:color w:val="000000" w:themeColor="text1"/>
          <w:sz w:val="32"/>
          <w:szCs w:val="32"/>
        </w:rPr>
        <w:t>、水费转移支付993.4164万元：</w:t>
      </w:r>
      <w:r>
        <w:rPr>
          <w:rFonts w:hint="eastAsia" w:ascii="仿宋" w:hAnsi="仿宋" w:eastAsia="仿宋"/>
          <w:color w:val="000000" w:themeColor="text1"/>
          <w:sz w:val="32"/>
          <w:szCs w:val="32"/>
        </w:rPr>
        <w:t>本项目为延续项目，立项依据：政府常务会议2013年3号的精神，将过去向农民收取的农业灌溉水费，由财政资金转移支付予以保障，主要用于8个中型水管单位的人员经费和水利工程日常维修养护。共需993.4万元，其中：工资443.4万元，乡镇补贴24.2万元，五险二金243.9，遗属补助 5.2万元，绩效考核奖金102万元，公用经费65.28万元，退休人员慰问9.2万元，日常维修养护经费100万元。</w:t>
      </w:r>
    </w:p>
    <w:p>
      <w:pPr>
        <w:tabs>
          <w:tab w:val="left" w:pos="690"/>
        </w:tabs>
        <w:ind w:firstLine="640" w:firstLineChars="200"/>
        <w:rPr>
          <w:rFonts w:ascii="仿宋" w:hAnsi="仿宋" w:eastAsia="仿宋"/>
          <w:color w:val="000000" w:themeColor="text1"/>
          <w:sz w:val="32"/>
          <w:szCs w:val="32"/>
        </w:rPr>
      </w:pPr>
      <w:r>
        <w:rPr>
          <w:rFonts w:ascii="仿宋" w:hAnsi="仿宋" w:eastAsia="仿宋" w:cs="仿宋_GB2312"/>
          <w:color w:val="000000" w:themeColor="text1"/>
          <w:sz w:val="32"/>
          <w:szCs w:val="32"/>
        </w:rPr>
        <w:t>(</w:t>
      </w:r>
      <w:r>
        <w:rPr>
          <w:rFonts w:hint="eastAsia" w:ascii="仿宋" w:hAnsi="仿宋" w:eastAsia="仿宋" w:cs="仿宋_GB2312"/>
          <w:color w:val="000000" w:themeColor="text1"/>
          <w:sz w:val="32"/>
          <w:szCs w:val="32"/>
        </w:rPr>
        <w:t>4</w:t>
      </w:r>
      <w:r>
        <w:rPr>
          <w:rFonts w:ascii="仿宋" w:hAnsi="仿宋" w:eastAsia="仿宋" w:cs="仿宋_GB2312"/>
          <w:color w:val="000000" w:themeColor="text1"/>
          <w:sz w:val="32"/>
          <w:szCs w:val="32"/>
        </w:rPr>
        <w:t>)</w:t>
      </w:r>
      <w:r>
        <w:rPr>
          <w:rFonts w:hint="eastAsia" w:ascii="仿宋" w:hAnsi="仿宋" w:eastAsia="仿宋" w:cs="仿宋_GB2312"/>
          <w:color w:val="000000" w:themeColor="text1"/>
          <w:sz w:val="32"/>
          <w:szCs w:val="32"/>
        </w:rPr>
        <w:t>、</w:t>
      </w:r>
      <w:r>
        <w:rPr>
          <w:rFonts w:hint="eastAsia" w:ascii="仿宋" w:hAnsi="仿宋" w:eastAsia="仿宋"/>
          <w:b/>
          <w:color w:val="000000" w:themeColor="text1"/>
          <w:sz w:val="32"/>
          <w:szCs w:val="32"/>
        </w:rPr>
        <w:t>农村安全饮水工程经费146万元：</w:t>
      </w:r>
      <w:r>
        <w:rPr>
          <w:rFonts w:hint="eastAsia" w:ascii="仿宋" w:hAnsi="仿宋" w:eastAsia="仿宋"/>
          <w:color w:val="000000" w:themeColor="text1"/>
          <w:sz w:val="32"/>
          <w:szCs w:val="32"/>
        </w:rPr>
        <w:t>本项目为延续项目，2015年10月县人民政府常务会议纪要（第15次），依法由县级水行政主管部门组织，委托湘潭县农村水质检测中心，对全县检测范围的水样进行采样和检测。</w:t>
      </w:r>
    </w:p>
    <w:p>
      <w:pPr>
        <w:tabs>
          <w:tab w:val="left" w:pos="690"/>
        </w:tabs>
        <w:ind w:firstLine="640" w:firstLineChars="200"/>
        <w:rPr>
          <w:rFonts w:ascii="仿宋" w:hAnsi="仿宋" w:eastAsia="仿宋"/>
          <w:color w:val="000000" w:themeColor="text1"/>
          <w:sz w:val="32"/>
          <w:szCs w:val="32"/>
        </w:rPr>
      </w:pPr>
      <w:r>
        <w:rPr>
          <w:rFonts w:ascii="仿宋" w:hAnsi="仿宋" w:eastAsia="仿宋" w:cs="仿宋_GB2312"/>
          <w:color w:val="000000" w:themeColor="text1"/>
          <w:sz w:val="32"/>
          <w:szCs w:val="32"/>
        </w:rPr>
        <w:t>(</w:t>
      </w:r>
      <w:r>
        <w:rPr>
          <w:rFonts w:hint="eastAsia" w:ascii="仿宋" w:hAnsi="仿宋" w:eastAsia="仿宋" w:cs="仿宋_GB2312"/>
          <w:color w:val="000000" w:themeColor="text1"/>
          <w:sz w:val="32"/>
          <w:szCs w:val="32"/>
        </w:rPr>
        <w:t>5</w:t>
      </w:r>
      <w:r>
        <w:rPr>
          <w:rFonts w:ascii="仿宋" w:hAnsi="仿宋" w:eastAsia="仿宋" w:cs="仿宋_GB2312"/>
          <w:color w:val="000000" w:themeColor="text1"/>
          <w:sz w:val="32"/>
          <w:szCs w:val="32"/>
        </w:rPr>
        <w:t>)</w:t>
      </w:r>
      <w:r>
        <w:rPr>
          <w:rFonts w:hint="eastAsia" w:ascii="仿宋" w:hAnsi="仿宋" w:eastAsia="仿宋"/>
          <w:b/>
          <w:color w:val="000000" w:themeColor="text1"/>
          <w:sz w:val="32"/>
          <w:szCs w:val="32"/>
        </w:rPr>
        <w:t>、防汛抗旱经费40万元：</w:t>
      </w:r>
      <w:r>
        <w:rPr>
          <w:rFonts w:hint="eastAsia" w:ascii="仿宋" w:hAnsi="仿宋" w:eastAsia="仿宋"/>
          <w:color w:val="000000" w:themeColor="text1"/>
          <w:sz w:val="32"/>
          <w:szCs w:val="32"/>
        </w:rPr>
        <w:t>本项目为延续项目，为切实做好水旱灾害防御工作，入汛期之前必须组织的汛前安全大检查，对检查中发现存在度汛安全隐患的水利工程需及时进行处置，以提高我县水旱灾害防御能力。依据：《中华人民共和国防洪法》《中华人民共和国防汛条例》《中华人民共和国抗旱条例》。支出明细：乡镇度汛隐患处置20万元。 为确保山洪灾害防治非工程措施系统设备设施正常使用，我局每年汛前组织对所建的设备设施进行全面的检查，并委托专业机构对存在问题的设备设施进行维修、更换或升级，确保所有设备设施正常使用。依据：省防指、省财政厅、省水利厅《关于印发湖南省山洪灾害防治项目建设和经费管理实施细则》的通知。支出明细：水位站、雨量站维修维护10万元。每年汛期（4月1日至9月3</w:t>
      </w:r>
      <w:r>
        <w:rPr>
          <w:rFonts w:hint="eastAsia" w:ascii="仿宋" w:hAnsi="仿宋" w:eastAsia="仿宋"/>
          <w:color w:val="000000" w:themeColor="text1"/>
          <w:sz w:val="32"/>
          <w:szCs w:val="32"/>
          <w:lang w:val="en-US" w:eastAsia="zh-CN"/>
        </w:rPr>
        <w:t>0</w:t>
      </w:r>
      <w:r>
        <w:rPr>
          <w:rFonts w:hint="eastAsia" w:ascii="仿宋" w:hAnsi="仿宋" w:eastAsia="仿宋"/>
          <w:color w:val="000000" w:themeColor="text1"/>
          <w:sz w:val="32"/>
          <w:szCs w:val="32"/>
        </w:rPr>
        <w:t>日）我局严格实行24小时防汛值班制度，及时收集和处置汛情、灾情、工程调度和抢险救灾等各类情况，向党委、政府提出指挥决策意见并组织实施。依据：市防指《关于我市防汛抗旱值班补助费的请示》、国家防总《关于对设立防汛值班补贴的答复意见》。支出明细：4-9月份防汛值班补助发放10万元。</w:t>
      </w:r>
    </w:p>
    <w:p>
      <w:pPr>
        <w:tabs>
          <w:tab w:val="left" w:pos="690"/>
        </w:tabs>
        <w:ind w:firstLine="640" w:firstLineChars="200"/>
        <w:rPr>
          <w:rFonts w:ascii="仿宋" w:hAnsi="仿宋" w:eastAsia="仿宋"/>
          <w:color w:val="000000" w:themeColor="text1"/>
          <w:sz w:val="32"/>
          <w:szCs w:val="32"/>
        </w:rPr>
      </w:pPr>
      <w:r>
        <w:rPr>
          <w:rFonts w:ascii="仿宋" w:hAnsi="仿宋" w:eastAsia="仿宋" w:cs="仿宋_GB2312"/>
          <w:color w:val="000000" w:themeColor="text1"/>
          <w:sz w:val="32"/>
          <w:szCs w:val="32"/>
        </w:rPr>
        <w:t>(</w:t>
      </w:r>
      <w:r>
        <w:rPr>
          <w:rFonts w:hint="eastAsia" w:ascii="仿宋" w:hAnsi="仿宋" w:eastAsia="仿宋" w:cs="仿宋_GB2312"/>
          <w:color w:val="000000" w:themeColor="text1"/>
          <w:sz w:val="32"/>
          <w:szCs w:val="32"/>
        </w:rPr>
        <w:t>6</w:t>
      </w:r>
      <w:r>
        <w:rPr>
          <w:rFonts w:ascii="仿宋" w:hAnsi="仿宋" w:eastAsia="仿宋" w:cs="仿宋_GB2312"/>
          <w:color w:val="000000" w:themeColor="text1"/>
          <w:sz w:val="32"/>
          <w:szCs w:val="32"/>
        </w:rPr>
        <w:t>)</w:t>
      </w:r>
      <w:r>
        <w:rPr>
          <w:rFonts w:hint="eastAsia" w:ascii="仿宋" w:hAnsi="仿宋" w:eastAsia="仿宋"/>
          <w:b/>
          <w:color w:val="000000" w:themeColor="text1"/>
          <w:sz w:val="32"/>
          <w:szCs w:val="32"/>
        </w:rPr>
        <w:t>、消防栓维护、检修试水等经费20万元：</w:t>
      </w:r>
      <w:r>
        <w:rPr>
          <w:rFonts w:hint="eastAsia" w:ascii="仿宋" w:hAnsi="仿宋" w:eastAsia="仿宋"/>
          <w:color w:val="000000" w:themeColor="text1"/>
          <w:sz w:val="32"/>
          <w:szCs w:val="32"/>
        </w:rPr>
        <w:t>本项目为新增项目，依据县政府相关会议精神，县城公共消防栓的维护、检修、试水等工作由湘潭京湘供水有限责任公司负责，本年度共需项目资金20万元。</w:t>
      </w:r>
    </w:p>
    <w:p>
      <w:pPr>
        <w:tabs>
          <w:tab w:val="left" w:pos="690"/>
        </w:tabs>
        <w:ind w:firstLine="640" w:firstLineChars="200"/>
        <w:rPr>
          <w:rFonts w:ascii="仿宋" w:hAnsi="仿宋" w:eastAsia="仿宋"/>
          <w:color w:val="000000" w:themeColor="text1"/>
          <w:sz w:val="32"/>
          <w:szCs w:val="32"/>
        </w:rPr>
      </w:pPr>
      <w:r>
        <w:rPr>
          <w:rFonts w:ascii="仿宋" w:hAnsi="仿宋" w:eastAsia="仿宋" w:cs="仿宋_GB2312"/>
          <w:color w:val="000000" w:themeColor="text1"/>
          <w:sz w:val="32"/>
          <w:szCs w:val="32"/>
        </w:rPr>
        <w:t>(</w:t>
      </w:r>
      <w:r>
        <w:rPr>
          <w:rFonts w:hint="eastAsia" w:ascii="仿宋" w:hAnsi="仿宋" w:eastAsia="仿宋" w:cs="仿宋_GB2312"/>
          <w:color w:val="000000" w:themeColor="text1"/>
          <w:sz w:val="32"/>
          <w:szCs w:val="32"/>
        </w:rPr>
        <w:t>7</w:t>
      </w:r>
      <w:r>
        <w:rPr>
          <w:rFonts w:ascii="仿宋" w:hAnsi="仿宋" w:eastAsia="仿宋" w:cs="仿宋_GB2312"/>
          <w:color w:val="000000" w:themeColor="text1"/>
          <w:sz w:val="32"/>
          <w:szCs w:val="32"/>
        </w:rPr>
        <w:t>)</w:t>
      </w:r>
      <w:r>
        <w:rPr>
          <w:rFonts w:hint="eastAsia" w:ascii="仿宋" w:hAnsi="仿宋" w:eastAsia="仿宋"/>
          <w:b/>
          <w:color w:val="000000" w:themeColor="text1"/>
          <w:sz w:val="32"/>
          <w:szCs w:val="32"/>
        </w:rPr>
        <w:t>、金霞山、龙兴寺消防用水项目60万元：</w:t>
      </w:r>
      <w:r>
        <w:rPr>
          <w:rFonts w:hint="eastAsia" w:ascii="仿宋" w:hAnsi="仿宋" w:eastAsia="仿宋"/>
          <w:color w:val="000000" w:themeColor="text1"/>
          <w:sz w:val="32"/>
          <w:szCs w:val="32"/>
        </w:rPr>
        <w:t>本项目为新增项目，依据县委统战部部长现场办公会会议纪要精神，明确金霞山、龙兴寺消防用水安装问题由湘潭京湘供水公司负责，特申请项目经费60万元。</w:t>
      </w:r>
    </w:p>
    <w:p>
      <w:pPr>
        <w:spacing w:line="600" w:lineRule="exact"/>
        <w:ind w:firstLine="640" w:firstLineChars="200"/>
        <w:rPr>
          <w:rFonts w:ascii="仿宋" w:hAnsi="仿宋" w:eastAsia="仿宋" w:cs="仿宋_GB2312"/>
          <w:color w:val="000000" w:themeColor="text1"/>
          <w:sz w:val="32"/>
          <w:szCs w:val="32"/>
        </w:rPr>
      </w:pPr>
      <w:r>
        <w:rPr>
          <w:rFonts w:ascii="仿宋" w:hAnsi="仿宋" w:eastAsia="仿宋" w:cs="仿宋_GB2312"/>
          <w:color w:val="000000" w:themeColor="text1"/>
          <w:sz w:val="32"/>
          <w:szCs w:val="32"/>
        </w:rPr>
        <w:t>6</w:t>
      </w:r>
      <w:r>
        <w:rPr>
          <w:rFonts w:hint="eastAsia" w:ascii="仿宋" w:hAnsi="仿宋" w:eastAsia="仿宋" w:cs="仿宋_GB2312"/>
          <w:color w:val="000000" w:themeColor="text1"/>
          <w:sz w:val="32"/>
          <w:szCs w:val="32"/>
        </w:rPr>
        <w:t>、预算管理情况分析</w:t>
      </w:r>
    </w:p>
    <w:p>
      <w:pPr>
        <w:pStyle w:val="13"/>
        <w:spacing w:line="600" w:lineRule="exact"/>
        <w:ind w:left="-178" w:leftChars="-85" w:firstLine="800" w:firstLineChars="250"/>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w:t>
      </w:r>
      <w:r>
        <w:rPr>
          <w:rFonts w:ascii="仿宋" w:hAnsi="仿宋" w:eastAsia="仿宋" w:cs="仿宋_GB2312"/>
          <w:color w:val="000000" w:themeColor="text1"/>
          <w:sz w:val="32"/>
          <w:szCs w:val="32"/>
        </w:rPr>
        <w:t>1</w:t>
      </w:r>
      <w:r>
        <w:rPr>
          <w:rFonts w:hint="eastAsia" w:ascii="仿宋" w:hAnsi="仿宋" w:eastAsia="仿宋" w:cs="仿宋_GB2312"/>
          <w:color w:val="000000" w:themeColor="text1"/>
          <w:sz w:val="32"/>
          <w:szCs w:val="32"/>
        </w:rPr>
        <w:t>）管理制度健全性、合规性：湘潭县水利局制定了《湘潭县水利局财务管理制度》，在项目资金管理和使用上，严格按照《湘潭县财政专项资金管理暂行办法》、《湘潭县水利局财务管理制度》的规定，在资金使用上坚持专款专用的原则，严格按预算执行，项目资金建立专款专用、专项核算制度，由计划财务股进行资金监管，做到了支出合法、合规，无虚列、截留、超标准、超预算支出情况；湘潭县水利局制定了资产管理制度，相关资产管理制度合法、合规、完整。</w:t>
      </w:r>
    </w:p>
    <w:p>
      <w:pPr>
        <w:spacing w:line="600" w:lineRule="exact"/>
        <w:ind w:firstLine="640" w:firstLineChars="200"/>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w:t>
      </w:r>
      <w:r>
        <w:rPr>
          <w:rFonts w:ascii="仿宋" w:hAnsi="仿宋" w:eastAsia="仿宋" w:cs="仿宋_GB2312"/>
          <w:color w:val="000000" w:themeColor="text1"/>
          <w:sz w:val="32"/>
          <w:szCs w:val="32"/>
        </w:rPr>
        <w:t>2</w:t>
      </w:r>
      <w:r>
        <w:rPr>
          <w:rFonts w:hint="eastAsia" w:ascii="仿宋" w:hAnsi="仿宋" w:eastAsia="仿宋" w:cs="仿宋_GB2312"/>
          <w:color w:val="000000" w:themeColor="text1"/>
          <w:sz w:val="32"/>
          <w:szCs w:val="32"/>
        </w:rPr>
        <w:t>）预决算信息公开性和完善性：湘潭县水利局将</w:t>
      </w:r>
      <w:r>
        <w:rPr>
          <w:rFonts w:ascii="仿宋" w:hAnsi="仿宋" w:eastAsia="仿宋" w:cs="仿宋_GB2312"/>
          <w:color w:val="000000" w:themeColor="text1"/>
          <w:sz w:val="32"/>
          <w:szCs w:val="32"/>
        </w:rPr>
        <w:t>20</w:t>
      </w:r>
      <w:r>
        <w:rPr>
          <w:rFonts w:hint="eastAsia" w:ascii="仿宋" w:hAnsi="仿宋" w:eastAsia="仿宋" w:cs="仿宋_GB2312"/>
          <w:color w:val="000000" w:themeColor="text1"/>
          <w:sz w:val="32"/>
          <w:szCs w:val="32"/>
        </w:rPr>
        <w:t>21年度预决算信息按规定内容和规定时限进行公开</w:t>
      </w:r>
    </w:p>
    <w:p>
      <w:pPr>
        <w:spacing w:line="600" w:lineRule="exact"/>
        <w:ind w:firstLine="640" w:firstLineChars="200"/>
        <w:rPr>
          <w:rFonts w:ascii="仿宋" w:hAnsi="仿宋" w:eastAsia="仿宋" w:cs="仿宋_GB2312"/>
          <w:color w:val="000000" w:themeColor="text1"/>
          <w:sz w:val="32"/>
          <w:szCs w:val="32"/>
        </w:rPr>
      </w:pPr>
      <w:r>
        <w:rPr>
          <w:rFonts w:ascii="仿宋" w:hAnsi="仿宋" w:eastAsia="仿宋" w:cs="仿宋_GB2312"/>
          <w:color w:val="000000" w:themeColor="text1"/>
          <w:sz w:val="32"/>
          <w:szCs w:val="32"/>
        </w:rPr>
        <w:t>7</w:t>
      </w:r>
      <w:r>
        <w:rPr>
          <w:rFonts w:hint="eastAsia" w:ascii="仿宋" w:hAnsi="仿宋" w:eastAsia="仿宋" w:cs="仿宋_GB2312"/>
          <w:color w:val="000000" w:themeColor="text1"/>
          <w:sz w:val="32"/>
          <w:szCs w:val="32"/>
        </w:rPr>
        <w:t>、产出分析：</w:t>
      </w:r>
    </w:p>
    <w:p>
      <w:pPr>
        <w:spacing w:line="58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1）防汛抗旱工作取得重大胜利。2021年，我局牢固树立“防大汛、抗长旱、减大灾”的思想，认真贯彻落实“两个坚持、三个转变”理念，及早安排，科学部署，全力应对。2021年入汛后，我县经历了6轮强降雨，特别是5月份遭遇了4轮强降雨袭击。因降雨及上游来水影响，我县涓水3次超过警戒水位，最长一次超警时间长达13小时47分；湘江1次超过警戒水位，持续35小时05分。县防指5月21日21时起启动防汛Ⅳ级应急响应。我局通过短信平台、内网、微信工作群及时发送雨情水情等各类信息3000余条，为全县水旱灾害防御提供了科学决策依据和防范建议，增强了群众的自我防范意识和全民抗灾能力。水利部门始终贯彻防汛抗旱统筹兼顾的思想，做好水库、塘坝的调蓄工作，抗旱工作有序开展，全县防汛抗旱工作并重并举，实现了省、市明确的防汛抗旱“五个确保”目标。</w:t>
      </w:r>
    </w:p>
    <w:p>
      <w:pPr>
        <w:spacing w:line="560" w:lineRule="exact"/>
        <w:ind w:firstLine="630"/>
        <w:rPr>
          <w:rFonts w:ascii="仿宋" w:hAnsi="仿宋" w:eastAsia="仿宋" w:cs="仿宋"/>
          <w:color w:val="000000" w:themeColor="text1"/>
          <w:kern w:val="0"/>
          <w:sz w:val="32"/>
          <w:szCs w:val="32"/>
        </w:rPr>
      </w:pPr>
      <w:r>
        <w:rPr>
          <w:rFonts w:hint="eastAsia" w:ascii="仿宋" w:hAnsi="仿宋" w:eastAsia="仿宋" w:cs="仿宋"/>
          <w:color w:val="000000" w:themeColor="text1"/>
          <w:sz w:val="32"/>
          <w:szCs w:val="32"/>
        </w:rPr>
        <w:t>2）水利建设成交显著。2021年，全局上下紧抓发展机遇，准确把握新形势下“三农”工作发展方向，水利建设成效显著。一是超额完成2021年农村小水源供水能力恢复项目。2021年省财政安排补助资金400万元，对我县17个乡镇25个村200处蓄水容积为1千立方米～10万立方米的小水源工程，开展清淤扩容增蓄、整治改造，共计完成总投资1081万元，达到新增水面面积129.28亩，新增蓄水能力72.35万方，新增恢复灌溉面积2429.5亩，改善灌溉面积5475亩的目标，按计划完成建设内容，超过预期效益。二是完成薄弱环节治理项目。县财政投入320万元对我县17个乡镇101个村的薄弱环节进行治理，完成山塘、渠道清淤5.3万方，山塘防渗9330平方米，渠道整修硬化3206米。</w:t>
      </w:r>
      <w:r>
        <w:rPr>
          <w:rFonts w:hint="eastAsia" w:ascii="仿宋" w:hAnsi="仿宋" w:eastAsia="仿宋" w:cs="仿宋"/>
          <w:color w:val="000000" w:themeColor="text1"/>
          <w:kern w:val="0"/>
          <w:sz w:val="32"/>
          <w:szCs w:val="32"/>
        </w:rPr>
        <w:t>三是恢复重点水损水毁修复项目7处。我局积极争取上级投入150万元，完成全县7处较大水毁水损工程修复。</w:t>
      </w:r>
    </w:p>
    <w:p>
      <w:pPr>
        <w:spacing w:line="560" w:lineRule="exact"/>
        <w:ind w:firstLine="630"/>
        <w:rPr>
          <w:rFonts w:ascii="仿宋" w:hAnsi="仿宋" w:eastAsia="仿宋" w:cs="仿宋_GB2312"/>
          <w:color w:val="000000" w:themeColor="text1"/>
          <w:sz w:val="32"/>
          <w:szCs w:val="32"/>
        </w:rPr>
      </w:pPr>
      <w:r>
        <w:rPr>
          <w:rFonts w:hint="eastAsia" w:ascii="仿宋" w:hAnsi="仿宋" w:eastAsia="仿宋" w:cs="仿宋_GB2312"/>
          <w:sz w:val="32"/>
          <w:szCs w:val="32"/>
        </w:rPr>
        <w:t>3)移民后扶工作扎实推进。2021年度下达后扶项目316个，项目资金3015万元，其中：道路交通类项目28处，移民资金投入271万；农田水利类项目192处，投入资金1517万；农村社会事业类15处，投入资金130万；产业开发类项目79处，</w:t>
      </w:r>
      <w:r>
        <w:rPr>
          <w:rFonts w:hint="eastAsia" w:ascii="仿宋" w:hAnsi="仿宋" w:eastAsia="仿宋" w:cs="仿宋_GB2312"/>
          <w:color w:val="000000" w:themeColor="text1"/>
          <w:sz w:val="32"/>
          <w:szCs w:val="32"/>
        </w:rPr>
        <w:t>投入资金1072万；整村推进项目22处，投入资金630万；移民培训项目投入资金60万；贫困移民慰问50.86万；避险解困项目投入29万。现已完成项目300余个，其余项目预计今年底大部分可完工。选定花石镇九如村、中路铺镇金银村、柳桥村3个村为整村推进村，各安排资金210万元，22个项目均已完成前期准备工作，进入实施阶段。完成了575名建档立卡贫困移民的精准识别工作， 帮扶78名特困移民避险解困对象。其中10户26人已动工建房。完成贫困移民脱贫任务50人，产业开发项目目前已完成油茶提质改造1500亩，茶叶基地提质改造400亩，中药材栽培300亩，蔬菜、蚕桑种植1500亩、水果基地改造600亩。举办了6期农村实用技术培训班，参训人数450余人；举办美容师、厨师培训班，培训移民110人；选送5人参加省局举办的电子商务和育婴师培训班；自主培训15人；全年共培训移民580人。</w:t>
      </w:r>
    </w:p>
    <w:p>
      <w:pPr>
        <w:spacing w:line="560" w:lineRule="exact"/>
        <w:ind w:firstLine="630"/>
        <w:rPr>
          <w:rFonts w:ascii="仿宋" w:hAnsi="仿宋" w:eastAsia="仿宋" w:cs="仿宋_GB2312"/>
          <w:sz w:val="32"/>
          <w:szCs w:val="32"/>
        </w:rPr>
      </w:pPr>
      <w:r>
        <w:rPr>
          <w:rFonts w:hint="eastAsia" w:ascii="仿宋" w:hAnsi="仿宋" w:eastAsia="仿宋" w:cs="仿宋_GB2312"/>
          <w:sz w:val="32"/>
          <w:szCs w:val="32"/>
        </w:rPr>
        <w:t>4）水生态文明建设取得实效。一是全面推进“河长制”工作。</w:t>
      </w:r>
      <w:r>
        <w:rPr>
          <w:rFonts w:ascii="仿宋" w:hAnsi="仿宋" w:eastAsia="仿宋" w:cs="仿宋_GB2312"/>
          <w:sz w:val="32"/>
          <w:szCs w:val="32"/>
        </w:rPr>
        <w:t>2</w:t>
      </w:r>
      <w:r>
        <w:rPr>
          <w:rFonts w:hint="eastAsia" w:ascii="仿宋" w:hAnsi="仿宋" w:eastAsia="仿宋" w:cs="仿宋_GB2312"/>
          <w:sz w:val="32"/>
          <w:szCs w:val="32"/>
        </w:rPr>
        <w:t>021年，全县各乡镇各相关部门严格落实，扎实推进，科学制定“一河一策”工作方案，全面构建县、乡、村三级河长体系，实现水系治理全覆盖。二是突出抓好河道管理。</w:t>
      </w:r>
      <w:r>
        <w:rPr>
          <w:rFonts w:ascii="仿宋" w:hAnsi="仿宋" w:eastAsia="仿宋" w:cs="仿宋_GB2312"/>
          <w:sz w:val="32"/>
          <w:szCs w:val="32"/>
        </w:rPr>
        <w:t>20</w:t>
      </w:r>
      <w:r>
        <w:rPr>
          <w:rFonts w:hint="eastAsia" w:ascii="仿宋" w:hAnsi="仿宋" w:eastAsia="仿宋" w:cs="仿宋_GB2312"/>
          <w:sz w:val="32"/>
          <w:szCs w:val="32"/>
        </w:rPr>
        <w:t>21年我县河道采砂综合整治工作取得实效，湘江湘潭县城区段、涟水湘潭县段实现有效禁采，河道管理范围内所有洗砂场停止生产经营，非法码头取缔工作取得成效。河道保洁工作有效开展，严格落实河道保洁责任体系，完善信息系统建设，建立在线监控系统，及时反馈河面保洁情况及时清理打捞，我县河容、河貌加快好转。三是突出抓好水资源管理。持续落实落细最严格水资源管理制度，认真做好最严格水资源管理制度考核工作，切实加强水功能区水质监测和饮用水水源地安全达标建设，全面实施节水行动计划，全年征收水资源费141万元。全县饮用水水源保护进一步加强，水库大坝安全运行管理“三年行动计划”工作取得成效，规范畜禽规模养殖，清退网箱养殖，加快实现城乡污水处理设施建设，农村饮水安全工程实行定期水源巡检，农村饮水卫生安全得到很大提升。四是认真做好水土流失综合治理和生态清洁小流域治理工作。全年征收水土保持费</w:t>
      </w:r>
      <w:r>
        <w:rPr>
          <w:rFonts w:ascii="仿宋" w:hAnsi="仿宋" w:eastAsia="仿宋" w:cs="仿宋_GB2312"/>
          <w:sz w:val="32"/>
          <w:szCs w:val="32"/>
        </w:rPr>
        <w:t>139.</w:t>
      </w:r>
      <w:r>
        <w:rPr>
          <w:rFonts w:hint="eastAsia" w:ascii="仿宋" w:hAnsi="仿宋" w:eastAsia="仿宋" w:cs="仿宋_GB2312"/>
          <w:sz w:val="32"/>
          <w:szCs w:val="32"/>
        </w:rPr>
        <w:t>1万元，全力维护绿水青山的生态环境，水生态环境持续改善。</w:t>
      </w:r>
    </w:p>
    <w:p>
      <w:pPr>
        <w:spacing w:line="600" w:lineRule="exact"/>
        <w:ind w:firstLine="645"/>
        <w:rPr>
          <w:rFonts w:ascii="仿宋" w:hAnsi="仿宋" w:eastAsia="仿宋" w:cs="仿宋_GB2312"/>
          <w:sz w:val="32"/>
          <w:szCs w:val="32"/>
        </w:rPr>
      </w:pPr>
      <w:r>
        <w:rPr>
          <w:rFonts w:hint="eastAsia" w:ascii="仿宋" w:hAnsi="仿宋" w:eastAsia="仿宋" w:cs="仿宋_GB2312"/>
          <w:sz w:val="32"/>
          <w:szCs w:val="32"/>
        </w:rPr>
        <w:t>5</w:t>
      </w:r>
      <w:r>
        <w:rPr>
          <w:rFonts w:ascii="仿宋" w:hAnsi="仿宋" w:eastAsia="仿宋" w:cs="仿宋_GB2312"/>
          <w:sz w:val="32"/>
          <w:szCs w:val="32"/>
        </w:rPr>
        <w:t>)</w:t>
      </w:r>
      <w:r>
        <w:rPr>
          <w:rFonts w:hint="eastAsia" w:ascii="仿宋" w:hAnsi="仿宋" w:eastAsia="仿宋" w:cs="仿宋_GB2312"/>
          <w:sz w:val="32"/>
          <w:szCs w:val="32"/>
        </w:rPr>
        <w:t>坚持依法行政，规范水利管理。</w:t>
      </w:r>
      <w:r>
        <w:rPr>
          <w:rFonts w:ascii="仿宋" w:hAnsi="仿宋" w:eastAsia="仿宋" w:cs="仿宋_GB2312"/>
          <w:sz w:val="32"/>
          <w:szCs w:val="32"/>
        </w:rPr>
        <w:t>20</w:t>
      </w:r>
      <w:r>
        <w:rPr>
          <w:rFonts w:hint="eastAsia" w:ascii="仿宋" w:hAnsi="仿宋" w:eastAsia="仿宋" w:cs="仿宋_GB2312"/>
          <w:sz w:val="32"/>
          <w:szCs w:val="32"/>
        </w:rPr>
        <w:t>21年，我局坚持全面推进法治水利和法治机关建设，依法履行水利职能。一是加大普法宣教活动力度。以“世界水日”、“中国水周”等宣传日为契机，充分运用网络、新闻媒体、微信公众号等形式，突出在机关、社区、广场的宣传力度，同时到各乡镇和各局直单位，积极开展水法律法规、安全生产法规、水污染防治和“河长制”推进等宣传活动。二是依法履行水利职能。不断深化水利行政审批制度改革，全年共办结涉水行政许可事项82件。认真落实政务信息公开，提升科学民主决策水平，加强立法研究及规范性文件管理和依法行政指导，聘用专业法律顾问，有效解决水事纠纷。切实完成中央环境保护第六督查组交办的工作任务，</w:t>
      </w:r>
      <w:r>
        <w:rPr>
          <w:rFonts w:ascii="仿宋" w:hAnsi="仿宋" w:eastAsia="仿宋" w:cs="仿宋_GB2312"/>
          <w:sz w:val="32"/>
          <w:szCs w:val="32"/>
        </w:rPr>
        <w:t>20</w:t>
      </w:r>
      <w:r>
        <w:rPr>
          <w:rFonts w:hint="eastAsia" w:ascii="仿宋" w:hAnsi="仿宋" w:eastAsia="仿宋" w:cs="仿宋_GB2312"/>
          <w:sz w:val="32"/>
          <w:szCs w:val="32"/>
        </w:rPr>
        <w:t>21年依法责令停止水事违法行为</w:t>
      </w:r>
      <w:r>
        <w:rPr>
          <w:rFonts w:ascii="仿宋" w:hAnsi="仿宋" w:eastAsia="仿宋" w:cs="仿宋_GB2312"/>
          <w:sz w:val="32"/>
          <w:szCs w:val="32"/>
        </w:rPr>
        <w:t>4</w:t>
      </w:r>
      <w:r>
        <w:rPr>
          <w:rFonts w:hint="eastAsia" w:ascii="仿宋" w:hAnsi="仿宋" w:eastAsia="仿宋" w:cs="仿宋_GB2312"/>
          <w:sz w:val="32"/>
          <w:szCs w:val="32"/>
        </w:rPr>
        <w:t>件，立案查处3件，罚款5万元。三是扎实开展水利安全生产工作。加强督查检查，确保水库、河道、供水设施、在建工程等水利设施安全运行，全年水利系统实现了安全生产事故为零的目标。</w:t>
      </w:r>
    </w:p>
    <w:p>
      <w:pPr>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6）坚持党建领航，强化队伍建设。</w:t>
      </w:r>
    </w:p>
    <w:p>
      <w:pPr>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7）公共责任、中心工作扎实认真完成。</w:t>
      </w:r>
      <w:r>
        <w:rPr>
          <w:rFonts w:ascii="仿宋" w:hAnsi="仿宋" w:eastAsia="仿宋" w:cs="仿宋_GB2312"/>
          <w:sz w:val="32"/>
          <w:szCs w:val="32"/>
        </w:rPr>
        <w:t>20</w:t>
      </w:r>
      <w:r>
        <w:rPr>
          <w:rFonts w:hint="eastAsia" w:ascii="仿宋" w:hAnsi="仿宋" w:eastAsia="仿宋" w:cs="仿宋_GB2312"/>
          <w:sz w:val="32"/>
          <w:szCs w:val="32"/>
        </w:rPr>
        <w:t>21年，我局深入开展政务服务工作，积极实行“阳光行政”，认真办结人大代表建议39件、政协委员提案2件；高度重视宣传思想工作，切实完成创建全国文明城市和省级卫生县城相关工作任务</w:t>
      </w:r>
    </w:p>
    <w:p>
      <w:pPr>
        <w:numPr>
          <w:ilvl w:val="0"/>
          <w:numId w:val="1"/>
        </w:numPr>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存在的主要问题</w:t>
      </w:r>
    </w:p>
    <w:p>
      <w:pPr>
        <w:spacing w:line="600" w:lineRule="exact"/>
        <w:ind w:firstLine="640" w:firstLineChars="200"/>
        <w:jc w:val="left"/>
        <w:rPr>
          <w:rFonts w:ascii="仿宋" w:hAnsi="仿宋" w:eastAsia="仿宋" w:cs="仿宋_GB2312"/>
          <w:sz w:val="32"/>
          <w:szCs w:val="32"/>
        </w:rPr>
      </w:pPr>
      <w:r>
        <w:rPr>
          <w:rFonts w:hint="eastAsia" w:ascii="仿宋" w:hAnsi="仿宋" w:eastAsia="仿宋" w:cs="仿宋_GB2312"/>
          <w:sz w:val="32"/>
          <w:szCs w:val="32"/>
        </w:rPr>
        <w:t>（一）预算编制的口径与实际执行的政策文件不一致，导致预算执行有偏差、经费缺口较大：</w:t>
      </w:r>
    </w:p>
    <w:p>
      <w:pPr>
        <w:spacing w:line="600" w:lineRule="exact"/>
        <w:ind w:firstLine="645"/>
        <w:jc w:val="left"/>
        <w:rPr>
          <w:rFonts w:ascii="仿宋" w:hAnsi="仿宋" w:eastAsia="仿宋" w:cs="仿宋_GB2312"/>
          <w:sz w:val="32"/>
          <w:szCs w:val="32"/>
        </w:rPr>
      </w:pPr>
      <w:r>
        <w:rPr>
          <w:rFonts w:hint="eastAsia" w:ascii="仿宋" w:hAnsi="仿宋" w:eastAsia="仿宋" w:cs="仿宋_GB2312"/>
          <w:sz w:val="32"/>
          <w:szCs w:val="32"/>
        </w:rPr>
        <w:t>1、事业单位人员的绩效工资预算的核算口径跟实际发放标准不一致，造成事业单位的绩效工资存在超预算的情况。</w:t>
      </w:r>
    </w:p>
    <w:p>
      <w:pPr>
        <w:spacing w:line="600" w:lineRule="exact"/>
        <w:ind w:firstLine="645"/>
        <w:jc w:val="left"/>
        <w:rPr>
          <w:rFonts w:ascii="仿宋" w:hAnsi="仿宋" w:eastAsia="仿宋" w:cs="仿宋_GB2312"/>
          <w:sz w:val="32"/>
          <w:szCs w:val="32"/>
        </w:rPr>
      </w:pPr>
      <w:r>
        <w:rPr>
          <w:rFonts w:hint="eastAsia" w:ascii="仿宋" w:hAnsi="仿宋" w:eastAsia="仿宋" w:cs="仿宋_GB2312"/>
          <w:sz w:val="32"/>
          <w:szCs w:val="32"/>
        </w:rPr>
        <w:t>2、人社局社保缴费基数与预算核算口径不一致，造成社保缴费存在超预算的情况。</w:t>
      </w:r>
    </w:p>
    <w:p>
      <w:pPr>
        <w:spacing w:line="600" w:lineRule="exact"/>
        <w:ind w:firstLine="645"/>
        <w:jc w:val="left"/>
        <w:rPr>
          <w:rFonts w:ascii="仿宋" w:hAnsi="仿宋" w:eastAsia="仿宋" w:cs="仿宋_GB2312"/>
          <w:sz w:val="32"/>
          <w:szCs w:val="32"/>
          <w:shd w:val="clear" w:color="auto" w:fill="FFFFFF"/>
        </w:rPr>
      </w:pPr>
      <w:r>
        <w:rPr>
          <w:rFonts w:hint="eastAsia" w:ascii="仿宋" w:hAnsi="仿宋" w:eastAsia="仿宋" w:cs="仿宋_GB2312"/>
          <w:sz w:val="32"/>
          <w:szCs w:val="32"/>
          <w:shd w:val="clear" w:color="auto" w:fill="FFFFFF"/>
        </w:rPr>
        <w:t>（二）机关工作经费预算不足，难保正常运转；</w:t>
      </w:r>
    </w:p>
    <w:p>
      <w:pPr>
        <w:spacing w:line="600" w:lineRule="exact"/>
        <w:ind w:firstLine="645"/>
        <w:jc w:val="left"/>
        <w:rPr>
          <w:rFonts w:ascii="仿宋" w:hAnsi="仿宋" w:eastAsia="仿宋" w:cs="仿宋_GB2312"/>
          <w:sz w:val="32"/>
          <w:szCs w:val="32"/>
        </w:rPr>
      </w:pPr>
      <w:r>
        <w:rPr>
          <w:rFonts w:hint="eastAsia" w:ascii="仿宋" w:hAnsi="仿宋" w:eastAsia="仿宋" w:cs="仿宋_GB2312"/>
          <w:sz w:val="32"/>
          <w:szCs w:val="32"/>
          <w:shd w:val="clear" w:color="auto" w:fill="FFFFFF"/>
        </w:rPr>
        <w:t>（三）因财政困难，项目建设县级配套资金到位难，水利前期经费短缺，影响水利项目争取。因前期工作准备不充分的难以纳入上级项目支持，影响水利储备项目顺利推进和向上争取专项资金。</w:t>
      </w:r>
    </w:p>
    <w:p>
      <w:pPr>
        <w:spacing w:line="600" w:lineRule="exact"/>
        <w:ind w:firstLine="645"/>
        <w:jc w:val="left"/>
        <w:rPr>
          <w:rFonts w:ascii="仿宋" w:hAnsi="仿宋" w:eastAsia="仿宋" w:cs="仿宋_GB2312"/>
          <w:sz w:val="32"/>
          <w:szCs w:val="32"/>
        </w:rPr>
      </w:pPr>
      <w:r>
        <w:rPr>
          <w:rFonts w:hint="eastAsia" w:ascii="仿宋" w:hAnsi="仿宋" w:eastAsia="仿宋" w:cs="仿宋_GB2312"/>
          <w:sz w:val="32"/>
          <w:szCs w:val="32"/>
        </w:rPr>
        <w:t>（四）水利项目数量多、分布广，建设难度大，后续管理有待加强，由于地方财力有限，投入相对不足。</w:t>
      </w:r>
    </w:p>
    <w:p>
      <w:pPr>
        <w:numPr>
          <w:ilvl w:val="0"/>
          <w:numId w:val="1"/>
        </w:numPr>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改进措施和有关建议</w:t>
      </w:r>
    </w:p>
    <w:p>
      <w:pPr>
        <w:snapToGrid w:val="0"/>
        <w:spacing w:line="600" w:lineRule="exact"/>
        <w:ind w:left="420" w:leftChars="200"/>
        <w:rPr>
          <w:rFonts w:ascii="仿宋" w:hAnsi="仿宋" w:eastAsia="仿宋" w:cs="仿宋_GB2312"/>
          <w:sz w:val="32"/>
          <w:szCs w:val="32"/>
        </w:rPr>
      </w:pPr>
      <w:r>
        <w:rPr>
          <w:rFonts w:ascii="仿宋" w:hAnsi="仿宋" w:eastAsia="仿宋" w:cs="仿宋_GB2312"/>
          <w:sz w:val="32"/>
          <w:szCs w:val="32"/>
          <w:shd w:val="clear" w:color="auto" w:fill="FFFFFF"/>
        </w:rPr>
        <w:t>1</w:t>
      </w:r>
      <w:r>
        <w:rPr>
          <w:rFonts w:hint="eastAsia" w:ascii="仿宋" w:hAnsi="仿宋" w:eastAsia="仿宋" w:cs="仿宋_GB2312"/>
          <w:sz w:val="32"/>
          <w:szCs w:val="32"/>
          <w:shd w:val="clear" w:color="auto" w:fill="FFFFFF"/>
        </w:rPr>
        <w:t>、足额保障人员经费，提高单位工作经费，稳定水利队伍。</w:t>
      </w:r>
    </w:p>
    <w:p>
      <w:pPr>
        <w:pStyle w:val="5"/>
        <w:shd w:val="clear" w:color="auto" w:fill="FFFFFF"/>
        <w:spacing w:before="0" w:beforeAutospacing="0" w:after="0" w:afterAutospacing="0" w:line="600" w:lineRule="exact"/>
        <w:ind w:firstLine="420"/>
        <w:jc w:val="both"/>
        <w:rPr>
          <w:rFonts w:ascii="仿宋" w:hAnsi="仿宋" w:eastAsia="仿宋" w:cs="仿宋_GB2312"/>
          <w:sz w:val="32"/>
          <w:szCs w:val="32"/>
        </w:rPr>
      </w:pPr>
      <w:r>
        <w:rPr>
          <w:rFonts w:ascii="仿宋" w:hAnsi="仿宋" w:eastAsia="仿宋" w:cs="仿宋_GB2312"/>
          <w:sz w:val="32"/>
          <w:szCs w:val="32"/>
          <w:shd w:val="clear" w:color="auto" w:fill="FFFFFF"/>
        </w:rPr>
        <w:t>2</w:t>
      </w:r>
      <w:r>
        <w:rPr>
          <w:rFonts w:hint="eastAsia" w:ascii="仿宋" w:hAnsi="仿宋" w:eastAsia="仿宋" w:cs="仿宋_GB2312"/>
          <w:sz w:val="32"/>
          <w:szCs w:val="32"/>
          <w:shd w:val="clear" w:color="auto" w:fill="FFFFFF"/>
        </w:rPr>
        <w:t>、建立水利项目前期工作经费保障的长效机制。水利前期工作是水利项目建设的重要阶段，及时、足额的前期工作经费是开展规划设计、立项申报、项目储备等前期工作的重要保障。建议能给予在年度财政预算中安排水利项目前期工作专项经费，建立前期工作经费滚动使用机制。</w:t>
      </w:r>
    </w:p>
    <w:p>
      <w:pPr>
        <w:pStyle w:val="5"/>
        <w:shd w:val="clear" w:color="auto" w:fill="FFFFFF"/>
        <w:spacing w:before="0" w:beforeAutospacing="0" w:after="0" w:afterAutospacing="0" w:line="600" w:lineRule="exact"/>
        <w:ind w:firstLine="480"/>
        <w:jc w:val="both"/>
        <w:rPr>
          <w:rFonts w:ascii="仿宋" w:hAnsi="仿宋" w:eastAsia="仿宋" w:cs="仿宋_GB2312"/>
          <w:sz w:val="32"/>
          <w:szCs w:val="32"/>
        </w:rPr>
      </w:pPr>
      <w:r>
        <w:rPr>
          <w:rFonts w:ascii="仿宋" w:hAnsi="仿宋" w:eastAsia="仿宋" w:cs="仿宋_GB2312"/>
          <w:sz w:val="32"/>
          <w:szCs w:val="32"/>
        </w:rPr>
        <w:t>3</w:t>
      </w:r>
      <w:r>
        <w:rPr>
          <w:rFonts w:hint="eastAsia" w:ascii="仿宋" w:hAnsi="仿宋" w:eastAsia="仿宋" w:cs="仿宋_GB2312"/>
          <w:sz w:val="32"/>
          <w:szCs w:val="32"/>
        </w:rPr>
        <w:t>、进一步完善内控制度建设</w:t>
      </w:r>
      <w:r>
        <w:rPr>
          <w:rFonts w:hint="eastAsia" w:ascii="仿宋" w:hAnsi="仿宋" w:eastAsia="仿宋" w:cs="仿宋_GB2312"/>
          <w:spacing w:val="-2"/>
          <w:sz w:val="32"/>
          <w:szCs w:val="32"/>
          <w:shd w:val="clear" w:color="auto" w:fill="FFFFFF"/>
        </w:rPr>
        <w:t>，</w:t>
      </w:r>
      <w:r>
        <w:rPr>
          <w:rFonts w:hint="eastAsia" w:ascii="仿宋" w:hAnsi="仿宋" w:eastAsia="仿宋" w:cs="仿宋_GB2312"/>
          <w:sz w:val="32"/>
          <w:szCs w:val="32"/>
        </w:rPr>
        <w:t>加强“三公”经费开支管理，提高资金使用效能。</w:t>
      </w:r>
      <w:r>
        <w:rPr>
          <w:rFonts w:hint="eastAsia" w:ascii="仿宋" w:hAnsi="仿宋" w:eastAsia="仿宋" w:cs="仿宋_GB2312"/>
          <w:sz w:val="32"/>
          <w:szCs w:val="32"/>
          <w:shd w:val="clear" w:color="auto" w:fill="FFFFFF"/>
        </w:rPr>
        <w:t>建立本部门“三公经费”等公务支出管理制度及厉行节约制度，加强经费审批和控制，规范支出标准与范围，并严格执行。</w:t>
      </w:r>
    </w:p>
    <w:p>
      <w:pPr>
        <w:pStyle w:val="5"/>
        <w:shd w:val="clear" w:color="auto" w:fill="FFFFFF"/>
        <w:spacing w:before="0" w:beforeAutospacing="0" w:after="0" w:afterAutospacing="0" w:line="600" w:lineRule="exact"/>
        <w:ind w:firstLine="640" w:firstLineChars="200"/>
        <w:jc w:val="both"/>
        <w:rPr>
          <w:rFonts w:ascii="仿宋" w:hAnsi="仿宋" w:eastAsia="仿宋" w:cs="仿宋_GB2312"/>
          <w:sz w:val="32"/>
          <w:szCs w:val="32"/>
        </w:rPr>
      </w:pPr>
      <w:r>
        <w:rPr>
          <w:rFonts w:ascii="仿宋" w:hAnsi="仿宋" w:eastAsia="仿宋" w:cs="仿宋_GB2312"/>
          <w:sz w:val="32"/>
          <w:szCs w:val="32"/>
          <w:shd w:val="clear" w:color="auto" w:fill="FFFFFF"/>
        </w:rPr>
        <w:t>4</w:t>
      </w:r>
      <w:r>
        <w:rPr>
          <w:rFonts w:hint="eastAsia" w:ascii="仿宋" w:hAnsi="仿宋" w:eastAsia="仿宋" w:cs="仿宋_GB2312"/>
          <w:sz w:val="32"/>
          <w:szCs w:val="32"/>
          <w:shd w:val="clear" w:color="auto" w:fill="FFFFFF"/>
        </w:rPr>
        <w:t>、加强岗位实务学习与培训工作。加强新政策新规定等业务学习培训，让财务人员通过学习能够准确地根据年度内单位可预见的工作任务细化预算目标，科学合理地编制部门预算。规范部门预算收支核算，及时了解预算执行差异，合理调整、纠正预算执行偏差，财务人员应根据实际情况，定期做好预算执行分析，掌握预算执行进度，及时找出预算实际执行情况与预算目标之间存在的差距，切实提高部门预算收支管理水平。</w:t>
      </w:r>
    </w:p>
    <w:p>
      <w:pPr>
        <w:snapToGrid w:val="0"/>
        <w:spacing w:line="600" w:lineRule="exact"/>
        <w:ind w:left="420" w:leftChars="200"/>
        <w:rPr>
          <w:rFonts w:ascii="仿宋" w:hAnsi="仿宋" w:eastAsia="仿宋" w:cs="仿宋_GB2312"/>
          <w:sz w:val="32"/>
          <w:szCs w:val="32"/>
        </w:rPr>
      </w:pPr>
    </w:p>
    <w:p>
      <w:pPr>
        <w:pStyle w:val="13"/>
        <w:spacing w:line="600" w:lineRule="exact"/>
        <w:ind w:firstLine="640" w:firstLineChars="200"/>
        <w:rPr>
          <w:rFonts w:ascii="仿宋" w:hAnsi="仿宋" w:eastAsia="仿宋" w:cs="仿宋_GB2312"/>
          <w:kern w:val="0"/>
          <w:sz w:val="32"/>
          <w:szCs w:val="32"/>
        </w:rPr>
      </w:pPr>
    </w:p>
    <w:sectPr>
      <w:headerReference r:id="rId3" w:type="default"/>
      <w:pgSz w:w="11906" w:h="16838"/>
      <w:pgMar w:top="1440" w:right="1588" w:bottom="79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9C2D84"/>
    <w:multiLevelType w:val="singleLevel"/>
    <w:tmpl w:val="919C2D84"/>
    <w:lvl w:ilvl="0" w:tentative="0">
      <w:start w:val="4"/>
      <w:numFmt w:val="chineseCounting"/>
      <w:suff w:val="nothing"/>
      <w:lvlText w:val="%1、"/>
      <w:lvlJc w:val="left"/>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dlYjgyM2I0NWU3ZGM3OTRhNTU1YTQ5ZmRjNDJlMjYifQ=="/>
  </w:docVars>
  <w:rsids>
    <w:rsidRoot w:val="00E847E2"/>
    <w:rsid w:val="00003B9B"/>
    <w:rsid w:val="00007E5D"/>
    <w:rsid w:val="00041734"/>
    <w:rsid w:val="000440DD"/>
    <w:rsid w:val="00051FED"/>
    <w:rsid w:val="00072042"/>
    <w:rsid w:val="00081AA3"/>
    <w:rsid w:val="000906E1"/>
    <w:rsid w:val="000D4B1B"/>
    <w:rsid w:val="000E1F33"/>
    <w:rsid w:val="000F0389"/>
    <w:rsid w:val="001051CD"/>
    <w:rsid w:val="00117869"/>
    <w:rsid w:val="00117B84"/>
    <w:rsid w:val="001326A4"/>
    <w:rsid w:val="0014328A"/>
    <w:rsid w:val="0014531C"/>
    <w:rsid w:val="0015144E"/>
    <w:rsid w:val="00160589"/>
    <w:rsid w:val="001865A7"/>
    <w:rsid w:val="001912AD"/>
    <w:rsid w:val="00192528"/>
    <w:rsid w:val="00196301"/>
    <w:rsid w:val="001A3B29"/>
    <w:rsid w:val="001E10D6"/>
    <w:rsid w:val="001F03FE"/>
    <w:rsid w:val="001F1DFD"/>
    <w:rsid w:val="00201C94"/>
    <w:rsid w:val="00212FC2"/>
    <w:rsid w:val="002358D3"/>
    <w:rsid w:val="00261B27"/>
    <w:rsid w:val="00263892"/>
    <w:rsid w:val="00284D82"/>
    <w:rsid w:val="00287274"/>
    <w:rsid w:val="002944D9"/>
    <w:rsid w:val="002A0DBC"/>
    <w:rsid w:val="002A6591"/>
    <w:rsid w:val="002B178C"/>
    <w:rsid w:val="002B3436"/>
    <w:rsid w:val="002B4C51"/>
    <w:rsid w:val="002B5132"/>
    <w:rsid w:val="002D0340"/>
    <w:rsid w:val="002E32D6"/>
    <w:rsid w:val="00300E04"/>
    <w:rsid w:val="00301552"/>
    <w:rsid w:val="003033BC"/>
    <w:rsid w:val="00315C79"/>
    <w:rsid w:val="00321402"/>
    <w:rsid w:val="00324530"/>
    <w:rsid w:val="003509E3"/>
    <w:rsid w:val="00370352"/>
    <w:rsid w:val="003775D4"/>
    <w:rsid w:val="00395F65"/>
    <w:rsid w:val="003973AD"/>
    <w:rsid w:val="003A2C3C"/>
    <w:rsid w:val="003A6ED2"/>
    <w:rsid w:val="003B0116"/>
    <w:rsid w:val="003B067F"/>
    <w:rsid w:val="003B1A2E"/>
    <w:rsid w:val="003B2F5A"/>
    <w:rsid w:val="003C350D"/>
    <w:rsid w:val="003C44B7"/>
    <w:rsid w:val="003E21D4"/>
    <w:rsid w:val="004106B8"/>
    <w:rsid w:val="004151AF"/>
    <w:rsid w:val="0043272A"/>
    <w:rsid w:val="00437B8A"/>
    <w:rsid w:val="00454F19"/>
    <w:rsid w:val="004566FE"/>
    <w:rsid w:val="0048727A"/>
    <w:rsid w:val="0048756B"/>
    <w:rsid w:val="00497A03"/>
    <w:rsid w:val="004A1560"/>
    <w:rsid w:val="004A25E6"/>
    <w:rsid w:val="004A4B1C"/>
    <w:rsid w:val="004C1B96"/>
    <w:rsid w:val="004C1F3F"/>
    <w:rsid w:val="004D37F2"/>
    <w:rsid w:val="004D6C4F"/>
    <w:rsid w:val="004E58DE"/>
    <w:rsid w:val="004F1348"/>
    <w:rsid w:val="004F5675"/>
    <w:rsid w:val="005077B3"/>
    <w:rsid w:val="0052046E"/>
    <w:rsid w:val="00533031"/>
    <w:rsid w:val="00536F10"/>
    <w:rsid w:val="00550789"/>
    <w:rsid w:val="005604E6"/>
    <w:rsid w:val="00573572"/>
    <w:rsid w:val="00596AE6"/>
    <w:rsid w:val="005A63AE"/>
    <w:rsid w:val="005E1D71"/>
    <w:rsid w:val="005E2E67"/>
    <w:rsid w:val="005F161B"/>
    <w:rsid w:val="005F73EF"/>
    <w:rsid w:val="00614F0A"/>
    <w:rsid w:val="00626E8F"/>
    <w:rsid w:val="00654E6C"/>
    <w:rsid w:val="0066155F"/>
    <w:rsid w:val="00663DCF"/>
    <w:rsid w:val="006722E6"/>
    <w:rsid w:val="006871B5"/>
    <w:rsid w:val="006F1303"/>
    <w:rsid w:val="00700507"/>
    <w:rsid w:val="00701B2F"/>
    <w:rsid w:val="0072613D"/>
    <w:rsid w:val="007312CD"/>
    <w:rsid w:val="00756E89"/>
    <w:rsid w:val="00760D53"/>
    <w:rsid w:val="00763A18"/>
    <w:rsid w:val="00764756"/>
    <w:rsid w:val="0076766F"/>
    <w:rsid w:val="0077199D"/>
    <w:rsid w:val="00772D64"/>
    <w:rsid w:val="00781547"/>
    <w:rsid w:val="007D48F3"/>
    <w:rsid w:val="007F2494"/>
    <w:rsid w:val="007F7569"/>
    <w:rsid w:val="00801ADE"/>
    <w:rsid w:val="00807E10"/>
    <w:rsid w:val="008547F9"/>
    <w:rsid w:val="00864A94"/>
    <w:rsid w:val="008704AB"/>
    <w:rsid w:val="0087558B"/>
    <w:rsid w:val="00877F1F"/>
    <w:rsid w:val="008802EF"/>
    <w:rsid w:val="00894F74"/>
    <w:rsid w:val="008A3050"/>
    <w:rsid w:val="008B2A62"/>
    <w:rsid w:val="008B719C"/>
    <w:rsid w:val="008C03AA"/>
    <w:rsid w:val="008C7EA1"/>
    <w:rsid w:val="008D37AE"/>
    <w:rsid w:val="008E796C"/>
    <w:rsid w:val="008F640B"/>
    <w:rsid w:val="00901CC4"/>
    <w:rsid w:val="00910116"/>
    <w:rsid w:val="009131AF"/>
    <w:rsid w:val="0091428F"/>
    <w:rsid w:val="00915079"/>
    <w:rsid w:val="00920780"/>
    <w:rsid w:val="0092309E"/>
    <w:rsid w:val="0093513C"/>
    <w:rsid w:val="00937E5A"/>
    <w:rsid w:val="009407CF"/>
    <w:rsid w:val="00951830"/>
    <w:rsid w:val="009657E0"/>
    <w:rsid w:val="00972838"/>
    <w:rsid w:val="00982E66"/>
    <w:rsid w:val="009B1D84"/>
    <w:rsid w:val="009B59E0"/>
    <w:rsid w:val="009C10BF"/>
    <w:rsid w:val="009C404C"/>
    <w:rsid w:val="009D29BE"/>
    <w:rsid w:val="009F7D2F"/>
    <w:rsid w:val="00A12C2D"/>
    <w:rsid w:val="00A2136D"/>
    <w:rsid w:val="00A221D5"/>
    <w:rsid w:val="00A30138"/>
    <w:rsid w:val="00A4260D"/>
    <w:rsid w:val="00A465D5"/>
    <w:rsid w:val="00A70BC2"/>
    <w:rsid w:val="00A77575"/>
    <w:rsid w:val="00A82853"/>
    <w:rsid w:val="00A87A7E"/>
    <w:rsid w:val="00A95251"/>
    <w:rsid w:val="00A962E1"/>
    <w:rsid w:val="00AA47BD"/>
    <w:rsid w:val="00AE363B"/>
    <w:rsid w:val="00AE4C9C"/>
    <w:rsid w:val="00B17B6D"/>
    <w:rsid w:val="00B244FE"/>
    <w:rsid w:val="00B32670"/>
    <w:rsid w:val="00B714DB"/>
    <w:rsid w:val="00B77CD5"/>
    <w:rsid w:val="00B84ECB"/>
    <w:rsid w:val="00B909E3"/>
    <w:rsid w:val="00B947AA"/>
    <w:rsid w:val="00B96338"/>
    <w:rsid w:val="00B97A06"/>
    <w:rsid w:val="00BA356A"/>
    <w:rsid w:val="00BB4065"/>
    <w:rsid w:val="00BD137F"/>
    <w:rsid w:val="00BD3AEA"/>
    <w:rsid w:val="00BD5396"/>
    <w:rsid w:val="00C02F9D"/>
    <w:rsid w:val="00C17D10"/>
    <w:rsid w:val="00C23219"/>
    <w:rsid w:val="00C466E5"/>
    <w:rsid w:val="00C52F38"/>
    <w:rsid w:val="00C75D90"/>
    <w:rsid w:val="00C76B8F"/>
    <w:rsid w:val="00C92F0E"/>
    <w:rsid w:val="00CA53DB"/>
    <w:rsid w:val="00CB228F"/>
    <w:rsid w:val="00CC271E"/>
    <w:rsid w:val="00CC604F"/>
    <w:rsid w:val="00CC608D"/>
    <w:rsid w:val="00CD4741"/>
    <w:rsid w:val="00CF1A3E"/>
    <w:rsid w:val="00D032B6"/>
    <w:rsid w:val="00D15906"/>
    <w:rsid w:val="00D30A70"/>
    <w:rsid w:val="00D31075"/>
    <w:rsid w:val="00D40322"/>
    <w:rsid w:val="00D4366F"/>
    <w:rsid w:val="00D51BAB"/>
    <w:rsid w:val="00D65893"/>
    <w:rsid w:val="00D71596"/>
    <w:rsid w:val="00D7778D"/>
    <w:rsid w:val="00D8046B"/>
    <w:rsid w:val="00D855FB"/>
    <w:rsid w:val="00D930A7"/>
    <w:rsid w:val="00DA17B9"/>
    <w:rsid w:val="00DB277A"/>
    <w:rsid w:val="00DD0CCA"/>
    <w:rsid w:val="00DE3EB4"/>
    <w:rsid w:val="00DF122B"/>
    <w:rsid w:val="00DF12AE"/>
    <w:rsid w:val="00DF432C"/>
    <w:rsid w:val="00E33D19"/>
    <w:rsid w:val="00E37B3B"/>
    <w:rsid w:val="00E40D38"/>
    <w:rsid w:val="00E50146"/>
    <w:rsid w:val="00E531ED"/>
    <w:rsid w:val="00E578F3"/>
    <w:rsid w:val="00E6095B"/>
    <w:rsid w:val="00E815D7"/>
    <w:rsid w:val="00E837B3"/>
    <w:rsid w:val="00E847E2"/>
    <w:rsid w:val="00E87EE5"/>
    <w:rsid w:val="00EB7A0C"/>
    <w:rsid w:val="00ED26E8"/>
    <w:rsid w:val="00EE00A1"/>
    <w:rsid w:val="00EF6995"/>
    <w:rsid w:val="00F11BF2"/>
    <w:rsid w:val="00F128E5"/>
    <w:rsid w:val="00F218F2"/>
    <w:rsid w:val="00F22220"/>
    <w:rsid w:val="00F27B86"/>
    <w:rsid w:val="00F3318F"/>
    <w:rsid w:val="00F40736"/>
    <w:rsid w:val="00F455EF"/>
    <w:rsid w:val="00F45FFF"/>
    <w:rsid w:val="00F85C01"/>
    <w:rsid w:val="00F91BBD"/>
    <w:rsid w:val="00F979CE"/>
    <w:rsid w:val="00FA64EA"/>
    <w:rsid w:val="00FB20B4"/>
    <w:rsid w:val="00FC5B37"/>
    <w:rsid w:val="00FD2B7F"/>
    <w:rsid w:val="030A2FAA"/>
    <w:rsid w:val="04E179C2"/>
    <w:rsid w:val="08552A46"/>
    <w:rsid w:val="08835C0A"/>
    <w:rsid w:val="08DD1F2E"/>
    <w:rsid w:val="0A306EA9"/>
    <w:rsid w:val="0B9F5DCF"/>
    <w:rsid w:val="0BD35BCE"/>
    <w:rsid w:val="0E0C19A1"/>
    <w:rsid w:val="102454E7"/>
    <w:rsid w:val="11EA6439"/>
    <w:rsid w:val="1AEB492F"/>
    <w:rsid w:val="1AEC2942"/>
    <w:rsid w:val="1DD55AC8"/>
    <w:rsid w:val="20017B8E"/>
    <w:rsid w:val="22496655"/>
    <w:rsid w:val="2A454121"/>
    <w:rsid w:val="2ADA7741"/>
    <w:rsid w:val="2B002B4A"/>
    <w:rsid w:val="2B51462F"/>
    <w:rsid w:val="2D770C88"/>
    <w:rsid w:val="310B5AB7"/>
    <w:rsid w:val="31263E0A"/>
    <w:rsid w:val="349D6E05"/>
    <w:rsid w:val="355923A8"/>
    <w:rsid w:val="37962D3E"/>
    <w:rsid w:val="38EF02E4"/>
    <w:rsid w:val="3BE6527E"/>
    <w:rsid w:val="40F01EA5"/>
    <w:rsid w:val="42BB00C0"/>
    <w:rsid w:val="42E82387"/>
    <w:rsid w:val="43553C76"/>
    <w:rsid w:val="48CB4C9B"/>
    <w:rsid w:val="4B8A03C7"/>
    <w:rsid w:val="4C427DCB"/>
    <w:rsid w:val="52FA7F3E"/>
    <w:rsid w:val="55A213E0"/>
    <w:rsid w:val="566B4949"/>
    <w:rsid w:val="58127AFF"/>
    <w:rsid w:val="586C7593"/>
    <w:rsid w:val="5E1313E7"/>
    <w:rsid w:val="603346B1"/>
    <w:rsid w:val="60402066"/>
    <w:rsid w:val="61610F31"/>
    <w:rsid w:val="636E7F15"/>
    <w:rsid w:val="65147FF4"/>
    <w:rsid w:val="68F417C3"/>
    <w:rsid w:val="69EF12D2"/>
    <w:rsid w:val="6D074097"/>
    <w:rsid w:val="6DFF3744"/>
    <w:rsid w:val="6FA92F92"/>
    <w:rsid w:val="70B02558"/>
    <w:rsid w:val="739647DB"/>
    <w:rsid w:val="74E94539"/>
    <w:rsid w:val="74FB772A"/>
    <w:rsid w:val="751C6A49"/>
    <w:rsid w:val="75E817A4"/>
    <w:rsid w:val="78A45C3E"/>
    <w:rsid w:val="7A230FD1"/>
    <w:rsid w:val="7AD264B4"/>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9"/>
    <w:semiHidden/>
    <w:qFormat/>
    <w:uiPriority w:val="99"/>
    <w:pPr>
      <w:shd w:val="clear" w:color="auto" w:fill="000080"/>
    </w:pPr>
    <w:rPr>
      <w:szCs w:val="22"/>
    </w:r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qFormat/>
    <w:uiPriority w:val="99"/>
    <w:pPr>
      <w:widowControl/>
      <w:spacing w:before="100" w:beforeAutospacing="1" w:after="100" w:afterAutospacing="1"/>
      <w:jc w:val="left"/>
    </w:pPr>
    <w:rPr>
      <w:rFonts w:ascii="宋体" w:hAnsi="宋体" w:cs="宋体"/>
      <w:kern w:val="0"/>
      <w:sz w:val="24"/>
    </w:rPr>
  </w:style>
  <w:style w:type="character" w:styleId="8">
    <w:name w:val="Hyperlink"/>
    <w:basedOn w:val="7"/>
    <w:semiHidden/>
    <w:uiPriority w:val="99"/>
    <w:rPr>
      <w:rFonts w:cs="Times New Roman"/>
      <w:color w:val="333333"/>
      <w:u w:val="none"/>
    </w:rPr>
  </w:style>
  <w:style w:type="character" w:customStyle="1" w:styleId="9">
    <w:name w:val="文档结构图 Char"/>
    <w:basedOn w:val="7"/>
    <w:link w:val="2"/>
    <w:semiHidden/>
    <w:qFormat/>
    <w:locked/>
    <w:uiPriority w:val="99"/>
    <w:rPr>
      <w:rFonts w:ascii="Calibri" w:hAnsi="Calibri" w:eastAsia="宋体" w:cs="Times New Roman"/>
      <w:shd w:val="clear" w:color="auto" w:fill="000080"/>
    </w:rPr>
  </w:style>
  <w:style w:type="character" w:customStyle="1" w:styleId="10">
    <w:name w:val="页脚 Char"/>
    <w:basedOn w:val="7"/>
    <w:link w:val="3"/>
    <w:locked/>
    <w:uiPriority w:val="99"/>
    <w:rPr>
      <w:rFonts w:cs="Times New Roman"/>
      <w:sz w:val="18"/>
      <w:szCs w:val="18"/>
    </w:rPr>
  </w:style>
  <w:style w:type="character" w:customStyle="1" w:styleId="11">
    <w:name w:val="页眉 Char"/>
    <w:basedOn w:val="7"/>
    <w:link w:val="4"/>
    <w:qFormat/>
    <w:locked/>
    <w:uiPriority w:val="99"/>
    <w:rPr>
      <w:rFonts w:cs="Times New Roman"/>
      <w:sz w:val="18"/>
      <w:szCs w:val="18"/>
    </w:rPr>
  </w:style>
  <w:style w:type="paragraph" w:styleId="12">
    <w:name w:val="List Paragraph"/>
    <w:basedOn w:val="1"/>
    <w:qFormat/>
    <w:uiPriority w:val="99"/>
    <w:pPr>
      <w:ind w:firstLine="420" w:firstLineChars="200"/>
    </w:pPr>
  </w:style>
  <w:style w:type="paragraph" w:styleId="13">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14">
    <w:name w:val="Char Char Char Char Char Char Char Char Char Char Char Char Char Char"/>
    <w:uiPriority w:val="99"/>
    <w:pPr>
      <w:widowControl w:val="0"/>
      <w:spacing w:line="480" w:lineRule="auto"/>
      <w:ind w:firstLine="200" w:firstLineChars="200"/>
      <w:jc w:val="both"/>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CD154531-F066-49FB-B41F-DB527085F59F}">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15</Pages>
  <Words>7206</Words>
  <Characters>7888</Characters>
  <Lines>58</Lines>
  <Paragraphs>16</Paragraphs>
  <TotalTime>453</TotalTime>
  <ScaleCrop>false</ScaleCrop>
  <LinksUpToDate>false</LinksUpToDate>
  <CharactersWithSpaces>7936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2019-04-15T00:55:00Z</dcterms:created>
  <dc:creator>Windows User</dc:creator>
  <cp:lastModifiedBy>风</cp:lastModifiedBy>
  <cp:lastPrinted>2022-06-23T01:43:00Z</cp:lastPrinted>
  <dcterms:modified xsi:type="dcterms:W3CDTF">2022-10-26T02:49:37Z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1D21B8092F4249488B2674E137DF4B5D</vt:lpwstr>
  </property>
</Properties>
</file>