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420"/>
        <w:gridCol w:w="1320"/>
        <w:gridCol w:w="880"/>
        <w:gridCol w:w="1300"/>
        <w:gridCol w:w="1080"/>
        <w:gridCol w:w="1120"/>
        <w:gridCol w:w="265"/>
        <w:gridCol w:w="15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64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项目支出绩效目标申报表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64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32"/>
                <w:szCs w:val="3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hAnsi="宋体" w:eastAsia="楷体_GB2312" w:cs="宋体"/>
                <w:kern w:val="0"/>
                <w:sz w:val="32"/>
                <w:szCs w:val="32"/>
                <w:lang w:eastAsia="zh-CN"/>
              </w:rPr>
              <w:t>2021</w:t>
            </w:r>
            <w:r>
              <w:rPr>
                <w:rFonts w:hint="eastAsia" w:ascii="楷体_GB2312" w:hAnsi="宋体" w:eastAsia="楷体_GB2312" w:cs="宋体"/>
                <w:kern w:val="0"/>
                <w:sz w:val="32"/>
                <w:szCs w:val="32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640" w:type="dxa"/>
            <w:gridSpan w:val="9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 xml:space="preserve"> 填报单位（盖章）湘潭县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拘留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项目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基本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信息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220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专项经费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项目属性</w:t>
            </w:r>
          </w:p>
        </w:tc>
        <w:tc>
          <w:tcPr>
            <w:tcW w:w="4040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延续专项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☑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新增专项□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主管部门</w:t>
            </w: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项目负责人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张杰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3973279000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资金总额</w:t>
            </w:r>
          </w:p>
        </w:tc>
        <w:tc>
          <w:tcPr>
            <w:tcW w:w="7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拾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伍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元整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项目起止时间</w:t>
            </w:r>
          </w:p>
        </w:tc>
        <w:tc>
          <w:tcPr>
            <w:tcW w:w="7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年1月至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年12月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项目概况</w:t>
            </w:r>
          </w:p>
        </w:tc>
        <w:tc>
          <w:tcPr>
            <w:tcW w:w="7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对行政拘留人员进行教育转化、惩戒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；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保障被拘留人员安全，杜绝恶性事故，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年均关押量80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项情况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项依据</w:t>
            </w:r>
          </w:p>
        </w:tc>
        <w:tc>
          <w:tcPr>
            <w:tcW w:w="6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1、公安部、财政部关于印发《看守所经费开支范围和管理办法的规定》；2、《湖南省财政厅 湖南省公安厅关于加强全省公安监管场所经费保障的通知》。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项目申报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的可行性</w:t>
            </w:r>
          </w:p>
        </w:tc>
        <w:tc>
          <w:tcPr>
            <w:tcW w:w="6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1、各级政策文件的要求；2、县委县政府历年来对县监管场所经费保障工作的重视；3、省财政配套经费的拨付。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项目申报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的必要性</w:t>
            </w:r>
          </w:p>
        </w:tc>
        <w:tc>
          <w:tcPr>
            <w:tcW w:w="6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1、充分发挥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拘留所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监管、教育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转化违法人员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和社会治安综合治理等方面的职能作用；2、保障监所安全，维护湘潭县大局稳定；3、提高政策的有效性，提升服务效能。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项目实施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进度计划</w:t>
            </w: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项目实施内容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计划开始时间</w:t>
            </w:r>
          </w:p>
        </w:tc>
        <w:tc>
          <w:tcPr>
            <w:tcW w:w="2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计划完成时间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给养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费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-1-1</w:t>
            </w:r>
          </w:p>
        </w:tc>
        <w:tc>
          <w:tcPr>
            <w:tcW w:w="2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-12-31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商品和服务支出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-1-1</w:t>
            </w:r>
          </w:p>
        </w:tc>
        <w:tc>
          <w:tcPr>
            <w:tcW w:w="2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-12-31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项目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支出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绩效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目标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项目长期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绩效目标</w:t>
            </w:r>
          </w:p>
        </w:tc>
        <w:tc>
          <w:tcPr>
            <w:tcW w:w="7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保障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人员的正常生活，稳定监区秩序，确保监所安全，确保全县社会治安大局稳定。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绩效目标</w:t>
            </w:r>
          </w:p>
        </w:tc>
        <w:tc>
          <w:tcPr>
            <w:tcW w:w="7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1、确保监所安全、稳定监区秩序；2、加强经费保障和管理，保障在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人员的正常生活；3、服务好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办案单位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的办案需求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一级指标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给养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费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包括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伙食费、医疗费、衣被费、公杂费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70.2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商品和服务支出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公务费、装备购置费、装备消耗费、修缮费及其他费用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14.8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预算经费使用率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警示教育，预防犯罪，提高全民遵纪守法意识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对周边环境的影响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可持续影响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彰显政府的公信力、执行力，警示全民遵纪守法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社会公众或服务对象满意度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群众满意率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98%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6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项目组织机构：湘潭县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相关管理制度：《财务管理工作制度》《精细化考核办法》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工作措施 （方案、规划等）：《湘潭县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所工作规程》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财政部门审核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意见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审核股室</w:t>
            </w:r>
          </w:p>
        </w:tc>
        <w:tc>
          <w:tcPr>
            <w:tcW w:w="3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审核的主要内容</w:t>
            </w:r>
          </w:p>
        </w:tc>
        <w:tc>
          <w:tcPr>
            <w:tcW w:w="4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财政归口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业务股室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</w:t>
            </w:r>
          </w:p>
        </w:tc>
        <w:tc>
          <w:tcPr>
            <w:tcW w:w="3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1、是否立项及项目属性确定；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2、绩效目标设定是否合理；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3、预算资金可供量是否合理；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4、项目、资金及财务管理措施；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5、其他。</w:t>
            </w:r>
          </w:p>
        </w:tc>
        <w:tc>
          <w:tcPr>
            <w:tcW w:w="4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绩效评价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股审核意见</w:t>
            </w:r>
          </w:p>
        </w:tc>
        <w:tc>
          <w:tcPr>
            <w:tcW w:w="3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1、填报内容是否完整；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2、是否设定量化的绩效目标；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3、是否有适当、细化的绩效指标，及其与绩效目标的对应性；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4、其他。</w:t>
            </w:r>
          </w:p>
        </w:tc>
        <w:tc>
          <w:tcPr>
            <w:tcW w:w="4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6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预算股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</w:t>
            </w:r>
          </w:p>
        </w:tc>
        <w:tc>
          <w:tcPr>
            <w:tcW w:w="3500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1、县委、县政府已确定的项目；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2、财政待安排项目；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3、是否进入备选项目；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4、财政项目预算资金安排可供量与完成项目绩效目标的保障度。</w:t>
            </w:r>
          </w:p>
        </w:tc>
        <w:tc>
          <w:tcPr>
            <w:tcW w:w="4040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300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单位负责人：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张杰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填报人： </w:t>
            </w:r>
          </w:p>
        </w:tc>
        <w:tc>
          <w:tcPr>
            <w:tcW w:w="296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胡桂香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96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填报日期：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年 3  月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lYTM5ZWVlYmNmYjc1MGQ3MTQ1ZDkwNTIzYWUxZmYifQ=="/>
  </w:docVars>
  <w:rsids>
    <w:rsidRoot w:val="00000000"/>
    <w:rsid w:val="0F88284B"/>
    <w:rsid w:val="77501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1112</Words>
  <Characters>1180</Characters>
  <Lines>0</Lines>
  <Paragraphs>0</Paragraphs>
  <TotalTime>2</TotalTime>
  <ScaleCrop>false</ScaleCrop>
  <LinksUpToDate>false</LinksUpToDate>
  <CharactersWithSpaces>1271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2022-08-25T13:02:00Z</dcterms:created>
  <dc:creator>Administrator</dc:creator>
  <cp:lastModifiedBy>A维维佗 </cp:lastModifiedBy>
  <dcterms:modified xsi:type="dcterms:W3CDTF">2022-08-25T13:07:38Z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CAE0BED8BB484D7EB2464F88578ADBBD</vt:lpwstr>
  </property>
</Properties>
</file>