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cs="Times New Roman"/>
          <w:sz w:val="84"/>
          <w:szCs w:val="84"/>
        </w:rPr>
      </w:pPr>
    </w:p>
    <w:p>
      <w:pPr>
        <w:pStyle w:val="10"/>
        <w:jc w:val="center"/>
        <w:rPr>
          <w:sz w:val="84"/>
          <w:szCs w:val="84"/>
        </w:rPr>
      </w:pPr>
    </w:p>
    <w:p>
      <w:pPr>
        <w:pStyle w:val="10"/>
        <w:jc w:val="center"/>
        <w:rPr>
          <w:rFonts w:hint="eastAsia" w:ascii="宋体" w:hAnsi="宋体" w:eastAsia="宋体" w:cs="宋体"/>
          <w:sz w:val="84"/>
          <w:szCs w:val="84"/>
          <w:lang w:eastAsia="zh-CN"/>
        </w:rPr>
      </w:pPr>
    </w:p>
    <w:p>
      <w:pPr>
        <w:pStyle w:val="10"/>
        <w:jc w:val="center"/>
        <w:rPr>
          <w:rFonts w:hint="eastAsia" w:ascii="方正小标宋简体" w:hAnsi="方正小标宋简体" w:eastAsia="方正小标宋简体" w:cs="方正小标宋简体"/>
          <w:color w:val="000000" w:themeColor="text1"/>
          <w:sz w:val="52"/>
          <w:szCs w:val="52"/>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lang w:eastAsia="zh-CN"/>
          <w14:textFill>
            <w14:solidFill>
              <w14:schemeClr w14:val="tx1"/>
            </w14:solidFill>
          </w14:textFill>
        </w:rPr>
        <w:t>湘潭县医疗保障局</w:t>
      </w:r>
    </w:p>
    <w:p>
      <w:pPr>
        <w:pStyle w:val="10"/>
        <w:jc w:val="center"/>
        <w:rPr>
          <w:rFonts w:hint="eastAsia" w:ascii="方正小标宋简体" w:hAnsi="方正小标宋简体" w:eastAsia="方正小标宋简体" w:cs="方正小标宋简体"/>
          <w:color w:val="000000" w:themeColor="text1"/>
          <w:sz w:val="52"/>
          <w:szCs w:val="52"/>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lang w:eastAsia="zh-CN"/>
          <w14:textFill>
            <w14:solidFill>
              <w14:schemeClr w14:val="tx1"/>
            </w14:solidFill>
          </w14:textFill>
        </w:rPr>
        <w:t>2020年度部门决算公开</w:t>
      </w:r>
    </w:p>
    <w:p>
      <w:pPr>
        <w:pStyle w:val="10"/>
        <w:jc w:val="center"/>
        <w:rPr>
          <w:rFonts w:hint="eastAsia" w:ascii="宋体" w:hAnsi="宋体" w:eastAsia="宋体" w:cs="宋体"/>
          <w:sz w:val="72"/>
          <w:szCs w:val="72"/>
        </w:rPr>
      </w:pPr>
    </w:p>
    <w:p>
      <w:pPr>
        <w:pStyle w:val="10"/>
        <w:jc w:val="center"/>
        <w:rPr>
          <w:rFonts w:cs="Times New Roman"/>
          <w:sz w:val="56"/>
          <w:szCs w:val="56"/>
        </w:rPr>
      </w:pPr>
    </w:p>
    <w:p>
      <w:pPr>
        <w:pStyle w:val="10"/>
        <w:jc w:val="center"/>
        <w:rPr>
          <w:rFonts w:cs="Times New Roman"/>
          <w:sz w:val="56"/>
          <w:szCs w:val="56"/>
        </w:rPr>
      </w:pPr>
    </w:p>
    <w:p>
      <w:pPr>
        <w:pStyle w:val="10"/>
        <w:jc w:val="center"/>
        <w:rPr>
          <w:rFonts w:cs="Times New Roman"/>
          <w:sz w:val="56"/>
          <w:szCs w:val="56"/>
        </w:rPr>
      </w:pPr>
    </w:p>
    <w:p>
      <w:pPr>
        <w:pStyle w:val="10"/>
        <w:jc w:val="center"/>
        <w:rPr>
          <w:rFonts w:cs="Times New Roman"/>
          <w:sz w:val="32"/>
          <w:szCs w:val="32"/>
        </w:rPr>
      </w:pPr>
    </w:p>
    <w:p>
      <w:pPr>
        <w:pStyle w:val="10"/>
        <w:jc w:val="center"/>
        <w:rPr>
          <w:rFonts w:cs="Times New Roman"/>
          <w:sz w:val="32"/>
          <w:szCs w:val="32"/>
        </w:rPr>
      </w:pPr>
    </w:p>
    <w:p>
      <w:pPr>
        <w:pStyle w:val="10"/>
        <w:jc w:val="center"/>
        <w:rPr>
          <w:rFonts w:cs="Times New Roman"/>
          <w:sz w:val="32"/>
          <w:szCs w:val="32"/>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00" w:lineRule="exact"/>
        <w:jc w:val="center"/>
        <w:rPr>
          <w:rFonts w:hint="eastAsia"/>
          <w:b w:val="0"/>
          <w:bCs w:val="0"/>
          <w:color w:val="000000" w:themeColor="text1"/>
          <w:sz w:val="36"/>
          <w:szCs w:val="36"/>
          <w14:textFill>
            <w14:solidFill>
              <w14:schemeClr w14:val="tx1"/>
            </w14:solidFill>
          </w14:textFill>
        </w:rPr>
      </w:pPr>
      <w:r>
        <w:rPr>
          <w:rFonts w:hint="eastAsia"/>
          <w:b w:val="0"/>
          <w:bCs w:val="0"/>
          <w:color w:val="000000" w:themeColor="text1"/>
          <w:sz w:val="36"/>
          <w:szCs w:val="36"/>
          <w14:textFill>
            <w14:solidFill>
              <w14:schemeClr w14:val="tx1"/>
            </w14:solidFill>
          </w14:textFill>
        </w:rPr>
        <w:t>目录</w:t>
      </w:r>
    </w:p>
    <w:p>
      <w:pPr>
        <w:pStyle w:val="10"/>
        <w:keepNext w:val="0"/>
        <w:keepLines w:val="0"/>
        <w:pageBreakBefore w:val="0"/>
        <w:widowControl w:val="0"/>
        <w:kinsoku/>
        <w:wordWrap/>
        <w:overflowPunct/>
        <w:topLinePunct w:val="0"/>
        <w:bidi w:val="0"/>
        <w:snapToGrid/>
        <w:spacing w:line="460" w:lineRule="exact"/>
        <w:textAlignment w:val="auto"/>
        <w:rPr>
          <w:rFonts w:hint="eastAsia"/>
          <w:b w:val="0"/>
          <w:bCs w:val="0"/>
          <w:color w:val="000000" w:themeColor="text1"/>
          <w:sz w:val="28"/>
          <w:szCs w:val="28"/>
          <w14:textFill>
            <w14:solidFill>
              <w14:schemeClr w14:val="tx1"/>
            </w14:solidFill>
          </w14:textFill>
        </w:rPr>
      </w:pPr>
      <w:r>
        <w:rPr>
          <w:rFonts w:hint="eastAsia"/>
          <w:b w:val="0"/>
          <w:bCs w:val="0"/>
          <w:color w:val="000000" w:themeColor="text1"/>
          <w:sz w:val="28"/>
          <w:szCs w:val="28"/>
          <w14:textFill>
            <w14:solidFill>
              <w14:schemeClr w14:val="tx1"/>
            </w14:solidFill>
          </w14:textFill>
        </w:rPr>
        <w:t>第一部分</w:t>
      </w:r>
      <w:r>
        <w:rPr>
          <w:rFonts w:hint="eastAsia"/>
          <w:b w:val="0"/>
          <w:bCs w:val="0"/>
          <w:color w:val="000000" w:themeColor="text1"/>
          <w:sz w:val="28"/>
          <w:szCs w:val="28"/>
          <w:lang w:val="en-US" w:eastAsia="zh-CN"/>
          <w14:textFill>
            <w14:solidFill>
              <w14:schemeClr w14:val="tx1"/>
            </w14:solidFill>
          </w14:textFill>
        </w:rPr>
        <w:t>湘潭县医疗保障局</w:t>
      </w:r>
      <w:r>
        <w:rPr>
          <w:rFonts w:hint="eastAsia"/>
          <w:b w:val="0"/>
          <w:bCs w:val="0"/>
          <w:color w:val="000000" w:themeColor="text1"/>
          <w:sz w:val="28"/>
          <w:szCs w:val="28"/>
          <w14:textFill>
            <w14:solidFill>
              <w14:schemeClr w14:val="tx1"/>
            </w14:solidFill>
          </w14:textFill>
        </w:rPr>
        <w:t>概况</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一、部门职责</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二、机构设置</w:t>
      </w:r>
    </w:p>
    <w:p>
      <w:pPr>
        <w:pStyle w:val="10"/>
        <w:keepNext w:val="0"/>
        <w:keepLines w:val="0"/>
        <w:pageBreakBefore w:val="0"/>
        <w:widowControl w:val="0"/>
        <w:kinsoku/>
        <w:wordWrap/>
        <w:overflowPunct/>
        <w:topLinePunct w:val="0"/>
        <w:bidi w:val="0"/>
        <w:snapToGrid/>
        <w:spacing w:line="460" w:lineRule="exact"/>
        <w:textAlignment w:val="auto"/>
        <w:rPr>
          <w:rFonts w:hint="eastAsia" w:hAnsi="仿宋_GB2312"/>
          <w:b w:val="0"/>
          <w:bCs w:val="0"/>
          <w:color w:val="000000" w:themeColor="text1"/>
          <w:sz w:val="28"/>
          <w:szCs w:val="28"/>
          <w14:textFill>
            <w14:solidFill>
              <w14:schemeClr w14:val="tx1"/>
            </w14:solidFill>
          </w14:textFill>
        </w:rPr>
      </w:pPr>
      <w:r>
        <w:rPr>
          <w:rFonts w:hint="eastAsia" w:hAnsi="仿宋_GB2312"/>
          <w:b w:val="0"/>
          <w:bCs w:val="0"/>
          <w:color w:val="000000" w:themeColor="text1"/>
          <w:sz w:val="28"/>
          <w:szCs w:val="28"/>
          <w14:textFill>
            <w14:solidFill>
              <w14:schemeClr w14:val="tx1"/>
            </w14:solidFill>
          </w14:textFill>
        </w:rPr>
        <w:t>第二部分2020年度部门决算表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七、一般公共预算财政拨款“三公”经费支出决算表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八、政府性基金预算财政拨款收入支出决算表</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九、国有资本经营预算财政拨款支出决算表</w:t>
      </w:r>
    </w:p>
    <w:p>
      <w:pPr>
        <w:pStyle w:val="10"/>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val="0"/>
          <w:bCs w:val="0"/>
          <w:sz w:val="28"/>
          <w:szCs w:val="28"/>
        </w:rPr>
      </w:pPr>
      <w:r>
        <w:rPr>
          <w:rFonts w:hint="eastAsia" w:hAnsi="仿宋_GB2312"/>
          <w:b w:val="0"/>
          <w:bCs w:val="0"/>
          <w:sz w:val="28"/>
          <w:szCs w:val="28"/>
        </w:rPr>
        <w:t>第三部分</w:t>
      </w:r>
      <w:r>
        <w:rPr>
          <w:rFonts w:hAnsi="仿宋_GB2312"/>
          <w:b w:val="0"/>
          <w:bCs w:val="0"/>
          <w:sz w:val="28"/>
          <w:szCs w:val="28"/>
        </w:rPr>
        <w:t>2020</w:t>
      </w:r>
      <w:r>
        <w:rPr>
          <w:rFonts w:hint="eastAsia" w:hAnsi="仿宋_GB2312"/>
          <w:b w:val="0"/>
          <w:bCs w:val="0"/>
          <w:sz w:val="28"/>
          <w:szCs w:val="28"/>
        </w:rPr>
        <w:t>年度部门决算情况说明</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0"/>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十三、关于2020年度预算绩效情况的说明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val="0"/>
          <w:bCs w:val="0"/>
          <w:color w:val="000000"/>
          <w:kern w:val="0"/>
          <w:sz w:val="28"/>
          <w:szCs w:val="28"/>
        </w:rPr>
      </w:pPr>
      <w:r>
        <w:rPr>
          <w:rFonts w:hint="eastAsia" w:ascii="黑体" w:hAnsi="黑体" w:eastAsia="黑体" w:cs="黑体"/>
          <w:b w:val="0"/>
          <w:bCs w:val="0"/>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hAnsi="黑体" w:eastAsia="黑体" w:cs="黑体"/>
          <w:b w:val="0"/>
          <w:bCs w:val="0"/>
          <w:color w:val="000000"/>
          <w:kern w:val="0"/>
          <w:sz w:val="28"/>
          <w:szCs w:val="28"/>
        </w:rPr>
      </w:pPr>
      <w:r>
        <w:rPr>
          <w:rFonts w:hint="eastAsia" w:ascii="黑体" w:hAnsi="黑体" w:eastAsia="黑体" w:cs="黑体"/>
          <w:b w:val="0"/>
          <w:bCs w:val="0"/>
          <w:color w:val="000000"/>
          <w:kern w:val="0"/>
          <w:sz w:val="28"/>
          <w:szCs w:val="28"/>
        </w:rPr>
        <w:t>第五部分附件</w:t>
      </w:r>
    </w:p>
    <w:p>
      <w:pPr>
        <w:pStyle w:val="10"/>
        <w:jc w:val="center"/>
        <w:rPr>
          <w:rFonts w:cs="Times New Roman"/>
          <w:sz w:val="84"/>
          <w:szCs w:val="84"/>
        </w:rPr>
      </w:pPr>
      <w:r>
        <w:rPr>
          <w:rFonts w:hint="eastAsia" w:ascii="黑体" w:hAnsi="黑体" w:eastAsia="黑体" w:cs="黑体"/>
          <w:b w:val="0"/>
          <w:bCs w:val="0"/>
          <w:color w:val="000000"/>
          <w:kern w:val="0"/>
          <w:sz w:val="28"/>
          <w:szCs w:val="28"/>
        </w:rPr>
        <w:br w:type="page"/>
      </w:r>
    </w:p>
    <w:p>
      <w:pPr>
        <w:pStyle w:val="10"/>
        <w:jc w:val="center"/>
        <w:rPr>
          <w:sz w:val="84"/>
          <w:szCs w:val="84"/>
        </w:rPr>
      </w:pPr>
    </w:p>
    <w:p>
      <w:pPr>
        <w:pStyle w:val="10"/>
        <w:jc w:val="center"/>
        <w:rPr>
          <w:rFonts w:hint="eastAsia" w:ascii="宋体" w:hAnsi="宋体" w:eastAsia="宋体" w:cs="宋体"/>
          <w:sz w:val="84"/>
          <w:szCs w:val="84"/>
          <w:lang w:eastAsia="zh-CN"/>
        </w:rPr>
      </w:pPr>
    </w:p>
    <w:p>
      <w:pPr>
        <w:pStyle w:val="10"/>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第一部分</w:t>
      </w:r>
    </w:p>
    <w:p>
      <w:pPr>
        <w:pStyle w:val="10"/>
        <w:jc w:val="center"/>
        <w:rPr>
          <w:rFonts w:hint="eastAsia" w:ascii="方正小标宋简体" w:hAnsi="方正小标宋简体" w:eastAsia="方正小标宋简体" w:cs="方正小标宋简体"/>
          <w:sz w:val="52"/>
          <w:szCs w:val="52"/>
        </w:rPr>
      </w:pPr>
    </w:p>
    <w:p>
      <w:pPr>
        <w:pStyle w:val="10"/>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lang w:eastAsia="zh-CN"/>
        </w:rPr>
        <w:t>湘潭县医疗保障局</w:t>
      </w:r>
      <w:r>
        <w:rPr>
          <w:rFonts w:hint="eastAsia" w:ascii="方正小标宋简体" w:hAnsi="方正小标宋简体" w:eastAsia="方正小标宋简体" w:cs="方正小标宋简体"/>
          <w:sz w:val="52"/>
          <w:szCs w:val="52"/>
        </w:rPr>
        <w:t>单位</w:t>
      </w:r>
    </w:p>
    <w:p>
      <w:pPr>
        <w:pStyle w:val="10"/>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概况</w:t>
      </w:r>
    </w:p>
    <w:p>
      <w:pPr>
        <w:pStyle w:val="11"/>
        <w:numPr>
          <w:ilvl w:val="0"/>
          <w:numId w:val="0"/>
        </w:numPr>
        <w:ind w:leftChars="0" w:firstLine="640" w:firstLineChars="200"/>
        <w:jc w:val="left"/>
        <w:rPr>
          <w:rFonts w:ascii="黑体" w:hAnsi="黑体" w:eastAsia="黑体" w:cs="Times New Roman"/>
          <w:sz w:val="32"/>
          <w:szCs w:val="32"/>
        </w:rPr>
      </w:pPr>
      <w:r>
        <w:rPr>
          <w:rFonts w:hint="eastAsia" w:ascii="黑体" w:hAnsi="黑体" w:eastAsia="黑体" w:cs="黑体"/>
          <w:sz w:val="32"/>
          <w:szCs w:val="32"/>
          <w:lang w:val="en-US" w:eastAsia="zh-CN"/>
        </w:rPr>
        <w:br w:type="page"/>
      </w:r>
      <w:r>
        <w:rPr>
          <w:rFonts w:hint="eastAsia" w:ascii="黑体" w:hAnsi="黑体" w:eastAsia="黑体" w:cs="黑体"/>
          <w:sz w:val="32"/>
          <w:szCs w:val="32"/>
          <w:lang w:val="en-US" w:eastAsia="zh-CN"/>
        </w:rPr>
        <w:t>一、</w:t>
      </w:r>
      <w:r>
        <w:rPr>
          <w:rFonts w:hint="eastAsia" w:ascii="黑体" w:hAnsi="黑体" w:eastAsia="黑体" w:cs="黑体"/>
          <w:sz w:val="32"/>
          <w:szCs w:val="32"/>
        </w:rPr>
        <w:t>部门职责</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（一）贯彻执行国家和省市医疗保险、生育保险、医疗救助等医疗保障法律法规和政策制度，按规定起草全县医疗保险、生育保险、医疗救助等医疗保障规范性文件并组织落实。</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（二）组织实施省市医疗保障基金监督管理办法，监督管理相关医疗保障基金，建立健全医疗保障基金安全防控机制，推进医疗保障基金支付方式改革。</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（三）组织实施省市医疗保障筹资和待遇政策，完善全县动态调整和区域调剂平衡机制，统筹全县城乡医疗保障待遇标准，建立健全与筹资水平相适应的待遇调整机制，组织实施长期护理保险制度改革。</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（四）组织实施全省统一制定的药品、医用耗材、医疗服务项目、医疗服务设施等医保目录和支付标准，落实动态调整机制，组织实施省制定的医保目录准入谈判规则。</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（六）组织实施省市制定的药品、医用耗材的招标采购政策并监督实施，承担药品、医用耗材招标采购平台建设。</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（七）组织实施县定点医药机构协议和支付管理办法，建立健全医疗保障信用评价体系和信息披露制度，监督管理纳入医保范围内的医疗服务行为和医疗费用，依法查处医疗保障领域违法违规行为。</w:t>
      </w:r>
    </w:p>
    <w:p>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pPr>
        <w:widowControl/>
        <w:spacing w:line="60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（九）完成县委、县人民政府交办的其他任务</w:t>
      </w:r>
      <w:r>
        <w:rPr>
          <w:rFonts w:hint="eastAsia" w:ascii="仿宋_GB2312" w:hAnsi="仿宋_GB2312" w:eastAsia="仿宋_GB2312" w:cs="仿宋_GB2312"/>
          <w:kern w:val="0"/>
          <w:sz w:val="32"/>
          <w:szCs w:val="32"/>
          <w:lang w:eastAsia="zh-CN"/>
        </w:rPr>
        <w:t>。</w:t>
      </w:r>
    </w:p>
    <w:p>
      <w:pPr>
        <w:widowControl/>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ind w:firstLine="640" w:firstLineChars="200"/>
        <w:rPr>
          <w:rFonts w:hint="default" w:ascii="Times New Roman" w:hAnsi="Times New Roman" w:eastAsia="仿宋_GB2312" w:cs="Times New Roman"/>
          <w:kern w:val="0"/>
          <w:sz w:val="32"/>
          <w:szCs w:val="32"/>
          <w:lang w:eastAsia="zh-CN"/>
        </w:rPr>
      </w:pPr>
      <w:r>
        <w:rPr>
          <w:rFonts w:hint="eastAsia" w:ascii="仿宋_GB2312" w:hAnsi="仿宋_GB2312" w:eastAsia="仿宋_GB2312" w:cs="仿宋_GB2312"/>
          <w:kern w:val="0"/>
          <w:sz w:val="32"/>
          <w:szCs w:val="32"/>
        </w:rPr>
        <w:t>（一）内设机构设置。</w:t>
      </w:r>
      <w:r>
        <w:rPr>
          <w:rFonts w:hint="eastAsia" w:ascii="仿宋_GB2312" w:hAnsi="仿宋_GB2312" w:eastAsia="仿宋_GB2312" w:cs="仿宋_GB2312"/>
          <w:kern w:val="0"/>
          <w:sz w:val="32"/>
          <w:szCs w:val="32"/>
          <w:lang w:eastAsia="zh-CN"/>
        </w:rPr>
        <w:t>湘潭县医疗保障局内设机构包括：办公室、规划财务和法规股、待遇保障和医药服务管理股、医药价格和招标采购股、基金监管股等</w:t>
      </w:r>
      <w:r>
        <w:rPr>
          <w:rFonts w:hint="default" w:ascii="Times New Roman" w:hAnsi="Times New Roman" w:eastAsia="仿宋_GB2312" w:cs="Times New Roman"/>
          <w:kern w:val="0"/>
          <w:sz w:val="32"/>
          <w:szCs w:val="32"/>
          <w:lang w:val="en-US" w:eastAsia="zh-CN"/>
        </w:rPr>
        <w:t>5个职能股室，下辖二级机构医疗保障事务中心</w:t>
      </w:r>
      <w:r>
        <w:rPr>
          <w:rFonts w:hint="default" w:ascii="Times New Roman" w:hAnsi="Times New Roman" w:eastAsia="仿宋_GB2312" w:cs="Times New Roman"/>
          <w:kern w:val="0"/>
          <w:sz w:val="32"/>
          <w:szCs w:val="32"/>
          <w:lang w:eastAsia="zh-CN"/>
        </w:rPr>
        <w:t>。</w:t>
      </w:r>
    </w:p>
    <w:p>
      <w:pPr>
        <w:widowControl/>
        <w:spacing w:line="600" w:lineRule="exact"/>
        <w:ind w:firstLine="640" w:firstLineChars="200"/>
        <w:rPr>
          <w:rFonts w:hint="eastAsia" w:ascii="仿宋_GB2312" w:hAnsi="仿宋_GB2312" w:eastAsia="仿宋_GB2312" w:cs="仿宋_GB2312"/>
          <w:kern w:val="0"/>
          <w:sz w:val="32"/>
          <w:szCs w:val="32"/>
          <w:lang w:eastAsia="zh-CN"/>
        </w:rPr>
      </w:pPr>
      <w:r>
        <w:rPr>
          <w:rFonts w:hint="default" w:ascii="Times New Roman" w:hAnsi="Times New Roman" w:eastAsia="仿宋_GB2312" w:cs="Times New Roman"/>
          <w:kern w:val="0"/>
          <w:sz w:val="32"/>
          <w:szCs w:val="32"/>
        </w:rPr>
        <w:t>（二）决算单位构成。</w:t>
      </w:r>
      <w:r>
        <w:rPr>
          <w:rFonts w:hint="default" w:ascii="Times New Roman" w:hAnsi="Times New Roman" w:eastAsia="仿宋_GB2312" w:cs="Times New Roman"/>
          <w:kern w:val="0"/>
          <w:sz w:val="32"/>
          <w:szCs w:val="32"/>
          <w:lang w:eastAsia="zh-CN"/>
        </w:rPr>
        <w:t>湘潭县医疗保障局</w:t>
      </w:r>
      <w:r>
        <w:rPr>
          <w:rFonts w:hint="default" w:ascii="Times New Roman" w:hAnsi="Times New Roman" w:eastAsia="仿宋_GB2312" w:cs="Times New Roman"/>
          <w:kern w:val="0"/>
          <w:sz w:val="32"/>
          <w:szCs w:val="32"/>
        </w:rPr>
        <w:t>2020</w:t>
      </w:r>
      <w:r>
        <w:rPr>
          <w:rFonts w:hint="eastAsia" w:ascii="仿宋_GB2312" w:hAnsi="仿宋_GB2312" w:eastAsia="仿宋_GB2312" w:cs="仿宋_GB2312"/>
          <w:kern w:val="0"/>
          <w:sz w:val="32"/>
          <w:szCs w:val="32"/>
        </w:rPr>
        <w:t>年部门决算汇总公开单位构成包括：</w:t>
      </w:r>
      <w:r>
        <w:rPr>
          <w:rFonts w:hint="eastAsia" w:ascii="仿宋_GB2312" w:hAnsi="仿宋_GB2312" w:eastAsia="仿宋_GB2312" w:cs="仿宋_GB2312"/>
          <w:kern w:val="0"/>
          <w:sz w:val="32"/>
          <w:szCs w:val="32"/>
          <w:lang w:eastAsia="zh-CN"/>
        </w:rPr>
        <w:t>湘潭县医疗保障局单位</w:t>
      </w:r>
      <w:r>
        <w:rPr>
          <w:rFonts w:hint="eastAsia" w:ascii="仿宋_GB2312" w:hAnsi="仿宋_GB2312" w:eastAsia="仿宋_GB2312" w:cs="仿宋_GB2312"/>
          <w:kern w:val="0"/>
          <w:sz w:val="32"/>
          <w:szCs w:val="32"/>
        </w:rPr>
        <w:t>本级</w:t>
      </w:r>
      <w:r>
        <w:rPr>
          <w:rFonts w:hint="eastAsia" w:ascii="仿宋_GB2312" w:hAnsi="仿宋_GB2312" w:eastAsia="仿宋_GB2312" w:cs="仿宋_GB2312"/>
          <w:kern w:val="0"/>
          <w:sz w:val="32"/>
          <w:szCs w:val="32"/>
          <w:lang w:eastAsia="zh-CN"/>
        </w:rPr>
        <w:t>。</w:t>
      </w:r>
    </w:p>
    <w:p>
      <w:pPr>
        <w:pStyle w:val="10"/>
        <w:jc w:val="center"/>
        <w:rPr>
          <w:rFonts w:cs="Times New Roman"/>
          <w:sz w:val="84"/>
          <w:szCs w:val="84"/>
        </w:rPr>
      </w:pPr>
      <w:r>
        <w:rPr>
          <w:rFonts w:hint="eastAsia" w:ascii="仿宋_GB2312" w:hAnsi="仿宋_GB2312" w:eastAsia="仿宋_GB2312" w:cs="仿宋_GB2312"/>
          <w:kern w:val="0"/>
          <w:sz w:val="32"/>
          <w:szCs w:val="32"/>
          <w:lang w:eastAsia="zh-CN"/>
        </w:rPr>
        <w:br w:type="page"/>
      </w:r>
    </w:p>
    <w:p>
      <w:pPr>
        <w:pStyle w:val="10"/>
        <w:jc w:val="center"/>
        <w:rPr>
          <w:sz w:val="84"/>
          <w:szCs w:val="84"/>
        </w:rPr>
      </w:pPr>
    </w:p>
    <w:p>
      <w:pPr>
        <w:pStyle w:val="10"/>
        <w:jc w:val="center"/>
        <w:rPr>
          <w:rFonts w:hint="eastAsia" w:ascii="宋体" w:hAnsi="宋体" w:eastAsia="宋体" w:cs="宋体"/>
          <w:sz w:val="84"/>
          <w:szCs w:val="84"/>
          <w:lang w:eastAsia="zh-CN"/>
        </w:rPr>
      </w:pPr>
    </w:p>
    <w:p>
      <w:pPr>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第二部分</w:t>
      </w:r>
    </w:p>
    <w:p>
      <w:pPr>
        <w:jc w:val="center"/>
        <w:rPr>
          <w:rFonts w:hint="eastAsia" w:ascii="方正小标宋简体" w:hAnsi="方正小标宋简体" w:eastAsia="方正小标宋简体" w:cs="方正小标宋简体"/>
          <w:sz w:val="52"/>
          <w:szCs w:val="52"/>
        </w:rPr>
      </w:pPr>
    </w:p>
    <w:p>
      <w:pPr>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 w:linePitch="312" w:charSpace="0"/>
        </w:sectPr>
      </w:pPr>
    </w:p>
    <w:tbl>
      <w:tblPr>
        <w:tblStyle w:val="6"/>
        <w:tblW w:w="5000" w:type="pct"/>
        <w:tblInd w:w="0" w:type="dxa"/>
        <w:shd w:val="clear" w:color="auto" w:fill="auto"/>
        <w:tblLayout w:type="autofit"/>
        <w:tblCellMar>
          <w:top w:w="0" w:type="dxa"/>
          <w:left w:w="108" w:type="dxa"/>
          <w:bottom w:w="0" w:type="dxa"/>
          <w:right w:w="108" w:type="dxa"/>
        </w:tblCellMar>
      </w:tblPr>
      <w:tblGrid>
        <w:gridCol w:w="4694"/>
        <w:gridCol w:w="822"/>
        <w:gridCol w:w="1378"/>
        <w:gridCol w:w="4419"/>
        <w:gridCol w:w="822"/>
        <w:gridCol w:w="2039"/>
      </w:tblGrid>
      <w:tr>
        <w:tblPrEx>
          <w:shd w:val="clear" w:color="auto" w:fill="auto"/>
          <w:tblCellMar>
            <w:top w:w="0" w:type="dxa"/>
            <w:left w:w="108" w:type="dxa"/>
            <w:bottom w:w="0" w:type="dxa"/>
            <w:right w:w="108" w:type="dxa"/>
          </w:tblCellMar>
        </w:tblPrEx>
        <w:trPr>
          <w:trHeight w:val="390" w:hRule="atLeast"/>
        </w:trPr>
        <w:tc>
          <w:tcPr>
            <w:tcW w:w="5000" w:type="pct"/>
            <w:gridSpan w:val="6"/>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tblPrEx>
          <w:shd w:val="clear" w:color="auto" w:fill="auto"/>
          <w:tblCellMar>
            <w:top w:w="0" w:type="dxa"/>
            <w:left w:w="108" w:type="dxa"/>
            <w:bottom w:w="0" w:type="dxa"/>
            <w:right w:w="108" w:type="dxa"/>
          </w:tblCellMar>
        </w:tblPrEx>
        <w:trPr>
          <w:trHeight w:val="255" w:hRule="atLeast"/>
        </w:trPr>
        <w:tc>
          <w:tcPr>
            <w:tcW w:w="165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9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5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9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shd w:val="clear" w:color="auto" w:fill="auto"/>
          <w:tblCellMar>
            <w:top w:w="0" w:type="dxa"/>
            <w:left w:w="108" w:type="dxa"/>
            <w:bottom w:w="0" w:type="dxa"/>
            <w:right w:w="108" w:type="dxa"/>
          </w:tblCellMar>
        </w:tblPrEx>
        <w:trPr>
          <w:trHeight w:val="255" w:hRule="atLeast"/>
        </w:trPr>
        <w:tc>
          <w:tcPr>
            <w:tcW w:w="1656"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29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5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9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2432"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2567" w:type="pct"/>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8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71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90"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90"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71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3,425.68</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331.58</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2,979.97</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3,757.26</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3,534.53</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6.89</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229.62</w:t>
            </w:r>
          </w:p>
        </w:tc>
      </w:tr>
      <w:tr>
        <w:tblPrEx>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8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9"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717"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65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90" w:type="pct"/>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3,764.15</w:t>
            </w:r>
          </w:p>
        </w:tc>
        <w:tc>
          <w:tcPr>
            <w:tcW w:w="155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7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3,764.15</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注：本表反映部门本年度的总收支和年末结转结余情况。本套报表金额单位转换时可能存在尾数误差。</w:t>
            </w:r>
          </w:p>
        </w:tc>
      </w:tr>
    </w:tbl>
    <w:p>
      <w:pPr>
        <w:jc w:val="left"/>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tbl>
      <w:tblPr>
        <w:tblStyle w:val="6"/>
        <w:tblW w:w="5000" w:type="pct"/>
        <w:tblInd w:w="0" w:type="dxa"/>
        <w:shd w:val="clear" w:color="auto" w:fill="auto"/>
        <w:tblLayout w:type="autofit"/>
        <w:tblCellMar>
          <w:top w:w="0" w:type="dxa"/>
          <w:left w:w="108" w:type="dxa"/>
          <w:bottom w:w="0" w:type="dxa"/>
          <w:right w:w="108" w:type="dxa"/>
        </w:tblCellMar>
      </w:tblPr>
      <w:tblGrid>
        <w:gridCol w:w="2416"/>
        <w:gridCol w:w="222"/>
        <w:gridCol w:w="224"/>
        <w:gridCol w:w="3516"/>
        <w:gridCol w:w="1103"/>
        <w:gridCol w:w="1103"/>
        <w:gridCol w:w="1710"/>
        <w:gridCol w:w="1208"/>
        <w:gridCol w:w="1236"/>
        <w:gridCol w:w="1237"/>
        <w:gridCol w:w="1639"/>
      </w:tblGrid>
      <w:tr>
        <w:tblPrEx>
          <w:shd w:val="clear" w:color="auto" w:fill="auto"/>
          <w:tblCellMar>
            <w:top w:w="0" w:type="dxa"/>
            <w:left w:w="108" w:type="dxa"/>
            <w:bottom w:w="0" w:type="dxa"/>
            <w:right w:w="108" w:type="dxa"/>
          </w:tblCellMar>
        </w:tblPrEx>
        <w:trPr>
          <w:trHeight w:val="390" w:hRule="atLeast"/>
        </w:trPr>
        <w:tc>
          <w:tcPr>
            <w:tcW w:w="5000" w:type="pct"/>
            <w:gridSpan w:val="11"/>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5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5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8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5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5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8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2042"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5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35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548"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387"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396"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396"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521"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shd w:val="clear" w:color="auto" w:fill="auto"/>
          <w:tblCellMar>
            <w:top w:w="0" w:type="dxa"/>
            <w:left w:w="108" w:type="dxa"/>
            <w:bottom w:w="0" w:type="dxa"/>
            <w:right w:w="108" w:type="dxa"/>
          </w:tblCellMar>
        </w:tblPrEx>
        <w:trPr>
          <w:trHeight w:val="308" w:hRule="atLeast"/>
        </w:trPr>
        <w:tc>
          <w:tcPr>
            <w:tcW w:w="916"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126"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5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8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1"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6"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5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5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8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1"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6"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5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5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8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1"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2042"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5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48"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87"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9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9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2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shd w:val="clear" w:color="auto" w:fill="auto"/>
          <w:tblCellMar>
            <w:top w:w="0" w:type="dxa"/>
            <w:left w:w="108" w:type="dxa"/>
            <w:bottom w:w="0" w:type="dxa"/>
            <w:right w:w="108" w:type="dxa"/>
          </w:tblCellMar>
        </w:tblPrEx>
        <w:trPr>
          <w:trHeight w:val="308" w:hRule="atLeast"/>
        </w:trPr>
        <w:tc>
          <w:tcPr>
            <w:tcW w:w="2042"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3,757.26</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3,425.68</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331.58</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3,202.69</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2,871.12</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331.58</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888.17</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556.59</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331.58</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737.57</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405.99</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331.58</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2080107</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136.45</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136.45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城乡医疗救助</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67.00</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其他医疗救助支出</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c>
          <w:tcPr>
            <w:tcW w:w="35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rPr>
      </w:pPr>
    </w:p>
    <w:tbl>
      <w:tblPr>
        <w:tblStyle w:val="6"/>
        <w:tblW w:w="5000" w:type="pct"/>
        <w:tblInd w:w="0" w:type="dxa"/>
        <w:shd w:val="clear" w:color="auto" w:fill="auto"/>
        <w:tblLayout w:type="autofit"/>
        <w:tblCellMar>
          <w:top w:w="0" w:type="dxa"/>
          <w:left w:w="108" w:type="dxa"/>
          <w:bottom w:w="0" w:type="dxa"/>
          <w:right w:w="108" w:type="dxa"/>
        </w:tblCellMar>
      </w:tblPr>
      <w:tblGrid>
        <w:gridCol w:w="2416"/>
        <w:gridCol w:w="222"/>
        <w:gridCol w:w="224"/>
        <w:gridCol w:w="3516"/>
        <w:gridCol w:w="1433"/>
        <w:gridCol w:w="1711"/>
        <w:gridCol w:w="1483"/>
        <w:gridCol w:w="1483"/>
        <w:gridCol w:w="1483"/>
        <w:gridCol w:w="1643"/>
      </w:tblGrid>
      <w:tr>
        <w:tblPrEx>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5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6"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5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2042"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59"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548"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75"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475"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475"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22"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shd w:val="clear" w:color="auto" w:fill="auto"/>
          <w:tblCellMar>
            <w:top w:w="0" w:type="dxa"/>
            <w:left w:w="108" w:type="dxa"/>
            <w:bottom w:w="0" w:type="dxa"/>
            <w:right w:w="108" w:type="dxa"/>
          </w:tblCellMar>
        </w:tblPrEx>
        <w:trPr>
          <w:trHeight w:val="308" w:hRule="atLeast"/>
        </w:trPr>
        <w:tc>
          <w:tcPr>
            <w:tcW w:w="916"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126"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59"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6"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59"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6"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59"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90" w:hRule="atLeast"/>
        </w:trPr>
        <w:tc>
          <w:tcPr>
            <w:tcW w:w="2042"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5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8"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75"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75"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75"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2"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shd w:val="clear" w:color="auto" w:fill="auto"/>
          <w:tblCellMar>
            <w:top w:w="0" w:type="dxa"/>
            <w:left w:w="108" w:type="dxa"/>
            <w:bottom w:w="0" w:type="dxa"/>
            <w:right w:w="108" w:type="dxa"/>
          </w:tblCellMar>
        </w:tblPrEx>
        <w:trPr>
          <w:trHeight w:val="308" w:hRule="atLeast"/>
        </w:trPr>
        <w:tc>
          <w:tcPr>
            <w:tcW w:w="2042"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3,534.53</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702.38</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2,832.15</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2,979.97</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514.84</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2,465.13</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665.44</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514.84</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150.60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514.84</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514.84</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2080107</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136.45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136.45</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城乡医疗救助</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1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其他医疗救助支出</w:t>
            </w:r>
          </w:p>
        </w:tc>
        <w:tc>
          <w:tcPr>
            <w:tcW w:w="45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c>
          <w:tcPr>
            <w:tcW w:w="54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5000" w:type="pct"/>
        <w:tblInd w:w="0" w:type="dxa"/>
        <w:shd w:val="clear" w:color="auto" w:fill="auto"/>
        <w:tblLayout w:type="autofit"/>
        <w:tblCellMar>
          <w:top w:w="0" w:type="dxa"/>
          <w:left w:w="108" w:type="dxa"/>
          <w:bottom w:w="0" w:type="dxa"/>
          <w:right w:w="108" w:type="dxa"/>
        </w:tblCellMar>
      </w:tblPr>
      <w:tblGrid>
        <w:gridCol w:w="3076"/>
        <w:gridCol w:w="495"/>
        <w:gridCol w:w="1494"/>
        <w:gridCol w:w="3739"/>
        <w:gridCol w:w="495"/>
        <w:gridCol w:w="1485"/>
        <w:gridCol w:w="1485"/>
        <w:gridCol w:w="1507"/>
        <w:gridCol w:w="1616"/>
        <w:gridCol w:w="222"/>
      </w:tblGrid>
      <w:tr>
        <w:tblPrEx>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bookmarkStart w:id="0" w:name="RANGE_A1_I22"/>
            <w:bookmarkEnd w:id="0"/>
            <w:bookmarkStart w:id="1" w:name="RANGE_A1_F16"/>
            <w:r>
              <w:rPr>
                <w:rFonts w:hint="eastAsia" w:ascii="宋体" w:hAnsi="宋体" w:eastAsia="宋体" w:cs="宋体"/>
                <w:i w:val="0"/>
                <w:iCs w:val="0"/>
                <w:color w:val="000000"/>
                <w:kern w:val="0"/>
                <w:sz w:val="30"/>
                <w:szCs w:val="30"/>
                <w:u w:val="none"/>
                <w:lang w:val="en-US" w:eastAsia="zh-CN" w:bidi="ar"/>
              </w:rPr>
              <w:t>财政拨款收入支出决算总表</w:t>
            </w:r>
          </w:p>
        </w:tc>
      </w:tr>
      <w:tr>
        <w:tblPrEx>
          <w:shd w:val="clear" w:color="auto" w:fill="auto"/>
          <w:tblCellMar>
            <w:top w:w="0" w:type="dxa"/>
            <w:left w:w="108" w:type="dxa"/>
            <w:bottom w:w="0" w:type="dxa"/>
            <w:right w:w="108" w:type="dxa"/>
          </w:tblCellMar>
        </w:tblPrEx>
        <w:trPr>
          <w:trHeight w:val="255" w:hRule="atLeast"/>
        </w:trPr>
        <w:tc>
          <w:tcPr>
            <w:tcW w:w="9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09"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c>
          <w:tcPr>
            <w:tcW w:w="7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tblPrEx>
          <w:shd w:val="clear" w:color="auto" w:fill="auto"/>
          <w:tblCellMar>
            <w:top w:w="0" w:type="dxa"/>
            <w:left w:w="108" w:type="dxa"/>
            <w:bottom w:w="0" w:type="dxa"/>
            <w:right w:w="108" w:type="dxa"/>
          </w:tblCellMar>
        </w:tblPrEx>
        <w:trPr>
          <w:trHeight w:val="255" w:hRule="atLeast"/>
        </w:trPr>
        <w:tc>
          <w:tcPr>
            <w:tcW w:w="968"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6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7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09"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c>
          <w:tcPr>
            <w:tcW w:w="7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1612"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316" w:type="pct"/>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c>
          <w:tcPr>
            <w:tcW w:w="71" w:type="pc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292" w:hRule="atLeast"/>
        </w:trPr>
        <w:tc>
          <w:tcPr>
            <w:tcW w:w="968" w:type="pct"/>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2"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80"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201"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2"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79"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7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83"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50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c>
          <w:tcPr>
            <w:tcW w:w="7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615" w:hRule="atLeast"/>
        </w:trPr>
        <w:tc>
          <w:tcPr>
            <w:tcW w:w="968" w:type="pct"/>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8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01"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79"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7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83"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0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1" w:type="pct"/>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2"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8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2"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7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7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0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3,425.68</w:t>
            </w: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2,878.01</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2,878.01</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8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3,425.68</w:t>
            </w: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3,432.57</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3,432.57</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6.89</w:t>
            </w: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6.89</w:t>
            </w:r>
          </w:p>
        </w:tc>
        <w:tc>
          <w:tcPr>
            <w:tcW w:w="1201"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47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0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1"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1"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47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0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1"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1"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47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7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8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0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1"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6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62" w:type="pct"/>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3,432.57</w:t>
            </w:r>
          </w:p>
        </w:tc>
        <w:tc>
          <w:tcPr>
            <w:tcW w:w="12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6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3,432.57</w:t>
            </w:r>
          </w:p>
        </w:tc>
        <w:tc>
          <w:tcPr>
            <w:tcW w:w="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3,432.57</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0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308" w:hRule="atLeast"/>
        </w:trPr>
        <w:tc>
          <w:tcPr>
            <w:tcW w:w="4419"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509"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71"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kern w:val="0"/>
        </w:rPr>
      </w:pPr>
    </w:p>
    <w:tbl>
      <w:tblPr>
        <w:tblStyle w:val="6"/>
        <w:tblW w:w="4998" w:type="pct"/>
        <w:tblInd w:w="0" w:type="dxa"/>
        <w:shd w:val="clear" w:color="auto" w:fill="auto"/>
        <w:tblLayout w:type="autofit"/>
        <w:tblCellMar>
          <w:top w:w="0" w:type="dxa"/>
          <w:left w:w="108" w:type="dxa"/>
          <w:bottom w:w="0" w:type="dxa"/>
          <w:right w:w="108" w:type="dxa"/>
        </w:tblCellMar>
      </w:tblPr>
      <w:tblGrid>
        <w:gridCol w:w="2416"/>
        <w:gridCol w:w="222"/>
        <w:gridCol w:w="224"/>
        <w:gridCol w:w="3642"/>
        <w:gridCol w:w="4713"/>
        <w:gridCol w:w="2187"/>
        <w:gridCol w:w="2204"/>
      </w:tblGrid>
      <w:tr>
        <w:tblPrEx>
          <w:shd w:val="clear" w:color="auto" w:fill="auto"/>
          <w:tblCellMar>
            <w:top w:w="0" w:type="dxa"/>
            <w:left w:w="108" w:type="dxa"/>
            <w:bottom w:w="0" w:type="dxa"/>
            <w:right w:w="108" w:type="dxa"/>
          </w:tblCellMar>
        </w:tblPrEx>
        <w:trPr>
          <w:trHeight w:val="390" w:hRule="atLeast"/>
        </w:trPr>
        <w:tc>
          <w:tcPr>
            <w:tcW w:w="5000" w:type="pct"/>
            <w:gridSpan w:val="7"/>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1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0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0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1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0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0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2083"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916" w:type="pct"/>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shd w:val="clear" w:color="auto" w:fill="auto"/>
          <w:tblCellMar>
            <w:top w:w="0" w:type="dxa"/>
            <w:left w:w="108" w:type="dxa"/>
            <w:bottom w:w="0" w:type="dxa"/>
            <w:right w:w="108" w:type="dxa"/>
          </w:tblCellMar>
        </w:tblPrEx>
        <w:trPr>
          <w:trHeight w:val="308" w:hRule="atLeast"/>
        </w:trPr>
        <w:tc>
          <w:tcPr>
            <w:tcW w:w="916"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167"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10"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701"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704"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shd w:val="clear" w:color="auto" w:fill="auto"/>
          <w:tblCellMar>
            <w:top w:w="0" w:type="dxa"/>
            <w:left w:w="108" w:type="dxa"/>
            <w:bottom w:w="0" w:type="dxa"/>
            <w:right w:w="108" w:type="dxa"/>
          </w:tblCellMar>
        </w:tblPrEx>
        <w:trPr>
          <w:trHeight w:val="277"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67"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1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01"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04"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916"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67"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1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01"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04"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2083"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1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01"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0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shd w:val="clear" w:color="auto" w:fill="auto"/>
          <w:tblCellMar>
            <w:top w:w="0" w:type="dxa"/>
            <w:left w:w="108" w:type="dxa"/>
            <w:bottom w:w="0" w:type="dxa"/>
            <w:right w:w="108" w:type="dxa"/>
          </w:tblCellMar>
        </w:tblPrEx>
        <w:trPr>
          <w:trHeight w:val="308" w:hRule="atLeast"/>
        </w:trPr>
        <w:tc>
          <w:tcPr>
            <w:tcW w:w="2083"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3,432.57</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600.42</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2,832.15</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187.56</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187.54</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0.03</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2,878.01</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412.88</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2,465.13</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563.49</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412.88</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150.60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412.88</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412.88</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2080107</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136.45</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136.45</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2,014.15</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2089901</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300.37</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城乡医疗救助</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67.00</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67.00</w:t>
            </w:r>
          </w:p>
        </w:tc>
      </w:tr>
      <w:tr>
        <w:tblPrEx>
          <w:shd w:val="clear" w:color="auto" w:fill="auto"/>
          <w:tblCellMar>
            <w:top w:w="0" w:type="dxa"/>
            <w:left w:w="108" w:type="dxa"/>
            <w:bottom w:w="0" w:type="dxa"/>
            <w:right w:w="108" w:type="dxa"/>
          </w:tblCellMar>
        </w:tblPrEx>
        <w:trPr>
          <w:trHeight w:val="308" w:hRule="atLeast"/>
        </w:trPr>
        <w:tc>
          <w:tcPr>
            <w:tcW w:w="916"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1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其他医疗救助支出</w:t>
            </w:r>
          </w:p>
        </w:tc>
        <w:tc>
          <w:tcPr>
            <w:tcW w:w="151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c>
          <w:tcPr>
            <w:tcW w:w="70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0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tbl>
      <w:tblPr>
        <w:tblStyle w:val="6"/>
        <w:tblW w:w="85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3"/>
        <w:gridCol w:w="1796"/>
        <w:gridCol w:w="1623"/>
        <w:gridCol w:w="1623"/>
        <w:gridCol w:w="1675"/>
        <w:gridCol w:w="1501"/>
        <w:gridCol w:w="2048"/>
        <w:gridCol w:w="2405"/>
        <w:gridCol w:w="1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8796" w:type="dxa"/>
            <w:gridSpan w:val="9"/>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themeColor="text1"/>
                <w:sz w:val="30"/>
                <w:szCs w:val="30"/>
                <w:u w:val="none"/>
                <w14:textFill>
                  <w14:solidFill>
                    <w14:schemeClr w14:val="tx1"/>
                  </w14:solidFill>
                </w14:textFill>
              </w:rPr>
            </w:pPr>
            <w:r>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t>一般公共预算财政拨款基本支出决算表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1" w:hRule="atLeast"/>
        </w:trPr>
        <w:tc>
          <w:tcPr>
            <w:tcW w:w="1668" w:type="dxa"/>
            <w:tcBorders>
              <w:top w:val="nil"/>
              <w:left w:val="nil"/>
              <w:bottom w:val="nil"/>
              <w:right w:val="nil"/>
            </w:tcBorders>
            <w:shd w:val="clear" w:color="auto" w:fill="auto"/>
            <w:noWrap/>
            <w:vAlign w:val="bottom"/>
          </w:tcPr>
          <w:p>
            <w:pPr>
              <w:jc w:val="both"/>
              <w:rPr>
                <w:rFonts w:hint="eastAsia" w:ascii="Arial" w:hAnsi="Arial" w:cs="Arial"/>
                <w:i w:val="0"/>
                <w:iCs w:val="0"/>
                <w:color w:val="000000" w:themeColor="text1"/>
                <w:sz w:val="20"/>
                <w:szCs w:val="20"/>
                <w:u w:val="none"/>
                <w14:textFill>
                  <w14:solidFill>
                    <w14:schemeClr w14:val="tx1"/>
                  </w14:solidFill>
                </w14:textFill>
              </w:rPr>
            </w:pPr>
          </w:p>
        </w:tc>
        <w:tc>
          <w:tcPr>
            <w:tcW w:w="2164"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950"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950"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2014"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800"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2475"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2914"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86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6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部门：湘潭县医疗保障局</w:t>
            </w:r>
          </w:p>
        </w:tc>
        <w:tc>
          <w:tcPr>
            <w:tcW w:w="2164"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950"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950"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2014"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800"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2475"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2914" w:type="dxa"/>
            <w:tcBorders>
              <w:top w:val="nil"/>
              <w:left w:val="nil"/>
              <w:bottom w:val="nil"/>
              <w:right w:val="nil"/>
            </w:tcBorders>
            <w:shd w:val="clear" w:color="auto" w:fill="auto"/>
            <w:noWrap/>
            <w:vAlign w:val="bottom"/>
          </w:tcPr>
          <w:p>
            <w:pPr>
              <w:jc w:val="both"/>
              <w:rPr>
                <w:rFonts w:hint="default" w:ascii="Arial" w:hAnsi="Arial" w:cs="Arial"/>
                <w:i w:val="0"/>
                <w:iCs w:val="0"/>
                <w:color w:val="000000" w:themeColor="text1"/>
                <w:sz w:val="20"/>
                <w:szCs w:val="20"/>
                <w:u w:val="none"/>
                <w14:textFill>
                  <w14:solidFill>
                    <w14:schemeClr w14:val="tx1"/>
                  </w14:solidFill>
                </w14:textFill>
              </w:rPr>
            </w:pPr>
          </w:p>
        </w:tc>
        <w:tc>
          <w:tcPr>
            <w:tcW w:w="186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782" w:type="dxa"/>
            <w:gridSpan w:val="3"/>
            <w:tcBorders>
              <w:top w:val="single" w:color="000000" w:sz="8" w:space="0"/>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人员经费</w:t>
            </w:r>
          </w:p>
        </w:tc>
        <w:tc>
          <w:tcPr>
            <w:tcW w:w="13014" w:type="dxa"/>
            <w:gridSpan w:val="6"/>
            <w:tcBorders>
              <w:top w:val="single" w:color="000000" w:sz="8" w:space="0"/>
              <w:left w:val="nil"/>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vMerge w:val="restart"/>
            <w:tcBorders>
              <w:top w:val="nil"/>
              <w:left w:val="single" w:color="000000" w:sz="8" w:space="0"/>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科目编码</w:t>
            </w:r>
          </w:p>
        </w:tc>
        <w:tc>
          <w:tcPr>
            <w:tcW w:w="2164"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科目名称</w:t>
            </w:r>
          </w:p>
        </w:tc>
        <w:tc>
          <w:tcPr>
            <w:tcW w:w="1950"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决算数</w:t>
            </w:r>
          </w:p>
        </w:tc>
        <w:tc>
          <w:tcPr>
            <w:tcW w:w="1950"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科目编码</w:t>
            </w:r>
          </w:p>
        </w:tc>
        <w:tc>
          <w:tcPr>
            <w:tcW w:w="2014"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科目名称</w:t>
            </w:r>
          </w:p>
        </w:tc>
        <w:tc>
          <w:tcPr>
            <w:tcW w:w="1800"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决算数</w:t>
            </w:r>
          </w:p>
        </w:tc>
        <w:tc>
          <w:tcPr>
            <w:tcW w:w="2475"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科目编码</w:t>
            </w:r>
          </w:p>
        </w:tc>
        <w:tc>
          <w:tcPr>
            <w:tcW w:w="2914"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科目名称</w:t>
            </w:r>
          </w:p>
        </w:tc>
        <w:tc>
          <w:tcPr>
            <w:tcW w:w="1861" w:type="dxa"/>
            <w:vMerge w:val="restart"/>
            <w:tcBorders>
              <w:top w:val="nil"/>
              <w:left w:val="nil"/>
              <w:bottom w:val="single" w:color="000000" w:sz="8" w:space="0"/>
              <w:right w:val="single" w:color="000000" w:sz="8" w:space="0"/>
            </w:tcBorders>
            <w:shd w:val="clear" w:color="auto" w:fill="C0C0C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668" w:type="dxa"/>
            <w:vMerge w:val="continue"/>
            <w:tcBorders>
              <w:top w:val="nil"/>
              <w:left w:val="single" w:color="000000" w:sz="8" w:space="0"/>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64"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950"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950"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014"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800"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75"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914"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861" w:type="dxa"/>
            <w:vMerge w:val="continue"/>
            <w:tcBorders>
              <w:top w:val="nil"/>
              <w:left w:val="nil"/>
              <w:bottom w:val="single" w:color="000000" w:sz="8" w:space="0"/>
              <w:right w:val="single" w:color="000000" w:sz="8" w:space="0"/>
            </w:tcBorders>
            <w:shd w:val="clear" w:color="auto" w:fill="C0C0C0"/>
            <w:vAlign w:val="center"/>
          </w:tcPr>
          <w:p>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工资福利支出</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459.24</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商品和服务支出</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121.35</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债务利息及费用支出</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30101</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基本工资</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178.50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30201</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办公费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14.64</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30701</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国内债务付息</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30102</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津贴补贴</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5.53</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30202</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印刷费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10.86</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30702</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国外债务付息</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30103</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奖金</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61.32</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30203</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咨询费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2.00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资本性支出</w:t>
            </w:r>
          </w:p>
        </w:tc>
        <w:tc>
          <w:tcPr>
            <w:tcW w:w="186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30106</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伙食补助费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18.23</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30204</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手续费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31001</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房屋建筑物购建</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30107</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绩效工资</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62.46</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30205</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水费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0.99</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31002</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办公设备购置</w:t>
            </w:r>
          </w:p>
        </w:tc>
        <w:tc>
          <w:tcPr>
            <w:tcW w:w="186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30108</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机关事业单位基本养老保险缴费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35.42</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30206</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电费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31003</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专用设备购置</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30109</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职业年金缴费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0.65</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30207</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邮电费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31005</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基础设施建设</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30110</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职工基本医疗保险缴费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27.65</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30208</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取暖费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31006</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大型修缮</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30111</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公务员医疗补助缴费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30209</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物业管理费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31007</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信息网络及软件购置更新</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30112</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其他社会保障缴费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2.43</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30211</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差旅费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5.16</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31008</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物资储备</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30113</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住房公积金</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62.05</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30212</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因公出国（境）费用</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31009</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土地补偿</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30114</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医疗费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30213</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维修（护）费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6.95</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31010</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安置补助</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30199</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其他工资福利支出</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30214</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租赁费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0.47</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31011</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地上附着物和青苗补偿</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对个人和家庭的补助</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14.46</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30215</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会议费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0.8</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31012</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拆迁补偿</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30301</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离休费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30216</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培训费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4.5</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31013</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公务用车购置</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30302</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退休费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30217</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公务接待费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0.06</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31019</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其他交通工具购置</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30303</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退职（役）费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30218</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专用材料费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31021</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文物和陈列品购置</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30304</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抚恤金</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30224</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被装购置费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31022</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无形资产购置</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30305</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生活补助</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2.73</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30225</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专用燃料费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31099</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其他资本性支出</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30306</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救济费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30226</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劳务费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12.99</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其他支出</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30307</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医疗费补助</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11.73</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30227</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委托业务费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3.56</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39906</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赠与</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30308</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助学金</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30228</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工会经费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10.38</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39907</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国家赔偿费用支出</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30309</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奖励金</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30229</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福利费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1.17</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39908</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对民间非营利组织和群众性自治组织补贴</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30310</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个人农业生产补贴</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30231</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公务用车运行维护费</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39999</w:t>
            </w:r>
          </w:p>
        </w:tc>
        <w:tc>
          <w:tcPr>
            <w:tcW w:w="29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其他支出</w:t>
            </w:r>
          </w:p>
        </w:tc>
        <w:tc>
          <w:tcPr>
            <w:tcW w:w="1861" w:type="dxa"/>
            <w:tcBorders>
              <w:top w:val="nil"/>
              <w:left w:val="nil"/>
              <w:bottom w:val="single" w:color="000000" w:sz="8" w:space="0"/>
              <w:right w:val="single" w:color="000000" w:sz="8" w:space="0"/>
            </w:tcBorders>
            <w:shd w:val="clear" w:color="auto" w:fill="auto"/>
            <w:noWrap/>
            <w:vAlign w:val="center"/>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30311</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代缴社会保险费</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30239</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其他交通费用</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24.01</w:t>
            </w:r>
          </w:p>
        </w:tc>
        <w:tc>
          <w:tcPr>
            <w:tcW w:w="2475"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914"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861"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30399</w:t>
            </w:r>
          </w:p>
        </w:tc>
        <w:tc>
          <w:tcPr>
            <w:tcW w:w="216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其他对个人和家庭的补助</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30240</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税金及附加费用</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w:t>
            </w:r>
          </w:p>
        </w:tc>
        <w:tc>
          <w:tcPr>
            <w:tcW w:w="2475"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914"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861"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668" w:type="dxa"/>
            <w:tcBorders>
              <w:top w:val="nil"/>
              <w:left w:val="single" w:color="000000" w:sz="8" w:space="0"/>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164"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950"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950"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30299</w:t>
            </w:r>
          </w:p>
        </w:tc>
        <w:tc>
          <w:tcPr>
            <w:tcW w:w="2014" w:type="dxa"/>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其他商品和服务支出</w:t>
            </w:r>
          </w:p>
        </w:tc>
        <w:tc>
          <w:tcPr>
            <w:tcW w:w="180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22.81</w:t>
            </w:r>
          </w:p>
        </w:tc>
        <w:tc>
          <w:tcPr>
            <w:tcW w:w="2475"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914" w:type="dxa"/>
            <w:tcBorders>
              <w:top w:val="nil"/>
              <w:left w:val="nil"/>
              <w:bottom w:val="single" w:color="000000" w:sz="8" w:space="0"/>
              <w:right w:val="single" w:color="000000" w:sz="8" w:space="0"/>
            </w:tcBorders>
            <w:shd w:val="clear" w:color="auto" w:fill="C0C0C0"/>
            <w:noWrap/>
            <w:vAlign w:val="bottom"/>
          </w:tcPr>
          <w:p>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861" w:type="dxa"/>
            <w:tcBorders>
              <w:top w:val="nil"/>
              <w:left w:val="nil"/>
              <w:bottom w:val="single" w:color="000000" w:sz="8" w:space="0"/>
              <w:right w:val="single" w:color="000000" w:sz="8" w:space="0"/>
            </w:tcBorders>
            <w:shd w:val="clear" w:color="auto" w:fill="auto"/>
            <w:noWrap/>
            <w:vAlign w:val="bottom"/>
          </w:tcPr>
          <w:p>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832" w:type="dxa"/>
            <w:gridSpan w:val="2"/>
            <w:tcBorders>
              <w:top w:val="nil"/>
              <w:left w:val="single" w:color="000000" w:sz="8" w:space="0"/>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人员经费合计</w:t>
            </w:r>
          </w:p>
        </w:tc>
        <w:tc>
          <w:tcPr>
            <w:tcW w:w="195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473.7</w:t>
            </w:r>
          </w:p>
        </w:tc>
        <w:tc>
          <w:tcPr>
            <w:tcW w:w="11153" w:type="dxa"/>
            <w:gridSpan w:val="5"/>
            <w:tcBorders>
              <w:top w:val="nil"/>
              <w:left w:val="nil"/>
              <w:bottom w:val="single" w:color="000000" w:sz="8" w:space="0"/>
              <w:right w:val="single" w:color="000000" w:sz="8" w:space="0"/>
            </w:tcBorders>
            <w:shd w:val="clear" w:color="auto"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公用经费合计</w:t>
            </w:r>
          </w:p>
        </w:tc>
        <w:tc>
          <w:tcPr>
            <w:tcW w:w="1861"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126.72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96" w:type="dxa"/>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注：本表反映部门本年度一般公共预算财政拨款基本支出明细情况。</w:t>
            </w:r>
          </w:p>
        </w:tc>
      </w:tr>
    </w:tbl>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tbl>
      <w:tblPr>
        <w:tblStyle w:val="6"/>
        <w:tblW w:w="4999" w:type="pct"/>
        <w:tblInd w:w="0" w:type="dxa"/>
        <w:shd w:val="clear" w:color="auto" w:fill="auto"/>
        <w:tblLayout w:type="autofit"/>
        <w:tblCellMar>
          <w:top w:w="0" w:type="dxa"/>
          <w:left w:w="108" w:type="dxa"/>
          <w:bottom w:w="0" w:type="dxa"/>
          <w:right w:w="108" w:type="dxa"/>
        </w:tblCellMar>
      </w:tblPr>
      <w:tblGrid>
        <w:gridCol w:w="2416"/>
        <w:gridCol w:w="1151"/>
        <w:gridCol w:w="1151"/>
        <w:gridCol w:w="1152"/>
        <w:gridCol w:w="1165"/>
        <w:gridCol w:w="1177"/>
        <w:gridCol w:w="1152"/>
        <w:gridCol w:w="1152"/>
        <w:gridCol w:w="1152"/>
        <w:gridCol w:w="1152"/>
        <w:gridCol w:w="1171"/>
        <w:gridCol w:w="1620"/>
      </w:tblGrid>
      <w:tr>
        <w:tblPrEx>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2628" w:type="pct"/>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371" w:type="pct"/>
            <w:gridSpan w:val="6"/>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08" w:hRule="atLeast"/>
        </w:trPr>
        <w:tc>
          <w:tcPr>
            <w:tcW w:w="773" w:type="pct"/>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6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111" w:type="pct"/>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373"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36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69"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113" w:type="pct"/>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517"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tblCellMar>
            <w:top w:w="0" w:type="dxa"/>
            <w:left w:w="108" w:type="dxa"/>
            <w:bottom w:w="0" w:type="dxa"/>
            <w:right w:w="108" w:type="dxa"/>
          </w:tblCellMar>
        </w:tblPrEx>
        <w:trPr>
          <w:trHeight w:val="615" w:hRule="atLeast"/>
        </w:trPr>
        <w:tc>
          <w:tcPr>
            <w:tcW w:w="773" w:type="pct"/>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6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7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373"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6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69"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7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517"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773" w:type="pc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71"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7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6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7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17"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CellMar>
            <w:top w:w="0" w:type="dxa"/>
            <w:left w:w="108" w:type="dxa"/>
            <w:bottom w:w="0" w:type="dxa"/>
            <w:right w:w="108" w:type="dxa"/>
          </w:tblCellMar>
        </w:tblPrEx>
        <w:trPr>
          <w:trHeight w:val="308" w:hRule="atLeast"/>
        </w:trPr>
        <w:tc>
          <w:tcPr>
            <w:tcW w:w="77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r>
      <w:tr>
        <w:tblPrEx>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widowControl/>
        <w:jc w:val="left"/>
        <w:rPr>
          <w:rFonts w:ascii="宋体" w:cs="Times New Roman"/>
          <w:kern w:val="0"/>
          <w:sz w:val="24"/>
          <w:szCs w:val="24"/>
        </w:rPr>
      </w:pPr>
    </w:p>
    <w:p>
      <w:pPr>
        <w:autoSpaceDE w:val="0"/>
        <w:autoSpaceDN w:val="0"/>
        <w:adjustRightInd w:val="0"/>
        <w:ind w:left="480" w:leftChars="150"/>
        <w:jc w:val="left"/>
        <w:rPr>
          <w:rFonts w:ascii="宋体" w:cs="Times New Roman"/>
          <w:kern w:val="0"/>
          <w:sz w:val="24"/>
          <w:szCs w:val="24"/>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left"/>
        <w:rPr>
          <w:rFonts w:ascii="黑体" w:hAnsi="黑体" w:eastAsia="黑体" w:cs="Times New Roman"/>
        </w:rPr>
      </w:pPr>
    </w:p>
    <w:p>
      <w:pPr>
        <w:widowControl/>
        <w:jc w:val="left"/>
        <w:rPr>
          <w:rFonts w:ascii="黑体" w:hAnsi="黑体" w:eastAsia="黑体" w:cs="Times New Roman"/>
        </w:rPr>
      </w:pPr>
    </w:p>
    <w:tbl>
      <w:tblPr>
        <w:tblStyle w:val="6"/>
        <w:tblW w:w="5000" w:type="pct"/>
        <w:tblInd w:w="0" w:type="dxa"/>
        <w:shd w:val="clear" w:color="auto" w:fill="auto"/>
        <w:tblLayout w:type="autofit"/>
        <w:tblCellMar>
          <w:top w:w="0" w:type="dxa"/>
          <w:left w:w="108" w:type="dxa"/>
          <w:bottom w:w="0" w:type="dxa"/>
          <w:right w:w="108" w:type="dxa"/>
        </w:tblCellMar>
      </w:tblPr>
      <w:tblGrid>
        <w:gridCol w:w="3597"/>
        <w:gridCol w:w="328"/>
        <w:gridCol w:w="331"/>
        <w:gridCol w:w="1633"/>
        <w:gridCol w:w="1458"/>
        <w:gridCol w:w="1458"/>
        <w:gridCol w:w="1458"/>
        <w:gridCol w:w="1461"/>
        <w:gridCol w:w="1466"/>
        <w:gridCol w:w="2424"/>
      </w:tblGrid>
      <w:tr>
        <w:tblPrEx>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shd w:val="clear" w:color="auto" w:fill="auto"/>
          <w:tblCellMar>
            <w:top w:w="0" w:type="dxa"/>
            <w:left w:w="108" w:type="dxa"/>
            <w:bottom w:w="0" w:type="dxa"/>
            <w:right w:w="108" w:type="dxa"/>
          </w:tblCellMar>
        </w:tblPrEx>
        <w:trPr>
          <w:trHeight w:val="255" w:hRule="atLeast"/>
        </w:trPr>
        <w:tc>
          <w:tcPr>
            <w:tcW w:w="115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7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shd w:val="clear" w:color="auto" w:fill="auto"/>
          <w:tblCellMar>
            <w:top w:w="0" w:type="dxa"/>
            <w:left w:w="108" w:type="dxa"/>
            <w:bottom w:w="0" w:type="dxa"/>
            <w:right w:w="108" w:type="dxa"/>
          </w:tblCellMar>
        </w:tblPrEx>
        <w:trPr>
          <w:trHeight w:val="255" w:hRule="atLeast"/>
        </w:trPr>
        <w:tc>
          <w:tcPr>
            <w:tcW w:w="1152"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7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1886"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67"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467"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404" w:type="pct"/>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77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shd w:val="clear" w:color="auto" w:fill="auto"/>
          <w:tblCellMar>
            <w:top w:w="0" w:type="dxa"/>
            <w:left w:w="108" w:type="dxa"/>
            <w:bottom w:w="0" w:type="dxa"/>
            <w:right w:w="108" w:type="dxa"/>
          </w:tblCellMar>
        </w:tblPrEx>
        <w:trPr>
          <w:trHeight w:val="308" w:hRule="atLeast"/>
        </w:trPr>
        <w:tc>
          <w:tcPr>
            <w:tcW w:w="1363"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522"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7"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68"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68"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77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63"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7"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7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12" w:hRule="atLeast"/>
        </w:trPr>
        <w:tc>
          <w:tcPr>
            <w:tcW w:w="1363"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7"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8"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7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86"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6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6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6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6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6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7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shd w:val="clear" w:color="auto" w:fill="auto"/>
          <w:tblCellMar>
            <w:top w:w="0" w:type="dxa"/>
            <w:left w:w="108" w:type="dxa"/>
            <w:bottom w:w="0" w:type="dxa"/>
            <w:right w:w="108" w:type="dxa"/>
          </w:tblCellMar>
        </w:tblPrEx>
        <w:trPr>
          <w:trHeight w:val="308" w:hRule="atLeast"/>
        </w:trPr>
        <w:tc>
          <w:tcPr>
            <w:tcW w:w="1886"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363"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22"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6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widowControl/>
        <w:jc w:val="left"/>
        <w:rPr>
          <w:rFonts w:ascii="黑体" w:hAnsi="黑体" w:eastAsia="黑体" w:cs="Times New Roman"/>
        </w:rPr>
      </w:pPr>
      <w:r>
        <w:rPr>
          <w:rFonts w:ascii="黑体" w:hAnsi="黑体" w:eastAsia="黑体" w:cs="Times New Roman"/>
        </w:rPr>
        <w:br w:type="page"/>
      </w:r>
    </w:p>
    <w:tbl>
      <w:tblPr>
        <w:tblStyle w:val="6"/>
        <w:tblW w:w="5000" w:type="pct"/>
        <w:tblInd w:w="0" w:type="dxa"/>
        <w:tblLayout w:type="autofit"/>
        <w:tblCellMar>
          <w:top w:w="0" w:type="dxa"/>
          <w:left w:w="108" w:type="dxa"/>
          <w:bottom w:w="0" w:type="dxa"/>
          <w:right w:w="108" w:type="dxa"/>
        </w:tblCellMar>
      </w:tblPr>
      <w:tblGrid>
        <w:gridCol w:w="1165"/>
        <w:gridCol w:w="615"/>
        <w:gridCol w:w="1199"/>
        <w:gridCol w:w="2339"/>
        <w:gridCol w:w="1346"/>
        <w:gridCol w:w="1458"/>
        <w:gridCol w:w="1421"/>
        <w:gridCol w:w="1852"/>
        <w:gridCol w:w="4219"/>
      </w:tblGrid>
      <w:tr>
        <w:tblPrEx>
          <w:tblCellMar>
            <w:top w:w="0" w:type="dxa"/>
            <w:left w:w="108" w:type="dxa"/>
            <w:bottom w:w="0" w:type="dxa"/>
            <w:right w:w="108" w:type="dxa"/>
          </w:tblCellMar>
        </w:tblPrEx>
        <w:trPr>
          <w:trHeight w:val="720" w:hRule="atLeast"/>
        </w:trPr>
        <w:tc>
          <w:tcPr>
            <w:tcW w:w="5000" w:type="pct"/>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tblPrEx>
          <w:tblCellMar>
            <w:top w:w="0" w:type="dxa"/>
            <w:left w:w="108" w:type="dxa"/>
            <w:bottom w:w="0" w:type="dxa"/>
            <w:right w:w="108" w:type="dxa"/>
          </w:tblCellMar>
        </w:tblPrEx>
        <w:trPr>
          <w:trHeight w:val="387" w:hRule="atLeast"/>
        </w:trPr>
        <w:tc>
          <w:tcPr>
            <w:tcW w:w="373" w:type="pct"/>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7" w:type="pct"/>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132" w:type="pct"/>
            <w:gridSpan w:val="2"/>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431" w:type="pct"/>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922" w:type="pct"/>
            <w:gridSpan w:val="2"/>
            <w:tcBorders>
              <w:top w:val="nil"/>
              <w:left w:val="nil"/>
              <w:bottom w:val="nil"/>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42" w:type="pct"/>
            <w:gridSpan w:val="2"/>
            <w:tcBorders>
              <w:top w:val="nil"/>
              <w:left w:val="nil"/>
              <w:bottom w:val="nil"/>
              <w:right w:val="nil"/>
            </w:tcBorders>
            <w:shd w:val="clear" w:color="000000" w:fill="FFFFFF"/>
            <w:noWrap/>
            <w:vAlign w:val="center"/>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公开</w:t>
            </w:r>
            <w:r>
              <w:rPr>
                <w:rFonts w:hint="default" w:ascii="宋体" w:hAnsi="宋体" w:eastAsia="宋体" w:cs="宋体"/>
                <w:i w:val="0"/>
                <w:iCs w:val="0"/>
                <w:color w:val="000000"/>
                <w:kern w:val="0"/>
                <w:sz w:val="20"/>
                <w:szCs w:val="20"/>
                <w:u w:val="none"/>
                <w:lang w:val="en-US" w:eastAsia="zh-CN" w:bidi="ar"/>
              </w:rPr>
              <w:t>09</w:t>
            </w:r>
            <w:r>
              <w:rPr>
                <w:rFonts w:hint="eastAsia" w:ascii="宋体" w:hAnsi="宋体" w:eastAsia="宋体" w:cs="宋体"/>
                <w:i w:val="0"/>
                <w:iCs w:val="0"/>
                <w:color w:val="000000"/>
                <w:kern w:val="0"/>
                <w:sz w:val="20"/>
                <w:szCs w:val="20"/>
                <w:u w:val="none"/>
                <w:lang w:val="en-US" w:eastAsia="zh-CN" w:bidi="ar"/>
              </w:rPr>
              <w:t>表</w:t>
            </w:r>
          </w:p>
        </w:tc>
      </w:tr>
      <w:tr>
        <w:tblPrEx>
          <w:tblCellMar>
            <w:top w:w="0" w:type="dxa"/>
            <w:left w:w="108" w:type="dxa"/>
            <w:bottom w:w="0" w:type="dxa"/>
            <w:right w:w="108" w:type="dxa"/>
          </w:tblCellMar>
        </w:tblPrEx>
        <w:trPr>
          <w:trHeight w:val="411" w:hRule="atLeast"/>
        </w:trPr>
        <w:tc>
          <w:tcPr>
            <w:tcW w:w="1703" w:type="pct"/>
            <w:gridSpan w:val="4"/>
            <w:tcBorders>
              <w:top w:val="nil"/>
              <w:left w:val="nil"/>
              <w:bottom w:val="nil"/>
              <w:right w:val="nil"/>
            </w:tcBorders>
            <w:shd w:val="clear" w:color="000000" w:fill="FFFFFF"/>
            <w:noWrap/>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部门：湘潭县医疗保障局　　</w:t>
            </w:r>
          </w:p>
        </w:tc>
        <w:tc>
          <w:tcPr>
            <w:tcW w:w="431" w:type="pct"/>
            <w:tcBorders>
              <w:top w:val="nil"/>
              <w:left w:val="nil"/>
              <w:bottom w:val="single" w:color="auto" w:sz="8" w:space="0"/>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922" w:type="pct"/>
            <w:gridSpan w:val="2"/>
            <w:tcBorders>
              <w:top w:val="nil"/>
              <w:left w:val="nil"/>
              <w:bottom w:val="single" w:color="auto" w:sz="8" w:space="0"/>
              <w:right w:val="nil"/>
            </w:tcBorders>
            <w:shd w:val="clear" w:color="000000" w:fill="FFFFFF"/>
            <w:vAlign w:val="center"/>
          </w:tcPr>
          <w:p>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42" w:type="pct"/>
            <w:gridSpan w:val="2"/>
            <w:tcBorders>
              <w:top w:val="nil"/>
              <w:left w:val="nil"/>
              <w:bottom w:val="nil"/>
              <w:right w:val="nil"/>
            </w:tcBorders>
            <w:shd w:val="clear" w:color="000000" w:fill="FFFFFF"/>
            <w:noWrap/>
            <w:vAlign w:val="center"/>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c>
      </w:tr>
      <w:tr>
        <w:tblPrEx>
          <w:tblCellMar>
            <w:top w:w="0" w:type="dxa"/>
            <w:left w:w="108" w:type="dxa"/>
            <w:bottom w:w="0" w:type="dxa"/>
            <w:right w:w="108" w:type="dxa"/>
          </w:tblCellMar>
        </w:tblPrEx>
        <w:trPr>
          <w:trHeight w:val="402" w:hRule="atLeast"/>
        </w:trPr>
        <w:tc>
          <w:tcPr>
            <w:tcW w:w="1703" w:type="pct"/>
            <w:gridSpan w:val="4"/>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w:t>
            </w:r>
          </w:p>
        </w:tc>
        <w:tc>
          <w:tcPr>
            <w:tcW w:w="3296" w:type="pct"/>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本年支出</w:t>
            </w:r>
          </w:p>
        </w:tc>
      </w:tr>
      <w:tr>
        <w:tblPrEx>
          <w:tblCellMar>
            <w:top w:w="0" w:type="dxa"/>
            <w:left w:w="108" w:type="dxa"/>
            <w:bottom w:w="0" w:type="dxa"/>
            <w:right w:w="108" w:type="dxa"/>
          </w:tblCellMar>
        </w:tblPrEx>
        <w:trPr>
          <w:trHeight w:val="402" w:hRule="atLeast"/>
        </w:trPr>
        <w:tc>
          <w:tcPr>
            <w:tcW w:w="954" w:type="pct"/>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功能分类科目编码</w:t>
            </w:r>
          </w:p>
        </w:tc>
        <w:tc>
          <w:tcPr>
            <w:tcW w:w="749" w:type="pct"/>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科目名称</w:t>
            </w:r>
          </w:p>
        </w:tc>
        <w:tc>
          <w:tcPr>
            <w:tcW w:w="898" w:type="pct"/>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048" w:type="pct"/>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基本支出  </w:t>
            </w:r>
          </w:p>
        </w:tc>
        <w:tc>
          <w:tcPr>
            <w:tcW w:w="1349" w:type="pct"/>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项目支出</w:t>
            </w:r>
          </w:p>
        </w:tc>
      </w:tr>
      <w:tr>
        <w:tblPrEx>
          <w:tblCellMar>
            <w:top w:w="0" w:type="dxa"/>
            <w:left w:w="108" w:type="dxa"/>
            <w:bottom w:w="0" w:type="dxa"/>
            <w:right w:w="108" w:type="dxa"/>
          </w:tblCellMar>
        </w:tblPrEx>
        <w:trPr>
          <w:trHeight w:val="402" w:hRule="atLeast"/>
        </w:trPr>
        <w:tc>
          <w:tcPr>
            <w:tcW w:w="954" w:type="pct"/>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49" w:type="pct"/>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9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04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349" w:type="pct"/>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312" w:hRule="atLeast"/>
        </w:trPr>
        <w:tc>
          <w:tcPr>
            <w:tcW w:w="954" w:type="pct"/>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49" w:type="pct"/>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9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048" w:type="pct"/>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1349" w:type="pct"/>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1703" w:type="pct"/>
            <w:gridSpan w:val="4"/>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栏次</w:t>
            </w:r>
          </w:p>
        </w:tc>
        <w:tc>
          <w:tcPr>
            <w:tcW w:w="898" w:type="pct"/>
            <w:gridSpan w:val="2"/>
            <w:tcBorders>
              <w:top w:val="nil"/>
              <w:left w:val="nil"/>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048" w:type="pct"/>
            <w:gridSpan w:val="2"/>
            <w:tcBorders>
              <w:top w:val="nil"/>
              <w:left w:val="nil"/>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349" w:type="pct"/>
            <w:tcBorders>
              <w:top w:val="nil"/>
              <w:left w:val="nil"/>
              <w:bottom w:val="single" w:color="auto" w:sz="4" w:space="0"/>
              <w:right w:val="single" w:color="auto"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402" w:hRule="atLeast"/>
        </w:trPr>
        <w:tc>
          <w:tcPr>
            <w:tcW w:w="1703" w:type="pct"/>
            <w:gridSpan w:val="4"/>
            <w:tcBorders>
              <w:top w:val="nil"/>
              <w:left w:val="single" w:color="auto" w:sz="8" w:space="0"/>
              <w:bottom w:val="single" w:color="auto" w:sz="4" w:space="0"/>
              <w:right w:val="single" w:color="000000" w:sz="4" w:space="0"/>
            </w:tcBorders>
            <w:shd w:val="clear" w:color="auto" w:fill="BEBEBE" w:themeFill="background1" w:themeFillShade="B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898" w:type="pct"/>
            <w:gridSpan w:val="2"/>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048" w:type="pct"/>
            <w:gridSpan w:val="2"/>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349" w:type="pct"/>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5000" w:type="pct"/>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pPr>
        <w:pStyle w:val="10"/>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0"/>
        <w:jc w:val="center"/>
        <w:rPr>
          <w:rFonts w:cs="Times New Roman"/>
          <w:sz w:val="84"/>
          <w:szCs w:val="84"/>
        </w:rPr>
      </w:pPr>
    </w:p>
    <w:p>
      <w:pPr>
        <w:pStyle w:val="10"/>
        <w:jc w:val="center"/>
        <w:rPr>
          <w:sz w:val="84"/>
          <w:szCs w:val="84"/>
        </w:rPr>
      </w:pPr>
    </w:p>
    <w:p>
      <w:pPr>
        <w:pStyle w:val="10"/>
        <w:jc w:val="center"/>
        <w:rPr>
          <w:rFonts w:hint="eastAsia" w:ascii="宋体" w:hAnsi="宋体" w:eastAsia="宋体" w:cs="宋体"/>
          <w:sz w:val="84"/>
          <w:szCs w:val="84"/>
          <w:lang w:eastAsia="zh-CN"/>
        </w:rPr>
      </w:pPr>
    </w:p>
    <w:p>
      <w:pPr>
        <w:pStyle w:val="10"/>
        <w:tabs>
          <w:tab w:val="left" w:pos="2773"/>
        </w:tabs>
        <w:jc w:val="center"/>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第三部分</w:t>
      </w:r>
    </w:p>
    <w:p>
      <w:pPr>
        <w:pStyle w:val="10"/>
        <w:tabs>
          <w:tab w:val="left" w:pos="2773"/>
        </w:tabs>
        <w:jc w:val="center"/>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p>
    <w:p>
      <w:pPr>
        <w:pStyle w:val="10"/>
        <w:tabs>
          <w:tab w:val="left" w:pos="2773"/>
        </w:tabs>
        <w:jc w:val="center"/>
        <w:rPr>
          <w:rFonts w:hint="eastAsia" w:ascii="宋体" w:hAnsi="宋体" w:eastAsia="宋体" w:cs="宋体"/>
          <w:sz w:val="72"/>
          <w:szCs w:val="72"/>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2020年度部门决算情况说明</w:t>
      </w:r>
    </w:p>
    <w:p>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pPr>
        <w:pStyle w:val="10"/>
        <w:ind w:firstLine="632" w:firstLineChars="200"/>
        <w:rPr>
          <w:rFonts w:hAnsi="黑体" w:cs="Times New Roman"/>
          <w:b/>
          <w:bCs/>
          <w:sz w:val="32"/>
          <w:szCs w:val="32"/>
        </w:rPr>
      </w:pPr>
      <w:r>
        <w:rPr>
          <w:rFonts w:hint="eastAsia" w:hAnsi="黑体"/>
          <w:b w:val="0"/>
          <w:bCs w:val="0"/>
          <w:sz w:val="32"/>
          <w:szCs w:val="32"/>
        </w:rPr>
        <w:t>一、收入支出决算总体情况说明</w:t>
      </w:r>
    </w:p>
    <w:p>
      <w:pPr>
        <w:pStyle w:val="10"/>
        <w:ind w:firstLine="632" w:firstLineChars="200"/>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color w:val="auto"/>
          <w:kern w:val="0"/>
          <w:sz w:val="32"/>
          <w:szCs w:val="32"/>
          <w:lang w:val="en-US" w:eastAsia="zh-CN" w:bidi="ar-SA"/>
        </w:rPr>
        <w:t>2020年度收、支总计3764.15万元。与上年相比，增加0万元，增长0%，主要是因为我单位为2019年新成立单位，2019年无决算数据。</w:t>
      </w:r>
    </w:p>
    <w:p>
      <w:pPr>
        <w:pStyle w:val="10"/>
        <w:ind w:firstLine="632" w:firstLineChars="200"/>
        <w:rPr>
          <w:rFonts w:hAnsi="黑体" w:cs="Times New Roman"/>
          <w:b w:val="0"/>
          <w:bCs w:val="0"/>
          <w:sz w:val="32"/>
          <w:szCs w:val="32"/>
        </w:rPr>
      </w:pPr>
      <w:r>
        <w:rPr>
          <w:rFonts w:hint="eastAsia" w:hAnsi="黑体"/>
          <w:b w:val="0"/>
          <w:bCs w:val="0"/>
          <w:sz w:val="32"/>
          <w:szCs w:val="32"/>
        </w:rPr>
        <w:t>二、收入决算情况说明</w:t>
      </w:r>
    </w:p>
    <w:p>
      <w:pPr>
        <w:pStyle w:val="10"/>
        <w:ind w:firstLine="632" w:firstLineChars="200"/>
        <w:rPr>
          <w:rFonts w:hint="eastAsia" w:ascii="仿宋_GB2312" w:hAnsi="仿宋_GB2312" w:eastAsia="仿宋_GB2312" w:cs="仿宋_GB2312"/>
          <w:sz w:val="32"/>
          <w:szCs w:val="32"/>
        </w:rPr>
      </w:pPr>
      <w:r>
        <w:rPr>
          <w:rFonts w:hint="eastAsia" w:ascii="Times New Roman" w:hAnsi="Times New Roman" w:eastAsia="仿宋_GB2312" w:cs="Times New Roman"/>
          <w:color w:val="auto"/>
          <w:kern w:val="0"/>
          <w:sz w:val="32"/>
          <w:szCs w:val="32"/>
          <w:lang w:val="en-US" w:eastAsia="zh-CN" w:bidi="ar-SA"/>
        </w:rPr>
        <w:t>本年收入合计3757.26万元，其中：财政拨款收入3425.68万元，占91%；上级补助收入0万元，占0%；事业收</w:t>
      </w:r>
      <w:bookmarkStart w:id="2" w:name="_GoBack"/>
      <w:bookmarkEnd w:id="2"/>
      <w:r>
        <w:rPr>
          <w:rFonts w:hint="eastAsia" w:ascii="Times New Roman" w:hAnsi="Times New Roman" w:eastAsia="仿宋_GB2312" w:cs="Times New Roman"/>
          <w:color w:val="auto"/>
          <w:kern w:val="0"/>
          <w:sz w:val="32"/>
          <w:szCs w:val="32"/>
          <w:lang w:val="en-US" w:eastAsia="zh-CN" w:bidi="ar-SA"/>
        </w:rPr>
        <w:t>入0万元，占0%；经营收入0万元，占0%；附属单位上缴收入0万元，占0%；其他收入331.58万元，占9%。</w:t>
      </w:r>
    </w:p>
    <w:p>
      <w:pPr>
        <w:pStyle w:val="10"/>
        <w:ind w:firstLine="632" w:firstLineChars="200"/>
        <w:rPr>
          <w:rFonts w:hAnsi="黑体" w:cs="Times New Roman"/>
          <w:b w:val="0"/>
          <w:bCs w:val="0"/>
          <w:sz w:val="32"/>
          <w:szCs w:val="32"/>
        </w:rPr>
      </w:pPr>
      <w:r>
        <w:rPr>
          <w:rFonts w:hint="eastAsia" w:hAnsi="黑体"/>
          <w:b w:val="0"/>
          <w:bCs w:val="0"/>
          <w:sz w:val="32"/>
          <w:szCs w:val="32"/>
        </w:rPr>
        <w:t>三、支出决算情况说明</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本年支出合计3534.53万元，其中：基本支出702.38万元，占19.9%；项目支出2832.15万元，占80.1%；上缴上级支出0万元，占0%；经营支出0万元，占0%；对附属单位补助支出0万元，占0%。</w:t>
      </w:r>
    </w:p>
    <w:p>
      <w:pPr>
        <w:pStyle w:val="10"/>
        <w:ind w:firstLine="632" w:firstLineChars="200"/>
        <w:rPr>
          <w:rFonts w:hAnsi="黑体" w:cs="Times New Roman"/>
          <w:b w:val="0"/>
          <w:bCs w:val="0"/>
          <w:sz w:val="32"/>
          <w:szCs w:val="32"/>
        </w:rPr>
      </w:pPr>
      <w:r>
        <w:rPr>
          <w:rFonts w:hint="eastAsia" w:hAnsi="黑体"/>
          <w:b w:val="0"/>
          <w:bCs w:val="0"/>
          <w:sz w:val="32"/>
          <w:szCs w:val="32"/>
        </w:rPr>
        <w:t>四、财政拨款收入支出决算总体情况说明</w:t>
      </w:r>
    </w:p>
    <w:p>
      <w:pPr>
        <w:pStyle w:val="10"/>
        <w:ind w:firstLine="632" w:firstLineChars="200"/>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color w:val="auto"/>
          <w:kern w:val="0"/>
          <w:sz w:val="32"/>
          <w:szCs w:val="32"/>
          <w:lang w:val="en-US" w:eastAsia="zh-CN" w:bidi="ar-SA"/>
        </w:rPr>
        <w:t>2020年度财政拨款收、支总计3432.57万元，与上年相比，增加0万元,增长0%，主要是因为我单位为2019年新成立单位，2019</w:t>
      </w:r>
      <w:r>
        <w:rPr>
          <w:rFonts w:hint="eastAsia" w:ascii="仿宋_GB2312" w:hAnsi="仿宋_GB2312" w:eastAsia="仿宋_GB2312" w:cs="仿宋_GB2312"/>
          <w:sz w:val="32"/>
          <w:szCs w:val="32"/>
          <w:lang w:val="en-US" w:eastAsia="zh-CN"/>
        </w:rPr>
        <w:t>年无决算数据。</w:t>
      </w:r>
    </w:p>
    <w:p>
      <w:pPr>
        <w:pStyle w:val="10"/>
        <w:ind w:firstLine="632" w:firstLineChars="200"/>
        <w:rPr>
          <w:rFonts w:hAnsi="黑体" w:cs="Times New Roman"/>
          <w:b w:val="0"/>
          <w:bCs w:val="0"/>
          <w:sz w:val="32"/>
          <w:szCs w:val="32"/>
        </w:rPr>
      </w:pPr>
      <w:r>
        <w:rPr>
          <w:rFonts w:hint="eastAsia" w:hAnsi="黑体"/>
          <w:b w:val="0"/>
          <w:bCs w:val="0"/>
          <w:sz w:val="32"/>
          <w:szCs w:val="32"/>
        </w:rPr>
        <w:t>五、一般公共预算财政拨款支出决算情况说明</w:t>
      </w:r>
    </w:p>
    <w:p>
      <w:pPr>
        <w:pStyle w:val="10"/>
        <w:ind w:firstLine="632"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（一）财政拨款支出决算总体情况</w:t>
      </w:r>
    </w:p>
    <w:p>
      <w:pPr>
        <w:pStyle w:val="10"/>
        <w:ind w:firstLine="632" w:firstLineChars="200"/>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color w:val="auto"/>
          <w:kern w:val="0"/>
          <w:sz w:val="32"/>
          <w:szCs w:val="32"/>
          <w:lang w:val="en-US" w:eastAsia="zh-CN" w:bidi="ar-SA"/>
        </w:rPr>
        <w:t>2020年度财政拨款支出3432.57万元，占本年支出合计的97.1%，与上年相比，财政拨款支出增加0万元，增长0%，主要是因为我单位为2019年新成立单位，2019年无决算数据。</w:t>
      </w:r>
    </w:p>
    <w:p>
      <w:pPr>
        <w:pStyle w:val="10"/>
        <w:ind w:firstLine="632"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（二）财政拨款支出决算结构情况</w:t>
      </w:r>
    </w:p>
    <w:p>
      <w:pPr>
        <w:pStyle w:val="10"/>
        <w:ind w:firstLine="632" w:firstLineChars="200"/>
        <w:rPr>
          <w:rFonts w:hint="eastAsia" w:ascii="仿宋_GB2312" w:hAnsi="仿宋_GB2312" w:eastAsia="仿宋_GB2312" w:cs="仿宋_GB2312"/>
          <w:sz w:val="32"/>
          <w:szCs w:val="32"/>
          <w:lang w:eastAsia="zh-CN"/>
        </w:rPr>
      </w:pPr>
      <w:r>
        <w:rPr>
          <w:rFonts w:hint="eastAsia" w:ascii="Times New Roman" w:hAnsi="Times New Roman" w:eastAsia="仿宋_GB2312" w:cs="Times New Roman"/>
          <w:color w:val="auto"/>
          <w:kern w:val="0"/>
          <w:sz w:val="32"/>
          <w:szCs w:val="32"/>
          <w:lang w:val="en-US" w:eastAsia="zh-CN" w:bidi="ar-SA"/>
        </w:rPr>
        <w:t>2020年度财政拨款支出3432.57万元，主要用于以下方面：一般公共服务（类）支出187.56万元，占5.5%；社会保障和就业支出2878.01万元，占83.8%；卫生健康支出367万元，占10.7%。</w:t>
      </w:r>
    </w:p>
    <w:p>
      <w:pPr>
        <w:pStyle w:val="10"/>
        <w:ind w:firstLine="790" w:firstLineChars="250"/>
        <w:rPr>
          <w:rFonts w:hint="eastAsia" w:ascii="楷体" w:hAnsi="楷体" w:eastAsia="楷体" w:cs="楷体"/>
          <w:b w:val="0"/>
          <w:bCs w:val="0"/>
          <w:sz w:val="32"/>
          <w:szCs w:val="32"/>
        </w:rPr>
      </w:pPr>
      <w:r>
        <w:rPr>
          <w:rFonts w:hint="eastAsia" w:ascii="楷体" w:hAnsi="楷体" w:eastAsia="楷体" w:cs="楷体"/>
          <w:b w:val="0"/>
          <w:bCs w:val="0"/>
          <w:sz w:val="32"/>
          <w:szCs w:val="32"/>
        </w:rPr>
        <w:t>（三）财政拨款支出决算具体情况</w:t>
      </w:r>
    </w:p>
    <w:p>
      <w:pPr>
        <w:pStyle w:val="10"/>
        <w:ind w:firstLine="790" w:firstLineChars="250"/>
        <w:rPr>
          <w:rFonts w:hint="eastAsia" w:ascii="仿宋_GB2312" w:hAnsi="仿宋_GB2312" w:eastAsia="仿宋_GB2312" w:cs="仿宋_GB2312"/>
          <w:sz w:val="32"/>
          <w:szCs w:val="32"/>
        </w:rPr>
      </w:pPr>
      <w:r>
        <w:rPr>
          <w:rFonts w:hint="eastAsia" w:ascii="Times New Roman" w:hAnsi="Times New Roman" w:eastAsia="仿宋_GB2312" w:cs="Times New Roman"/>
          <w:color w:val="auto"/>
          <w:kern w:val="0"/>
          <w:sz w:val="32"/>
          <w:szCs w:val="32"/>
          <w:lang w:val="en-US" w:eastAsia="zh-CN" w:bidi="ar-SA"/>
        </w:rPr>
        <w:t>2020年度财政拨款支出年初预算数为763.74万元，支出决算数为3432.57万元，完成年初预算的449.4%</w:t>
      </w:r>
      <w:r>
        <w:rPr>
          <w:rFonts w:hint="eastAsia" w:ascii="仿宋_GB2312" w:hAnsi="仿宋_GB2312" w:eastAsia="仿宋_GB2312" w:cs="仿宋_GB2312"/>
          <w:sz w:val="32"/>
          <w:szCs w:val="32"/>
        </w:rPr>
        <w:t>，其中：</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1、一般公共服务</w:t>
      </w:r>
      <w:r>
        <w:rPr>
          <w:rFonts w:hint="eastAsia" w:ascii="仿宋_GB2312" w:hAnsi="仿宋_GB2312" w:eastAsia="仿宋_GB2312" w:cs="仿宋_GB2312"/>
          <w:sz w:val="32"/>
          <w:szCs w:val="32"/>
          <w:lang w:eastAsia="zh-CN"/>
        </w:rPr>
        <w:t>支出（类）政府办公厅（室）及相关机构事务（款）行政运行（项）</w:t>
      </w:r>
      <w:r>
        <w:rPr>
          <w:rFonts w:hint="eastAsia" w:ascii="仿宋_GB2312" w:hAnsi="仿宋_GB2312" w:eastAsia="仿宋_GB2312" w:cs="仿宋_GB2312"/>
          <w:sz w:val="32"/>
          <w:szCs w:val="32"/>
        </w:rPr>
        <w:t>。</w:t>
      </w:r>
    </w:p>
    <w:p>
      <w:pPr>
        <w:pStyle w:val="10"/>
        <w:ind w:firstLine="79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Times New Roman" w:hAnsi="Times New Roman" w:eastAsia="仿宋_GB2312" w:cs="Times New Roman"/>
          <w:color w:val="auto"/>
          <w:kern w:val="0"/>
          <w:sz w:val="32"/>
          <w:szCs w:val="32"/>
          <w:lang w:val="en-US" w:eastAsia="zh-CN" w:bidi="ar-SA"/>
        </w:rPr>
        <w:t>187.54万元，支出决算为187.54万元，完成年初预算的100%。</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2、一般公共服务</w:t>
      </w:r>
      <w:r>
        <w:rPr>
          <w:rFonts w:hint="eastAsia" w:ascii="仿宋_GB2312" w:hAnsi="仿宋_GB2312" w:eastAsia="仿宋_GB2312" w:cs="仿宋_GB2312"/>
          <w:sz w:val="32"/>
          <w:szCs w:val="32"/>
          <w:lang w:eastAsia="zh-CN"/>
        </w:rPr>
        <w:t>支出（类）政府办公厅（室）及相关机构事务（款）一般行政管理事务（项）</w:t>
      </w:r>
      <w:r>
        <w:rPr>
          <w:rFonts w:hint="eastAsia" w:ascii="仿宋_GB2312" w:hAnsi="仿宋_GB2312" w:eastAsia="仿宋_GB2312" w:cs="仿宋_GB2312"/>
          <w:sz w:val="32"/>
          <w:szCs w:val="32"/>
        </w:rPr>
        <w:t>。</w:t>
      </w:r>
    </w:p>
    <w:p>
      <w:pPr>
        <w:pStyle w:val="10"/>
        <w:ind w:firstLine="790" w:firstLineChars="250"/>
        <w:rPr>
          <w:rFonts w:hint="eastAsia" w:ascii="Times New Roman" w:hAnsi="Times New Roman" w:eastAsia="仿宋_GB2312" w:cs="Times New Roman"/>
          <w:color w:val="auto"/>
          <w:kern w:val="0"/>
          <w:sz w:val="32"/>
          <w:szCs w:val="32"/>
          <w:lang w:val="en-US" w:eastAsia="zh-CN" w:bidi="ar-SA"/>
        </w:rPr>
      </w:pPr>
      <w:r>
        <w:rPr>
          <w:rFonts w:hint="eastAsia" w:ascii="仿宋_GB2312" w:hAnsi="仿宋_GB2312" w:eastAsia="仿宋_GB2312" w:cs="仿宋_GB2312"/>
          <w:sz w:val="32"/>
          <w:szCs w:val="32"/>
        </w:rPr>
        <w:t>年初预算</w:t>
      </w:r>
      <w:r>
        <w:rPr>
          <w:rFonts w:hint="eastAsia" w:ascii="Times New Roman" w:hAnsi="Times New Roman" w:eastAsia="仿宋_GB2312" w:cs="Times New Roman"/>
          <w:color w:val="auto"/>
          <w:kern w:val="0"/>
          <w:sz w:val="32"/>
          <w:szCs w:val="32"/>
          <w:lang w:val="en-US" w:eastAsia="zh-CN" w:bidi="ar-SA"/>
        </w:rPr>
        <w:t>为0.03万元，支出决算为0.03万元，完成年初预算的100%。</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社会保障和就业支出（类）人力资源和社会保障管理事务（款）行政运行（项）</w:t>
      </w:r>
      <w:r>
        <w:rPr>
          <w:rFonts w:hint="eastAsia" w:ascii="仿宋_GB2312" w:hAnsi="仿宋_GB2312" w:eastAsia="仿宋_GB2312" w:cs="仿宋_GB2312"/>
          <w:sz w:val="32"/>
          <w:szCs w:val="32"/>
        </w:rPr>
        <w:t>。</w:t>
      </w:r>
    </w:p>
    <w:p>
      <w:pPr>
        <w:pStyle w:val="10"/>
        <w:ind w:firstLine="79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w:t>
      </w:r>
      <w:r>
        <w:rPr>
          <w:rFonts w:hint="eastAsia" w:ascii="Times New Roman" w:hAnsi="Times New Roman" w:eastAsia="仿宋_GB2312" w:cs="Times New Roman"/>
          <w:color w:val="auto"/>
          <w:kern w:val="0"/>
          <w:sz w:val="32"/>
          <w:szCs w:val="32"/>
          <w:lang w:val="en-US" w:eastAsia="zh-CN" w:bidi="ar-SA"/>
        </w:rPr>
        <w:t>为393.05万元，支出决算为514.84万元，完成年初预算的130.99%，</w:t>
      </w:r>
      <w:r>
        <w:rPr>
          <w:rFonts w:hint="eastAsia" w:ascii="仿宋_GB2312" w:hAnsi="仿宋_GB2312" w:eastAsia="仿宋_GB2312" w:cs="仿宋_GB2312"/>
          <w:sz w:val="32"/>
          <w:szCs w:val="32"/>
        </w:rPr>
        <w:t>决算数大于年初预算数的主要原因是：</w:t>
      </w:r>
      <w:r>
        <w:rPr>
          <w:rFonts w:hint="eastAsia" w:ascii="仿宋_GB2312" w:hAnsi="仿宋_GB2312" w:eastAsia="仿宋_GB2312" w:cs="仿宋_GB2312"/>
          <w:sz w:val="32"/>
          <w:szCs w:val="32"/>
          <w:lang w:eastAsia="zh-CN"/>
        </w:rPr>
        <w:t>年中追加预算。</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社会保障和就业支出（类）人力资源和社会保障管理事务（款）一般行政管理事务（项）</w:t>
      </w:r>
      <w:r>
        <w:rPr>
          <w:rFonts w:hint="eastAsia" w:ascii="仿宋_GB2312" w:hAnsi="仿宋_GB2312" w:eastAsia="仿宋_GB2312" w:cs="仿宋_GB2312"/>
          <w:sz w:val="32"/>
          <w:szCs w:val="32"/>
        </w:rPr>
        <w:t>。</w:t>
      </w:r>
    </w:p>
    <w:p>
      <w:pPr>
        <w:pStyle w:val="10"/>
        <w:ind w:firstLine="790" w:firstLineChars="250"/>
        <w:rPr>
          <w:rFonts w:hint="eastAsia" w:ascii="Times New Roman" w:hAnsi="Times New Roman" w:eastAsia="仿宋_GB2312" w:cs="Times New Roman"/>
          <w:color w:val="auto"/>
          <w:kern w:val="0"/>
          <w:sz w:val="32"/>
          <w:szCs w:val="32"/>
          <w:lang w:val="en-US" w:eastAsia="zh-CN" w:bidi="ar-SA"/>
        </w:rPr>
      </w:pPr>
      <w:r>
        <w:rPr>
          <w:rFonts w:hint="eastAsia" w:ascii="仿宋_GB2312" w:hAnsi="仿宋_GB2312" w:eastAsia="仿宋_GB2312" w:cs="仿宋_GB2312"/>
          <w:sz w:val="32"/>
          <w:szCs w:val="32"/>
        </w:rPr>
        <w:t>年初预算为</w:t>
      </w:r>
      <w:r>
        <w:rPr>
          <w:rFonts w:hint="eastAsia" w:ascii="Times New Roman" w:hAnsi="Times New Roman" w:eastAsia="仿宋_GB2312" w:cs="Times New Roman"/>
          <w:color w:val="auto"/>
          <w:kern w:val="0"/>
          <w:sz w:val="32"/>
          <w:szCs w:val="32"/>
          <w:lang w:val="en-US" w:eastAsia="zh-CN" w:bidi="ar-SA"/>
        </w:rPr>
        <w:t>14.15万元，支出决算为14.15万元，完成年初预算的100%。</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社会保障和就业支出（类）人力资源和社会保障管理事务（款）社会保险业务管理事务（项）</w:t>
      </w:r>
      <w:r>
        <w:rPr>
          <w:rFonts w:hint="eastAsia" w:ascii="仿宋_GB2312" w:hAnsi="仿宋_GB2312" w:eastAsia="仿宋_GB2312" w:cs="仿宋_GB2312"/>
          <w:sz w:val="32"/>
          <w:szCs w:val="32"/>
        </w:rPr>
        <w:t>。</w:t>
      </w:r>
    </w:p>
    <w:p>
      <w:pPr>
        <w:pStyle w:val="10"/>
        <w:ind w:firstLine="79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Times New Roman" w:hAnsi="Times New Roman" w:eastAsia="仿宋_GB2312" w:cs="Times New Roman"/>
          <w:color w:val="auto"/>
          <w:kern w:val="0"/>
          <w:sz w:val="32"/>
          <w:szCs w:val="32"/>
          <w:lang w:val="en-US" w:eastAsia="zh-CN" w:bidi="ar-SA"/>
        </w:rPr>
        <w:t>169.08万元，支出决算为136.45万元，完成年初预算的80.70%，决算数小于年初预算数的主要原因是：财政紧张，部分资金2020年度</w:t>
      </w:r>
      <w:r>
        <w:rPr>
          <w:rFonts w:hint="eastAsia" w:ascii="仿宋_GB2312" w:hAnsi="仿宋_GB2312" w:eastAsia="仿宋_GB2312" w:cs="仿宋_GB2312"/>
          <w:sz w:val="32"/>
          <w:szCs w:val="32"/>
          <w:lang w:val="en-US" w:eastAsia="zh-CN"/>
        </w:rPr>
        <w:t>未支付到位。</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社会保障和就业支出（类）财政对其他社会保险基金的补助（款）其他财政对社会保险基金的补助（项）</w:t>
      </w:r>
      <w:r>
        <w:rPr>
          <w:rFonts w:hint="eastAsia" w:ascii="仿宋_GB2312" w:hAnsi="仿宋_GB2312" w:eastAsia="仿宋_GB2312" w:cs="仿宋_GB2312"/>
          <w:sz w:val="32"/>
          <w:szCs w:val="32"/>
        </w:rPr>
        <w:t>。</w:t>
      </w:r>
    </w:p>
    <w:p>
      <w:pPr>
        <w:pStyle w:val="10"/>
        <w:ind w:firstLine="79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Times New Roman" w:hAnsi="Times New Roman" w:eastAsia="仿宋_GB2312" w:cs="Times New Roman"/>
          <w:color w:val="auto"/>
          <w:kern w:val="0"/>
          <w:sz w:val="32"/>
          <w:szCs w:val="32"/>
          <w:lang w:val="en-US" w:eastAsia="zh-CN" w:bidi="ar-SA"/>
        </w:rPr>
        <w:t>0万元，支出决算为2014.15万元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决算数大于年初预算数的主要原因是：</w:t>
      </w:r>
      <w:r>
        <w:rPr>
          <w:rFonts w:hint="eastAsia" w:ascii="仿宋_GB2312" w:hAnsi="仿宋_GB2312" w:eastAsia="仿宋_GB2312" w:cs="仿宋_GB2312"/>
          <w:sz w:val="32"/>
          <w:szCs w:val="32"/>
          <w:lang w:eastAsia="zh-CN"/>
        </w:rPr>
        <w:t>年中追加预算。</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社会保障和就业支出（类）其他社会保障和就业支出（款）其他社会保障和就业支出（项）</w:t>
      </w:r>
      <w:r>
        <w:rPr>
          <w:rFonts w:hint="eastAsia" w:ascii="仿宋_GB2312" w:hAnsi="仿宋_GB2312" w:eastAsia="仿宋_GB2312" w:cs="仿宋_GB2312"/>
          <w:sz w:val="32"/>
          <w:szCs w:val="32"/>
        </w:rPr>
        <w:t>。</w:t>
      </w:r>
    </w:p>
    <w:p>
      <w:pPr>
        <w:pStyle w:val="10"/>
        <w:ind w:firstLine="79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w:t>
      </w:r>
      <w:r>
        <w:rPr>
          <w:rFonts w:hint="eastAsia" w:ascii="Times New Roman" w:hAnsi="Times New Roman" w:eastAsia="仿宋_GB2312" w:cs="Times New Roman"/>
          <w:color w:val="auto"/>
          <w:kern w:val="0"/>
          <w:sz w:val="32"/>
          <w:szCs w:val="32"/>
          <w:lang w:val="en-US" w:eastAsia="zh-CN" w:bidi="ar-SA"/>
        </w:rPr>
        <w:t>为0万元，支出决算为300.37</w:t>
      </w:r>
      <w:r>
        <w:rPr>
          <w:rFonts w:hint="eastAsia" w:ascii="仿宋_GB2312" w:hAnsi="仿宋_GB2312" w:eastAsia="仿宋_GB2312" w:cs="仿宋_GB2312"/>
          <w:sz w:val="32"/>
          <w:szCs w:val="32"/>
        </w:rPr>
        <w:t>万元，决算数大于年初预算数的主要原因是：</w:t>
      </w:r>
      <w:r>
        <w:rPr>
          <w:rFonts w:hint="eastAsia" w:ascii="仿宋_GB2312" w:hAnsi="仿宋_GB2312" w:eastAsia="仿宋_GB2312" w:cs="仿宋_GB2312"/>
          <w:sz w:val="32"/>
          <w:szCs w:val="32"/>
          <w:lang w:eastAsia="zh-CN"/>
        </w:rPr>
        <w:t>年中追加预算。</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卫生健康支出（类）医疗救助（款）城乡医疗救助（项）</w:t>
      </w:r>
      <w:r>
        <w:rPr>
          <w:rFonts w:hint="eastAsia" w:ascii="仿宋_GB2312" w:hAnsi="仿宋_GB2312" w:eastAsia="仿宋_GB2312" w:cs="仿宋_GB2312"/>
          <w:sz w:val="32"/>
          <w:szCs w:val="32"/>
        </w:rPr>
        <w:t>。</w:t>
      </w:r>
    </w:p>
    <w:p>
      <w:pPr>
        <w:pStyle w:val="10"/>
        <w:ind w:firstLine="79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Times New Roman" w:hAnsi="Times New Roman" w:eastAsia="仿宋_GB2312" w:cs="Times New Roman"/>
          <w:color w:val="auto"/>
          <w:kern w:val="0"/>
          <w:sz w:val="32"/>
          <w:szCs w:val="32"/>
          <w:lang w:val="en-US" w:eastAsia="zh-CN" w:bidi="ar-SA"/>
        </w:rPr>
        <w:t>0万元，支出决算为67</w:t>
      </w:r>
      <w:r>
        <w:rPr>
          <w:rFonts w:hint="eastAsia" w:ascii="仿宋_GB2312" w:hAnsi="仿宋_GB2312" w:eastAsia="仿宋_GB2312" w:cs="仿宋_GB2312"/>
          <w:sz w:val="32"/>
          <w:szCs w:val="32"/>
        </w:rPr>
        <w:t>万元，决算数大于年初预算数的主要原因是：</w:t>
      </w:r>
      <w:r>
        <w:rPr>
          <w:rFonts w:hint="eastAsia" w:ascii="仿宋_GB2312" w:hAnsi="仿宋_GB2312" w:eastAsia="仿宋_GB2312" w:cs="仿宋_GB2312"/>
          <w:sz w:val="32"/>
          <w:szCs w:val="32"/>
          <w:lang w:eastAsia="zh-CN"/>
        </w:rPr>
        <w:t>年中追加预算。</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卫生健康支出（类）医疗救助（款）其他医疗救助（项）</w:t>
      </w:r>
      <w:r>
        <w:rPr>
          <w:rFonts w:hint="eastAsia" w:ascii="仿宋_GB2312" w:hAnsi="仿宋_GB2312" w:eastAsia="仿宋_GB2312" w:cs="仿宋_GB2312"/>
          <w:sz w:val="32"/>
          <w:szCs w:val="32"/>
        </w:rPr>
        <w:t>。</w:t>
      </w:r>
    </w:p>
    <w:p>
      <w:pPr>
        <w:pStyle w:val="10"/>
        <w:ind w:firstLine="790" w:firstLineChars="25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Times New Roman" w:hAnsi="Times New Roman" w:eastAsia="仿宋_GB2312" w:cs="Times New Roman"/>
          <w:color w:val="auto"/>
          <w:kern w:val="0"/>
          <w:sz w:val="32"/>
          <w:szCs w:val="32"/>
          <w:lang w:val="en-US" w:eastAsia="zh-CN" w:bidi="ar-SA"/>
        </w:rPr>
        <w:t>0万元，支出决算为300万</w:t>
      </w:r>
      <w:r>
        <w:rPr>
          <w:rFonts w:hint="eastAsia" w:ascii="仿宋_GB2312" w:hAnsi="仿宋_GB2312" w:eastAsia="仿宋_GB2312" w:cs="仿宋_GB2312"/>
          <w:sz w:val="32"/>
          <w:szCs w:val="32"/>
        </w:rPr>
        <w:t>元，决算数大于年初预算数的主要原因是：</w:t>
      </w:r>
      <w:r>
        <w:rPr>
          <w:rFonts w:hint="eastAsia" w:ascii="仿宋_GB2312" w:hAnsi="仿宋_GB2312" w:eastAsia="仿宋_GB2312" w:cs="仿宋_GB2312"/>
          <w:sz w:val="32"/>
          <w:szCs w:val="32"/>
          <w:lang w:eastAsia="zh-CN"/>
        </w:rPr>
        <w:t>年中追加预算。</w:t>
      </w:r>
    </w:p>
    <w:p>
      <w:pPr>
        <w:pStyle w:val="10"/>
        <w:ind w:firstLine="632" w:firstLineChars="200"/>
        <w:rPr>
          <w:rFonts w:hAnsi="黑体" w:cs="Times New Roman"/>
          <w:b w:val="0"/>
          <w:bCs w:val="0"/>
          <w:sz w:val="32"/>
          <w:szCs w:val="32"/>
        </w:rPr>
      </w:pPr>
      <w:r>
        <w:rPr>
          <w:rFonts w:hint="eastAsia" w:hAnsi="黑体"/>
          <w:b w:val="0"/>
          <w:bCs w:val="0"/>
          <w:sz w:val="32"/>
          <w:szCs w:val="32"/>
        </w:rPr>
        <w:t>六、一般公共预算财政拨款基本支出决算情况说明</w:t>
      </w:r>
    </w:p>
    <w:p>
      <w:pPr>
        <w:pStyle w:val="10"/>
        <w:ind w:firstLine="632" w:firstLineChars="200"/>
        <w:rPr>
          <w:rFonts w:hint="eastAsia" w:ascii="仿宋_GB2312" w:hAnsi="仿宋_GB2312" w:eastAsia="仿宋_GB2312" w:cs="仿宋_GB2312"/>
          <w:sz w:val="32"/>
          <w:szCs w:val="32"/>
        </w:rPr>
      </w:pPr>
      <w:r>
        <w:rPr>
          <w:rFonts w:hint="eastAsia" w:ascii="Times New Roman" w:hAnsi="Times New Roman" w:eastAsia="仿宋_GB2312" w:cs="Times New Roman"/>
          <w:color w:val="auto"/>
          <w:kern w:val="0"/>
          <w:sz w:val="32"/>
          <w:szCs w:val="32"/>
          <w:lang w:val="en-US" w:eastAsia="zh-CN" w:bidi="ar-SA"/>
        </w:rPr>
        <w:t>2020年度财政拨款基本支出600.42万元，其中：人员经费473.7万元，占基本支出的78.89%,主要包括基本工资、津贴补贴、奖金、伙食补助费、绩效工资、机关事业单位基本养老保险缴费、职业年金缴费、职工基本医疗保险缴费、住房公积金、其他社会保障缴费、其他工资福利支出、生活补助、奖励金等；公用经费126.72万元，占基本支出的21.11%，</w:t>
      </w:r>
      <w:r>
        <w:rPr>
          <w:rFonts w:hint="eastAsia" w:ascii="仿宋_GB2312" w:hAnsi="仿宋_GB2312" w:eastAsia="仿宋_GB2312" w:cs="仿宋_GB2312"/>
          <w:sz w:val="32"/>
          <w:szCs w:val="32"/>
        </w:rPr>
        <w:t>主要包括办公费、印刷费、咨询费、</w:t>
      </w:r>
      <w:r>
        <w:rPr>
          <w:rFonts w:hint="eastAsia" w:ascii="仿宋_GB2312" w:hAnsi="仿宋_GB2312" w:eastAsia="仿宋_GB2312" w:cs="仿宋_GB2312"/>
          <w:sz w:val="32"/>
          <w:szCs w:val="32"/>
          <w:lang w:eastAsia="zh-CN"/>
        </w:rPr>
        <w:t>收费、差旅费、维修费、租赁费、公务接待费、劳务费、委托业务费、公会经费、福利费、其他交通费用、其他商品和服务支出等</w:t>
      </w:r>
      <w:r>
        <w:rPr>
          <w:rFonts w:hint="eastAsia" w:ascii="仿宋_GB2312" w:hAnsi="仿宋_GB2312" w:eastAsia="仿宋_GB2312" w:cs="仿宋_GB2312"/>
          <w:sz w:val="32"/>
          <w:szCs w:val="32"/>
        </w:rPr>
        <w:t>。</w:t>
      </w:r>
    </w:p>
    <w:p>
      <w:pPr>
        <w:pStyle w:val="10"/>
        <w:ind w:firstLine="632" w:firstLineChars="200"/>
        <w:rPr>
          <w:rFonts w:hAnsi="黑体" w:cs="Times New Roman"/>
          <w:b w:val="0"/>
          <w:bCs w:val="0"/>
          <w:sz w:val="32"/>
          <w:szCs w:val="32"/>
        </w:rPr>
      </w:pPr>
      <w:r>
        <w:rPr>
          <w:rFonts w:hint="eastAsia" w:hAnsi="黑体"/>
          <w:b w:val="0"/>
          <w:bCs w:val="0"/>
          <w:sz w:val="32"/>
          <w:szCs w:val="32"/>
        </w:rPr>
        <w:t>七、一般公共预算财政拨款三公经费支出决算情况说明</w:t>
      </w:r>
    </w:p>
    <w:p>
      <w:pPr>
        <w:pStyle w:val="10"/>
        <w:ind w:firstLine="632"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（一）“三公”经费财政拨款支出决算总体情况说明</w:t>
      </w:r>
    </w:p>
    <w:p>
      <w:pPr>
        <w:pStyle w:val="10"/>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w:t>
      </w:r>
      <w:r>
        <w:rPr>
          <w:rFonts w:hint="eastAsia" w:ascii="Times New Roman" w:hAnsi="Times New Roman" w:eastAsia="仿宋_GB2312" w:cs="Times New Roman"/>
          <w:color w:val="auto"/>
          <w:kern w:val="0"/>
          <w:sz w:val="32"/>
          <w:szCs w:val="32"/>
          <w:lang w:val="en-US" w:eastAsia="zh-CN" w:bidi="ar-SA"/>
        </w:rPr>
        <w:t>5.1万</w:t>
      </w:r>
      <w:r>
        <w:rPr>
          <w:rFonts w:hint="eastAsia" w:ascii="仿宋_GB2312" w:hAnsi="仿宋_GB2312" w:eastAsia="仿宋_GB2312" w:cs="仿宋_GB2312"/>
          <w:sz w:val="32"/>
          <w:szCs w:val="32"/>
        </w:rPr>
        <w:t>元，支出决算为</w:t>
      </w:r>
      <w:r>
        <w:rPr>
          <w:rFonts w:hint="eastAsia" w:ascii="Times New Roman" w:hAnsi="Times New Roman" w:eastAsia="仿宋_GB2312" w:cs="Times New Roman"/>
          <w:color w:val="auto"/>
          <w:kern w:val="0"/>
          <w:sz w:val="32"/>
          <w:szCs w:val="32"/>
          <w:lang w:val="en-US" w:eastAsia="zh-CN" w:bidi="ar-SA"/>
        </w:rPr>
        <w:t>0.06</w:t>
      </w:r>
      <w:r>
        <w:rPr>
          <w:rFonts w:hint="eastAsia" w:ascii="仿宋_GB2312" w:hAnsi="仿宋_GB2312" w:eastAsia="仿宋_GB2312" w:cs="仿宋_GB2312"/>
          <w:sz w:val="32"/>
          <w:szCs w:val="32"/>
        </w:rPr>
        <w:t>万元，完成预算的</w:t>
      </w:r>
      <w:r>
        <w:rPr>
          <w:rFonts w:hint="eastAsia" w:ascii="Times New Roman" w:hAnsi="Times New Roman" w:eastAsia="仿宋_GB2312" w:cs="Times New Roman"/>
          <w:color w:val="auto"/>
          <w:kern w:val="0"/>
          <w:sz w:val="32"/>
          <w:szCs w:val="32"/>
          <w:lang w:val="en-US" w:eastAsia="zh-CN" w:bidi="ar-SA"/>
        </w:rPr>
        <w:t>1.2%</w:t>
      </w:r>
      <w:r>
        <w:rPr>
          <w:rFonts w:hint="eastAsia" w:ascii="仿宋_GB2312" w:hAnsi="仿宋_GB2312" w:eastAsia="仿宋_GB2312" w:cs="仿宋_GB2312"/>
          <w:sz w:val="32"/>
          <w:szCs w:val="32"/>
        </w:rPr>
        <w:t>，其中：</w:t>
      </w:r>
    </w:p>
    <w:p>
      <w:pPr>
        <w:pStyle w:val="10"/>
        <w:ind w:firstLine="63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因公出国（境）费支出预算为</w:t>
      </w:r>
      <w:r>
        <w:rPr>
          <w:rFonts w:hint="eastAsia" w:ascii="Times New Roman" w:hAnsi="Times New Roman" w:eastAsia="仿宋_GB2312" w:cs="Times New Roman"/>
          <w:color w:val="auto"/>
          <w:kern w:val="0"/>
          <w:sz w:val="32"/>
          <w:szCs w:val="32"/>
          <w:lang w:val="en-US" w:eastAsia="zh-CN" w:bidi="ar-SA"/>
        </w:rPr>
        <w:t>0万元，支出决算为0万元，完成预算的0%，与上年相比增长0万元，增长0%,主要是因为我单位为2019年新成立单位，2019年</w:t>
      </w:r>
      <w:r>
        <w:rPr>
          <w:rFonts w:hint="eastAsia" w:ascii="仿宋_GB2312" w:hAnsi="仿宋_GB2312" w:eastAsia="仿宋_GB2312" w:cs="仿宋_GB2312"/>
          <w:sz w:val="32"/>
          <w:szCs w:val="32"/>
          <w:lang w:val="en-US" w:eastAsia="zh-CN"/>
        </w:rPr>
        <w:t>无决算数据。</w:t>
      </w:r>
    </w:p>
    <w:p>
      <w:pPr>
        <w:pStyle w:val="10"/>
        <w:ind w:firstLine="79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公务接待费支出预算为</w:t>
      </w:r>
      <w:r>
        <w:rPr>
          <w:rFonts w:hint="eastAsia" w:ascii="Times New Roman" w:hAnsi="Times New Roman" w:eastAsia="仿宋_GB2312" w:cs="Times New Roman"/>
          <w:color w:val="auto"/>
          <w:kern w:val="0"/>
          <w:sz w:val="32"/>
          <w:szCs w:val="32"/>
          <w:lang w:val="en-US" w:eastAsia="zh-CN" w:bidi="ar-SA"/>
        </w:rPr>
        <w:t>5.1万元，支出决算为0.06万元，完成预算的0.11%，决算数小于预算数的主要原因是我单位为2019年新成立单位，公务接待实际发生较少，与上年相比增加0万元，增长0%,主要原因是我单位为2019年新成立单位，2019年无</w:t>
      </w:r>
      <w:r>
        <w:rPr>
          <w:rFonts w:hint="eastAsia" w:ascii="仿宋_GB2312" w:hAnsi="仿宋_GB2312" w:eastAsia="仿宋_GB2312" w:cs="仿宋_GB2312"/>
          <w:sz w:val="32"/>
          <w:szCs w:val="32"/>
          <w:lang w:val="en-US" w:eastAsia="zh-CN"/>
        </w:rPr>
        <w:t>决算数据</w:t>
      </w:r>
      <w:r>
        <w:rPr>
          <w:rFonts w:hint="eastAsia" w:ascii="仿宋_GB2312" w:hAnsi="仿宋_GB2312" w:eastAsia="仿宋_GB2312" w:cs="仿宋_GB2312"/>
          <w:sz w:val="32"/>
          <w:szCs w:val="32"/>
        </w:rPr>
        <w:t>。</w:t>
      </w:r>
    </w:p>
    <w:p>
      <w:pPr>
        <w:pStyle w:val="10"/>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公务用车购置费及运行维护费支出预算为</w:t>
      </w:r>
      <w:r>
        <w:rPr>
          <w:rFonts w:hint="eastAsia" w:ascii="Times New Roman" w:hAnsi="Times New Roman" w:eastAsia="仿宋_GB2312" w:cs="Times New Roman"/>
          <w:color w:val="auto"/>
          <w:kern w:val="0"/>
          <w:sz w:val="32"/>
          <w:szCs w:val="32"/>
          <w:lang w:val="en-US" w:eastAsia="zh-CN" w:bidi="ar-SA"/>
        </w:rPr>
        <w:t>0万元，支出决算为0万元，完成预算的0%，主要是因为我单位为2019年新成立单位，2019年无决算数据</w:t>
      </w:r>
      <w:r>
        <w:rPr>
          <w:rFonts w:hint="eastAsia" w:ascii="仿宋_GB2312" w:hAnsi="仿宋_GB2312" w:eastAsia="仿宋_GB2312" w:cs="仿宋_GB2312"/>
          <w:sz w:val="32"/>
          <w:szCs w:val="32"/>
        </w:rPr>
        <w:t>。</w:t>
      </w:r>
    </w:p>
    <w:p>
      <w:pPr>
        <w:pStyle w:val="10"/>
        <w:ind w:firstLine="632"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（二）“三公”经费财政拨款支出决算具体情况说明</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2020年度“三公”经费财政拨款支出决算中，公务接待费支出决算0.06万元，占100%,因公出国（境）费支出决算0万元，占0%,公务用车购置费及运行维护费支出决算0万元，占0%。其中：</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1、因公出国（境）费支出决算为0万元，全年安排因公出国（境）团组0个，累计0人次。</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2、公务接待费支出决算为0.06万元，全年共接待来访团组0个、来宾14人次，主要是乡镇审核员就餐等发生的接待支出。</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3、公务用车购置费及运行维护费支出决算为0万元，其中：公务用车购置费0万元，更新公务用车0辆。公务用车运行维护费0万元，截止2020年12月31日，我单位开支财政拨款的公务用车保有量为0辆。</w:t>
      </w:r>
    </w:p>
    <w:p>
      <w:pPr>
        <w:pStyle w:val="10"/>
        <w:ind w:firstLine="632" w:firstLineChars="200"/>
        <w:rPr>
          <w:rFonts w:hint="eastAsia" w:hAnsi="黑体"/>
          <w:b w:val="0"/>
          <w:bCs w:val="0"/>
          <w:sz w:val="32"/>
          <w:szCs w:val="32"/>
        </w:rPr>
      </w:pPr>
      <w:r>
        <w:rPr>
          <w:rFonts w:hint="eastAsia" w:hAnsi="黑体"/>
          <w:b w:val="0"/>
          <w:bCs w:val="0"/>
          <w:sz w:val="32"/>
          <w:szCs w:val="32"/>
        </w:rPr>
        <w:t>八、政府性基金预算收入支出决算情况</w:t>
      </w:r>
    </w:p>
    <w:p>
      <w:pPr>
        <w:pStyle w:val="10"/>
        <w:ind w:firstLine="632" w:firstLineChars="200"/>
        <w:rPr>
          <w:rFonts w:hint="eastAsia" w:ascii="仿宋_GB2312" w:hAnsi="仿宋_GB2312" w:eastAsia="仿宋_GB2312" w:cs="仿宋_GB2312"/>
          <w:i/>
          <w:iCs/>
          <w:color w:val="FF0000"/>
          <w:sz w:val="32"/>
          <w:szCs w:val="32"/>
          <w:lang w:eastAsia="zh-CN"/>
        </w:rPr>
      </w:pPr>
      <w:r>
        <w:rPr>
          <w:rFonts w:hint="eastAsia" w:ascii="仿宋_GB2312" w:hAnsi="仿宋_GB2312" w:eastAsia="仿宋_GB2312" w:cs="仿宋_GB2312"/>
          <w:color w:val="auto"/>
          <w:kern w:val="2"/>
          <w:sz w:val="32"/>
          <w:szCs w:val="32"/>
          <w:lang w:val="en-US" w:eastAsia="zh-CN" w:bidi="ar-SA"/>
        </w:rPr>
        <w:t>我单位无政府性基金收支。</w:t>
      </w:r>
    </w:p>
    <w:p>
      <w:pPr>
        <w:pStyle w:val="10"/>
        <w:ind w:firstLine="632" w:firstLineChars="200"/>
        <w:rPr>
          <w:rFonts w:hAnsi="黑体" w:cs="Times New Roman"/>
          <w:b w:val="0"/>
          <w:bCs w:val="0"/>
          <w:sz w:val="32"/>
          <w:szCs w:val="32"/>
        </w:rPr>
      </w:pPr>
      <w:r>
        <w:rPr>
          <w:rFonts w:hint="eastAsia" w:hAnsi="黑体"/>
          <w:b w:val="0"/>
          <w:bCs w:val="0"/>
          <w:sz w:val="32"/>
          <w:szCs w:val="32"/>
        </w:rPr>
        <w:t>九、关于机关运行经费支出说明</w:t>
      </w:r>
    </w:p>
    <w:p>
      <w:pPr>
        <w:pStyle w:val="10"/>
        <w:ind w:firstLine="63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w:t>
      </w:r>
      <w:r>
        <w:rPr>
          <w:rFonts w:hint="eastAsia" w:ascii="Times New Roman" w:hAnsi="Times New Roman" w:eastAsia="仿宋_GB2312" w:cs="Times New Roman"/>
          <w:color w:val="auto"/>
          <w:kern w:val="0"/>
          <w:sz w:val="32"/>
          <w:szCs w:val="32"/>
          <w:lang w:val="en-US" w:eastAsia="zh-CN" w:bidi="ar-SA"/>
        </w:rPr>
        <w:t>2020</w:t>
      </w:r>
      <w:r>
        <w:rPr>
          <w:rFonts w:hint="eastAsia" w:ascii="仿宋_GB2312" w:hAnsi="仿宋_GB2312" w:eastAsia="仿宋_GB2312" w:cs="仿宋_GB2312"/>
          <w:sz w:val="32"/>
          <w:szCs w:val="32"/>
        </w:rPr>
        <w:t>年度机关运行经费支出</w:t>
      </w:r>
      <w:r>
        <w:rPr>
          <w:rFonts w:hint="eastAsia" w:ascii="Times New Roman" w:hAnsi="Times New Roman" w:eastAsia="仿宋_GB2312" w:cs="Times New Roman"/>
          <w:color w:val="auto"/>
          <w:kern w:val="0"/>
          <w:sz w:val="32"/>
          <w:szCs w:val="32"/>
          <w:lang w:val="en-US" w:eastAsia="zh-CN" w:bidi="ar-SA"/>
        </w:rPr>
        <w:t>126.72</w:t>
      </w:r>
      <w:r>
        <w:rPr>
          <w:rFonts w:hint="eastAsia" w:ascii="仿宋_GB2312" w:hAnsi="仿宋_GB2312" w:eastAsia="仿宋_GB2312" w:cs="仿宋_GB2312"/>
          <w:sz w:val="32"/>
          <w:szCs w:val="32"/>
        </w:rPr>
        <w:t>万元，比年初预算数增加</w:t>
      </w:r>
      <w:r>
        <w:rPr>
          <w:rFonts w:hint="eastAsia" w:ascii="Times New Roman" w:hAnsi="Times New Roman" w:eastAsia="仿宋_GB2312" w:cs="Times New Roman"/>
          <w:color w:val="auto"/>
          <w:kern w:val="0"/>
          <w:sz w:val="32"/>
          <w:szCs w:val="32"/>
          <w:lang w:val="en-US" w:eastAsia="zh-CN" w:bidi="ar-SA"/>
        </w:rPr>
        <w:t>56.94</w:t>
      </w:r>
      <w:r>
        <w:rPr>
          <w:rFonts w:hint="eastAsia" w:ascii="仿宋_GB2312" w:hAnsi="仿宋_GB2312" w:eastAsia="仿宋_GB2312" w:cs="仿宋_GB2312"/>
          <w:sz w:val="32"/>
          <w:szCs w:val="32"/>
        </w:rPr>
        <w:t>万元，增长</w:t>
      </w:r>
      <w:r>
        <w:rPr>
          <w:rFonts w:hint="eastAsia" w:ascii="Times New Roman" w:hAnsi="Times New Roman" w:eastAsia="仿宋_GB2312" w:cs="Times New Roman"/>
          <w:color w:val="auto"/>
          <w:kern w:val="0"/>
          <w:sz w:val="32"/>
          <w:szCs w:val="32"/>
          <w:lang w:val="en-US" w:eastAsia="zh-CN" w:bidi="ar-SA"/>
        </w:rPr>
        <w:t>81.60%</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一是公车补贴支出</w:t>
      </w:r>
      <w:r>
        <w:rPr>
          <w:rFonts w:hint="eastAsia" w:ascii="Times New Roman" w:hAnsi="Times New Roman" w:eastAsia="仿宋_GB2312" w:cs="Times New Roman"/>
          <w:color w:val="auto"/>
          <w:kern w:val="0"/>
          <w:sz w:val="32"/>
          <w:szCs w:val="32"/>
          <w:lang w:val="en-US" w:eastAsia="zh-CN" w:bidi="ar-SA"/>
        </w:rPr>
        <w:t>24</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lang w:eastAsia="zh-CN"/>
        </w:rPr>
        <w:t>为年中追加预算，二是新单位购置办公用品、家具支出</w:t>
      </w:r>
      <w:r>
        <w:rPr>
          <w:rFonts w:hint="eastAsia" w:ascii="Times New Roman" w:hAnsi="Times New Roman" w:eastAsia="仿宋_GB2312" w:cs="Times New Roman"/>
          <w:color w:val="auto"/>
          <w:kern w:val="0"/>
          <w:sz w:val="32"/>
          <w:szCs w:val="32"/>
          <w:lang w:val="en-US" w:eastAsia="zh-CN" w:bidi="ar-SA"/>
        </w:rPr>
        <w:t>7.5</w:t>
      </w:r>
      <w:r>
        <w:rPr>
          <w:rFonts w:hint="eastAsia" w:ascii="仿宋_GB2312" w:hAnsi="仿宋_GB2312" w:eastAsia="仿宋_GB2312" w:cs="仿宋_GB2312"/>
          <w:sz w:val="32"/>
          <w:szCs w:val="32"/>
          <w:lang w:val="en-US" w:eastAsia="zh-CN"/>
        </w:rPr>
        <w:t>万，三是党建扶贫等支出</w:t>
      </w:r>
      <w:r>
        <w:rPr>
          <w:rFonts w:hint="eastAsia" w:ascii="Times New Roman" w:hAnsi="Times New Roman" w:eastAsia="仿宋_GB2312" w:cs="Times New Roman"/>
          <w:color w:val="auto"/>
          <w:kern w:val="0"/>
          <w:sz w:val="32"/>
          <w:szCs w:val="32"/>
          <w:lang w:val="en-US" w:eastAsia="zh-CN" w:bidi="ar-SA"/>
        </w:rPr>
        <w:t>28</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w:t>
      </w:r>
    </w:p>
    <w:p>
      <w:pPr>
        <w:pStyle w:val="10"/>
        <w:ind w:firstLine="632" w:firstLineChars="200"/>
        <w:rPr>
          <w:rFonts w:hAnsi="黑体" w:cs="Times New Roman"/>
          <w:b w:val="0"/>
          <w:bCs w:val="0"/>
          <w:sz w:val="32"/>
          <w:szCs w:val="32"/>
        </w:rPr>
      </w:pPr>
      <w:r>
        <w:rPr>
          <w:rFonts w:hint="eastAsia" w:hAnsi="黑体"/>
          <w:b w:val="0"/>
          <w:bCs w:val="0"/>
          <w:sz w:val="32"/>
          <w:szCs w:val="32"/>
        </w:rPr>
        <w:t>十、一般性支出情况</w:t>
      </w:r>
    </w:p>
    <w:p>
      <w:pPr>
        <w:pStyle w:val="10"/>
        <w:ind w:firstLine="632"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2020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年本部门开支会议费</w:t>
      </w: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0.8</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万元，用于召开全县医保工作会议、乡镇医保站长工作总结会议，人数</w:t>
      </w: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97</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人，内容为全县医保工作布置；开支培训费</w:t>
      </w: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4.5万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元，用于开展韶山党建培训、湘乡党建培训，人数</w:t>
      </w: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34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人，内容为学习红色领袖人物精神、曾国藩等湖湘文化。</w:t>
      </w:r>
    </w:p>
    <w:p>
      <w:pPr>
        <w:pStyle w:val="10"/>
        <w:ind w:firstLine="632" w:firstLineChars="200"/>
        <w:rPr>
          <w:rFonts w:hint="eastAsia" w:hAnsi="黑体"/>
          <w:b w:val="0"/>
          <w:bCs w:val="0"/>
          <w:sz w:val="32"/>
          <w:szCs w:val="32"/>
          <w:lang w:val="en-US" w:eastAsia="zh-CN"/>
        </w:rPr>
      </w:pPr>
      <w:r>
        <w:rPr>
          <w:rFonts w:hint="eastAsia" w:hAnsi="黑体"/>
          <w:b w:val="0"/>
          <w:bCs w:val="0"/>
          <w:sz w:val="32"/>
          <w:szCs w:val="32"/>
          <w:lang w:val="en-US" w:eastAsia="zh-CN"/>
        </w:rPr>
        <w:t>十一、国有资本经营预算财政拨款支出决算情况</w:t>
      </w:r>
    </w:p>
    <w:p>
      <w:pPr>
        <w:pStyle w:val="10"/>
        <w:numPr>
          <w:ilvl w:val="0"/>
          <w:numId w:val="0"/>
        </w:numPr>
        <w:ind w:firstLine="632"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本单位无国有资本经营预算支出。</w:t>
      </w:r>
    </w:p>
    <w:p>
      <w:pPr>
        <w:pStyle w:val="10"/>
        <w:ind w:firstLine="632" w:firstLineChars="200"/>
        <w:rPr>
          <w:rFonts w:hAnsi="黑体" w:cs="Times New Roman"/>
          <w:b w:val="0"/>
          <w:bCs w:val="0"/>
          <w:sz w:val="32"/>
          <w:szCs w:val="32"/>
        </w:rPr>
      </w:pPr>
      <w:r>
        <w:rPr>
          <w:rFonts w:hint="eastAsia" w:hAnsi="黑体"/>
          <w:b w:val="0"/>
          <w:bCs w:val="0"/>
          <w:sz w:val="32"/>
          <w:szCs w:val="32"/>
        </w:rPr>
        <w:t>十</w:t>
      </w:r>
      <w:r>
        <w:rPr>
          <w:rFonts w:hint="eastAsia" w:hAnsi="黑体"/>
          <w:b w:val="0"/>
          <w:bCs w:val="0"/>
          <w:sz w:val="32"/>
          <w:szCs w:val="32"/>
          <w:lang w:eastAsia="zh-CN"/>
        </w:rPr>
        <w:t>二</w:t>
      </w:r>
      <w:r>
        <w:rPr>
          <w:rFonts w:hint="eastAsia" w:hAnsi="黑体"/>
          <w:b w:val="0"/>
          <w:bCs w:val="0"/>
          <w:sz w:val="32"/>
          <w:szCs w:val="32"/>
        </w:rPr>
        <w:t>、关于政府采购支出说明</w:t>
      </w:r>
    </w:p>
    <w:p>
      <w:pPr>
        <w:widowControl/>
        <w:spacing w:line="600" w:lineRule="exact"/>
        <w:ind w:firstLine="63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本部门</w:t>
      </w:r>
      <w:r>
        <w:rPr>
          <w:rFonts w:hint="eastAsia" w:ascii="Times New Roman" w:hAnsi="Times New Roman" w:eastAsia="仿宋_GB2312" w:cs="Times New Roman"/>
          <w:color w:val="auto"/>
          <w:kern w:val="0"/>
          <w:sz w:val="32"/>
          <w:szCs w:val="32"/>
          <w:lang w:val="en-US" w:eastAsia="zh-CN" w:bidi="ar-SA"/>
        </w:rPr>
        <w:t>2020</w:t>
      </w:r>
      <w:r>
        <w:rPr>
          <w:rFonts w:hint="eastAsia" w:ascii="仿宋_GB2312" w:hAnsi="仿宋_GB2312" w:eastAsia="仿宋_GB2312" w:cs="仿宋_GB2312"/>
          <w:sz w:val="32"/>
          <w:szCs w:val="32"/>
          <w:lang w:val="en-US" w:eastAsia="zh-CN"/>
        </w:rPr>
        <w:t>年度政府采购支出总额</w:t>
      </w:r>
      <w:r>
        <w:rPr>
          <w:rFonts w:hint="eastAsia" w:ascii="Times New Roman" w:hAnsi="Times New Roman" w:eastAsia="仿宋_GB2312" w:cs="Times New Roman"/>
          <w:color w:val="auto"/>
          <w:kern w:val="0"/>
          <w:sz w:val="32"/>
          <w:szCs w:val="32"/>
          <w:lang w:val="en-US" w:eastAsia="zh-CN" w:bidi="ar-SA"/>
        </w:rPr>
        <w:t>27.16</w:t>
      </w:r>
      <w:r>
        <w:rPr>
          <w:rFonts w:hint="eastAsia" w:ascii="仿宋_GB2312" w:hAnsi="仿宋_GB2312" w:eastAsia="仿宋_GB2312" w:cs="仿宋_GB2312"/>
          <w:sz w:val="32"/>
          <w:szCs w:val="32"/>
          <w:lang w:val="en-US" w:eastAsia="zh-CN"/>
        </w:rPr>
        <w:t>万元，其中：政府采购货物支出</w:t>
      </w:r>
      <w:r>
        <w:rPr>
          <w:rFonts w:hint="eastAsia" w:ascii="Times New Roman" w:hAnsi="Times New Roman" w:eastAsia="仿宋_GB2312" w:cs="Times New Roman"/>
          <w:color w:val="auto"/>
          <w:kern w:val="0"/>
          <w:sz w:val="32"/>
          <w:szCs w:val="32"/>
          <w:lang w:val="en-US" w:eastAsia="zh-CN" w:bidi="ar-SA"/>
        </w:rPr>
        <w:t>7.5</w:t>
      </w:r>
      <w:r>
        <w:rPr>
          <w:rFonts w:hint="eastAsia" w:ascii="仿宋_GB2312" w:hAnsi="仿宋_GB2312" w:eastAsia="仿宋_GB2312" w:cs="仿宋_GB2312"/>
          <w:sz w:val="32"/>
          <w:szCs w:val="32"/>
          <w:lang w:val="en-US" w:eastAsia="zh-CN"/>
        </w:rPr>
        <w:t>万元、政府采购工程支出</w:t>
      </w:r>
      <w:r>
        <w:rPr>
          <w:rFonts w:hint="eastAsia" w:ascii="Times New Roman" w:hAnsi="Times New Roman" w:eastAsia="仿宋_GB2312" w:cs="Times New Roman"/>
          <w:color w:val="auto"/>
          <w:kern w:val="0"/>
          <w:sz w:val="32"/>
          <w:szCs w:val="32"/>
          <w:lang w:val="en-US" w:eastAsia="zh-CN" w:bidi="ar-SA"/>
        </w:rPr>
        <w:t>0</w:t>
      </w:r>
      <w:r>
        <w:rPr>
          <w:rFonts w:hint="eastAsia" w:ascii="仿宋_GB2312" w:hAnsi="仿宋_GB2312" w:eastAsia="仿宋_GB2312" w:cs="仿宋_GB2312"/>
          <w:sz w:val="32"/>
          <w:szCs w:val="32"/>
          <w:lang w:val="en-US" w:eastAsia="zh-CN"/>
        </w:rPr>
        <w:t>万元、政府采购服务支出</w:t>
      </w:r>
      <w:r>
        <w:rPr>
          <w:rFonts w:hint="eastAsia" w:ascii="Times New Roman" w:hAnsi="Times New Roman" w:eastAsia="仿宋_GB2312" w:cs="Times New Roman"/>
          <w:kern w:val="0"/>
          <w:sz w:val="32"/>
          <w:szCs w:val="32"/>
          <w:lang w:val="en-US" w:eastAsia="zh-CN"/>
        </w:rPr>
        <w:t>19.66</w:t>
      </w:r>
      <w:r>
        <w:rPr>
          <w:rFonts w:hint="eastAsia" w:ascii="仿宋_GB2312" w:hAnsi="仿宋_GB2312" w:eastAsia="仿宋_GB2312" w:cs="仿宋_GB2312"/>
          <w:sz w:val="32"/>
          <w:szCs w:val="32"/>
          <w:lang w:val="en-US" w:eastAsia="zh-CN"/>
        </w:rPr>
        <w:t>万元。授予中小企业合同金额</w:t>
      </w:r>
      <w:r>
        <w:rPr>
          <w:rFonts w:hint="eastAsia" w:ascii="Times New Roman" w:hAnsi="Times New Roman" w:eastAsia="仿宋_GB2312" w:cs="Times New Roman"/>
          <w:kern w:val="0"/>
          <w:sz w:val="32"/>
          <w:szCs w:val="32"/>
          <w:lang w:val="en-US" w:eastAsia="zh-CN"/>
        </w:rPr>
        <w:t>27.16</w:t>
      </w:r>
      <w:r>
        <w:rPr>
          <w:rFonts w:hint="eastAsia" w:ascii="仿宋_GB2312" w:hAnsi="仿宋_GB2312" w:eastAsia="仿宋_GB2312" w:cs="仿宋_GB2312"/>
          <w:sz w:val="32"/>
          <w:szCs w:val="32"/>
          <w:lang w:val="en-US" w:eastAsia="zh-CN"/>
        </w:rPr>
        <w:t>万元，占政府采购支出总额的</w:t>
      </w:r>
      <w:r>
        <w:rPr>
          <w:rFonts w:hint="eastAsia" w:ascii="Times New Roman" w:hAnsi="Times New Roman" w:eastAsia="仿宋_GB2312" w:cs="Times New Roman"/>
          <w:kern w:val="0"/>
          <w:sz w:val="32"/>
          <w:szCs w:val="32"/>
          <w:lang w:val="en-US" w:eastAsia="zh-CN"/>
        </w:rPr>
        <w:t>100%</w:t>
      </w:r>
      <w:r>
        <w:rPr>
          <w:rFonts w:hint="eastAsia" w:ascii="仿宋_GB2312" w:hAnsi="仿宋_GB2312" w:eastAsia="仿宋_GB2312" w:cs="仿宋_GB2312"/>
          <w:sz w:val="32"/>
          <w:szCs w:val="32"/>
          <w:lang w:val="en-US" w:eastAsia="zh-CN"/>
        </w:rPr>
        <w:t>，其中：授予小微企业合同金额</w:t>
      </w:r>
      <w:r>
        <w:rPr>
          <w:rFonts w:hint="eastAsia" w:ascii="Times New Roman" w:hAnsi="Times New Roman" w:eastAsia="仿宋_GB2312" w:cs="Times New Roman"/>
          <w:kern w:val="0"/>
          <w:sz w:val="32"/>
          <w:szCs w:val="32"/>
          <w:lang w:val="en-US" w:eastAsia="zh-CN"/>
        </w:rPr>
        <w:t>27.16</w:t>
      </w:r>
      <w:r>
        <w:rPr>
          <w:rFonts w:hint="eastAsia" w:ascii="仿宋_GB2312" w:hAnsi="仿宋_GB2312" w:eastAsia="仿宋_GB2312" w:cs="仿宋_GB2312"/>
          <w:sz w:val="32"/>
          <w:szCs w:val="32"/>
          <w:lang w:val="en-US" w:eastAsia="zh-CN"/>
        </w:rPr>
        <w:t>万元，占政府采购支出总额的</w:t>
      </w:r>
      <w:r>
        <w:rPr>
          <w:rFonts w:hint="eastAsia" w:ascii="Times New Roman" w:hAnsi="Times New Roman" w:eastAsia="仿宋_GB2312" w:cs="Times New Roman"/>
          <w:kern w:val="0"/>
          <w:sz w:val="32"/>
          <w:szCs w:val="32"/>
          <w:lang w:val="en-US" w:eastAsia="zh-CN"/>
        </w:rPr>
        <w:t>100%</w:t>
      </w:r>
      <w:r>
        <w:rPr>
          <w:rFonts w:hint="eastAsia" w:ascii="仿宋_GB2312" w:hAnsi="仿宋_GB2312" w:eastAsia="仿宋_GB2312" w:cs="仿宋_GB2312"/>
          <w:sz w:val="32"/>
          <w:szCs w:val="32"/>
          <w:lang w:val="en-US" w:eastAsia="zh-CN"/>
        </w:rPr>
        <w:t>。</w:t>
      </w:r>
    </w:p>
    <w:p>
      <w:pPr>
        <w:pStyle w:val="10"/>
        <w:ind w:firstLine="632" w:firstLineChars="200"/>
        <w:rPr>
          <w:rFonts w:hAnsi="黑体" w:cs="Times New Roman"/>
          <w:b w:val="0"/>
          <w:bCs w:val="0"/>
          <w:sz w:val="32"/>
          <w:szCs w:val="32"/>
        </w:rPr>
      </w:pPr>
      <w:r>
        <w:rPr>
          <w:rFonts w:hint="eastAsia" w:hAnsi="黑体"/>
          <w:b w:val="0"/>
          <w:bCs w:val="0"/>
          <w:sz w:val="32"/>
          <w:szCs w:val="32"/>
        </w:rPr>
        <w:t>十</w:t>
      </w:r>
      <w:r>
        <w:rPr>
          <w:rFonts w:hint="eastAsia" w:hAnsi="黑体"/>
          <w:b w:val="0"/>
          <w:bCs w:val="0"/>
          <w:sz w:val="32"/>
          <w:szCs w:val="32"/>
          <w:lang w:eastAsia="zh-CN"/>
        </w:rPr>
        <w:t>三</w:t>
      </w:r>
      <w:r>
        <w:rPr>
          <w:rFonts w:hint="eastAsia" w:hAnsi="黑体"/>
          <w:b w:val="0"/>
          <w:bCs w:val="0"/>
          <w:sz w:val="32"/>
          <w:szCs w:val="32"/>
        </w:rPr>
        <w:t>、关于国有资产占用情况说明</w:t>
      </w:r>
    </w:p>
    <w:p>
      <w:pPr>
        <w:pStyle w:val="10"/>
        <w:ind w:firstLine="632"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ascii="Times New Roman" w:hAnsi="Times New Roman" w:eastAsia="仿宋_GB2312" w:cs="Times New Roman"/>
          <w:color w:val="auto"/>
          <w:kern w:val="0"/>
          <w:sz w:val="32"/>
          <w:szCs w:val="32"/>
          <w:lang w:val="en-US" w:eastAsia="zh-CN" w:bidi="ar-SA"/>
        </w:rPr>
        <w:t>2020</w:t>
      </w:r>
      <w:r>
        <w:rPr>
          <w:rFonts w:hint="eastAsia" w:ascii="仿宋_GB2312" w:hAnsi="仿宋_GB2312" w:eastAsia="仿宋_GB2312" w:cs="仿宋_GB2312"/>
          <w:sz w:val="32"/>
          <w:szCs w:val="32"/>
        </w:rPr>
        <w:t>年</w:t>
      </w:r>
      <w:r>
        <w:rPr>
          <w:rFonts w:hint="eastAsia" w:ascii="Times New Roman" w:hAnsi="Times New Roman" w:eastAsia="仿宋_GB2312" w:cs="Times New Roman"/>
          <w:color w:val="auto"/>
          <w:kern w:val="0"/>
          <w:sz w:val="32"/>
          <w:szCs w:val="32"/>
          <w:lang w:val="en-US" w:eastAsia="zh-CN" w:bidi="ar-SA"/>
        </w:rPr>
        <w:t>12</w:t>
      </w:r>
      <w:r>
        <w:rPr>
          <w:rFonts w:hint="eastAsia" w:ascii="仿宋_GB2312" w:hAnsi="仿宋_GB2312" w:eastAsia="仿宋_GB2312" w:cs="仿宋_GB2312"/>
          <w:sz w:val="32"/>
          <w:szCs w:val="32"/>
        </w:rPr>
        <w:t>月</w:t>
      </w:r>
      <w:r>
        <w:rPr>
          <w:rFonts w:hint="eastAsia" w:ascii="Times New Roman" w:hAnsi="Times New Roman" w:eastAsia="仿宋_GB2312" w:cs="Times New Roman"/>
          <w:color w:val="auto"/>
          <w:kern w:val="0"/>
          <w:sz w:val="32"/>
          <w:szCs w:val="32"/>
          <w:lang w:val="en-US" w:eastAsia="zh-CN" w:bidi="ar-SA"/>
        </w:rPr>
        <w:t>31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我单位</w:t>
      </w:r>
      <w:r>
        <w:rPr>
          <w:rFonts w:hint="eastAsia" w:ascii="仿宋_GB2312" w:hAnsi="仿宋_GB2312" w:eastAsia="仿宋_GB2312" w:cs="仿宋_GB2312"/>
          <w:sz w:val="32"/>
          <w:szCs w:val="32"/>
        </w:rPr>
        <w:t>共有车辆</w:t>
      </w:r>
      <w:r>
        <w:rPr>
          <w:rFonts w:hint="eastAsia" w:ascii="Times New Roman" w:hAnsi="Times New Roman" w:eastAsia="仿宋_GB2312" w:cs="Times New Roman"/>
          <w:color w:val="auto"/>
          <w:kern w:val="0"/>
          <w:sz w:val="32"/>
          <w:szCs w:val="32"/>
          <w:lang w:val="en-US" w:eastAsia="zh-CN" w:bidi="ar-SA"/>
        </w:rPr>
        <w:t>0辆，其中，主要领导干部用车0辆，机要通信用车0辆、应急保障用车0辆、执法执勤用车0辆、特种专业技术用车0辆、其他用车0辆；单位价值50万元以上通用设备0台（套）；单位价值100万元以上专用设备0台（套</w:t>
      </w:r>
      <w:r>
        <w:rPr>
          <w:rFonts w:hint="eastAsia" w:ascii="仿宋_GB2312" w:hAnsi="仿宋_GB2312" w:eastAsia="仿宋_GB2312" w:cs="仿宋_GB2312"/>
          <w:sz w:val="32"/>
          <w:szCs w:val="32"/>
        </w:rPr>
        <w:t>）。</w:t>
      </w:r>
    </w:p>
    <w:p>
      <w:pPr>
        <w:pStyle w:val="10"/>
        <w:ind w:firstLine="632" w:firstLineChars="200"/>
        <w:rPr>
          <w:rFonts w:hAnsi="黑体" w:cs="Times New Roman"/>
          <w:b w:val="0"/>
          <w:bCs w:val="0"/>
          <w:sz w:val="32"/>
          <w:szCs w:val="32"/>
        </w:rPr>
      </w:pPr>
      <w:r>
        <w:rPr>
          <w:rFonts w:hint="eastAsia" w:hAnsi="黑体"/>
          <w:b w:val="0"/>
          <w:bCs w:val="0"/>
          <w:sz w:val="32"/>
          <w:szCs w:val="32"/>
        </w:rPr>
        <w:t>十三、关于</w:t>
      </w:r>
      <w:r>
        <w:rPr>
          <w:rFonts w:hAnsi="黑体"/>
          <w:b w:val="0"/>
          <w:bCs w:val="0"/>
          <w:sz w:val="32"/>
          <w:szCs w:val="32"/>
        </w:rPr>
        <w:t>2020</w:t>
      </w:r>
      <w:r>
        <w:rPr>
          <w:rFonts w:hint="eastAsia" w:hAnsi="黑体"/>
          <w:b w:val="0"/>
          <w:bCs w:val="0"/>
          <w:sz w:val="32"/>
          <w:szCs w:val="32"/>
        </w:rPr>
        <w:t>年度预算绩效情况的说明</w:t>
      </w:r>
    </w:p>
    <w:p>
      <w:pPr>
        <w:pStyle w:val="10"/>
        <w:ind w:firstLine="632"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本部门为一级预算单位，严格执行并积极开展预算管理及预算绩效评价工作。全年预算绩效评价部门整体支出</w:t>
      </w:r>
      <w:r>
        <w:rPr>
          <w:rFonts w:hint="eastAsia" w:ascii="Times New Roman" w:hAnsi="Times New Roman" w:eastAsia="仿宋_GB2312" w:cs="Times New Roman"/>
          <w:color w:val="auto"/>
          <w:kern w:val="0"/>
          <w:sz w:val="32"/>
          <w:szCs w:val="32"/>
          <w:lang w:val="en-US" w:eastAsia="zh-CN" w:bidi="ar-SA"/>
        </w:rPr>
        <w:t>1</w:t>
      </w:r>
      <w:r>
        <w:rPr>
          <w:rFonts w:hint="eastAsia" w:ascii="仿宋_GB2312" w:hAnsi="仿宋_GB2312" w:eastAsia="仿宋_GB2312" w:cs="仿宋_GB2312"/>
          <w:sz w:val="32"/>
          <w:szCs w:val="32"/>
          <w:lang w:val="en-US" w:eastAsia="zh-CN"/>
        </w:rPr>
        <w:t>个。无重点绩效目标。</w:t>
      </w:r>
    </w:p>
    <w:p>
      <w:pPr>
        <w:pStyle w:val="10"/>
        <w:jc w:val="center"/>
        <w:rPr>
          <w:rFonts w:cs="Times New Roman"/>
          <w:sz w:val="84"/>
          <w:szCs w:val="84"/>
        </w:rPr>
      </w:pPr>
      <w:r>
        <w:rPr>
          <w:rFonts w:hint="eastAsia" w:ascii="方正小标宋简体" w:hAnsi="方正小标宋简体" w:eastAsia="方正小标宋简体" w:cs="方正小标宋简体"/>
          <w:sz w:val="52"/>
          <w:szCs w:val="52"/>
        </w:rPr>
        <w:br w:type="page"/>
      </w:r>
    </w:p>
    <w:p>
      <w:pPr>
        <w:pStyle w:val="10"/>
        <w:jc w:val="center"/>
        <w:rPr>
          <w:sz w:val="84"/>
          <w:szCs w:val="84"/>
        </w:rPr>
      </w:pPr>
    </w:p>
    <w:p>
      <w:pPr>
        <w:pStyle w:val="10"/>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第四部分</w:t>
      </w:r>
    </w:p>
    <w:p>
      <w:pPr>
        <w:jc w:val="center"/>
        <w:rPr>
          <w:rFonts w:hint="eastAsia" w:ascii="方正小标宋简体" w:hAnsi="方正小标宋简体" w:eastAsia="方正小标宋简体" w:cs="方正小标宋简体"/>
          <w:color w:val="000000"/>
          <w:kern w:val="0"/>
          <w:sz w:val="52"/>
          <w:szCs w:val="52"/>
        </w:rPr>
      </w:pPr>
    </w:p>
    <w:p>
      <w:pPr>
        <w:jc w:val="center"/>
        <w:rPr>
          <w:rFonts w:hint="eastAsia" w:ascii="方正小标宋简体" w:hAnsi="方正小标宋简体" w:eastAsia="方正小标宋简体" w:cs="方正小标宋简体"/>
          <w:color w:val="000000"/>
          <w:kern w:val="0"/>
          <w:sz w:val="52"/>
          <w:szCs w:val="52"/>
        </w:rPr>
      </w:pPr>
      <w:r>
        <w:rPr>
          <w:rFonts w:hint="eastAsia" w:ascii="方正小标宋简体" w:hAnsi="方正小标宋简体" w:eastAsia="方正小标宋简体" w:cs="方正小标宋简体"/>
          <w:color w:val="000000"/>
          <w:kern w:val="0"/>
          <w:sz w:val="52"/>
          <w:szCs w:val="52"/>
        </w:rPr>
        <w:t>名词解释</w:t>
      </w:r>
    </w:p>
    <w:p>
      <w:pPr>
        <w:rPr>
          <w:rFonts w:hint="eastAsia" w:ascii="仿宋_GB2312" w:hAnsi="仿宋_GB2312" w:eastAsia="仿宋_GB2312" w:cs="仿宋_GB2312"/>
          <w:color w:val="000000"/>
          <w:kern w:val="0"/>
          <w:sz w:val="32"/>
          <w:szCs w:val="32"/>
          <w:lang w:val="en-US" w:eastAsia="zh-CN" w:bidi="ar-SA"/>
        </w:rPr>
      </w:pPr>
      <w:r>
        <w:rPr>
          <w:rFonts w:hint="eastAsia" w:ascii="方正小标宋简体" w:hAnsi="方正小标宋简体" w:eastAsia="方正小标宋简体" w:cs="方正小标宋简体"/>
          <w:color w:val="000000"/>
          <w:kern w:val="0"/>
          <w:sz w:val="52"/>
          <w:szCs w:val="52"/>
        </w:rPr>
        <w:br w:type="page"/>
      </w:r>
      <w:r>
        <w:rPr>
          <w:rFonts w:hint="eastAsia" w:ascii="方正小标宋简体" w:hAnsi="方正小标宋简体" w:eastAsia="方正小标宋简体" w:cs="方正小标宋简体"/>
          <w:color w:val="000000"/>
          <w:kern w:val="0"/>
          <w:sz w:val="52"/>
          <w:szCs w:val="52"/>
          <w:lang w:val="en-US" w:eastAsia="zh-CN"/>
        </w:rPr>
        <w:t xml:space="preserve">  </w:t>
      </w:r>
      <w:r>
        <w:rPr>
          <w:rFonts w:hint="eastAsia" w:ascii="仿宋_GB2312" w:hAnsi="仿宋_GB2312" w:eastAsia="仿宋_GB2312" w:cs="仿宋_GB2312"/>
          <w:color w:val="000000"/>
          <w:kern w:val="0"/>
          <w:sz w:val="32"/>
          <w:szCs w:val="32"/>
          <w:lang w:val="en-US" w:eastAsia="zh-CN" w:bidi="ar-SA"/>
        </w:rPr>
        <w:t>一、机关运行经费：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60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三公”经费：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pPr>
        <w:widowControl/>
        <w:spacing w:line="600" w:lineRule="exact"/>
        <w:ind w:firstLine="632" w:firstLineChars="200"/>
        <w:rPr>
          <w:rFonts w:cs="Times New Roman"/>
          <w:sz w:val="84"/>
          <w:szCs w:val="84"/>
        </w:rPr>
      </w:pPr>
      <w:r>
        <w:rPr>
          <w:rFonts w:hint="eastAsia" w:ascii="仿宋_GB2312" w:hAnsi="仿宋_GB2312" w:eastAsia="仿宋_GB2312" w:cs="仿宋_GB2312"/>
          <w:color w:val="000000"/>
          <w:kern w:val="0"/>
          <w:sz w:val="32"/>
          <w:szCs w:val="32"/>
          <w:lang w:val="en-US" w:eastAsia="zh-CN" w:bidi="ar-SA"/>
        </w:rPr>
        <w:br w:type="page"/>
      </w:r>
    </w:p>
    <w:p>
      <w:pPr>
        <w:pStyle w:val="10"/>
        <w:jc w:val="center"/>
        <w:rPr>
          <w:sz w:val="84"/>
          <w:szCs w:val="84"/>
        </w:rPr>
      </w:pPr>
    </w:p>
    <w:p>
      <w:pPr>
        <w:pStyle w:val="10"/>
        <w:jc w:val="center"/>
        <w:rPr>
          <w:rFonts w:hint="eastAsia" w:ascii="宋体" w:hAnsi="宋体" w:eastAsia="宋体" w:cs="宋体"/>
          <w:sz w:val="84"/>
          <w:szCs w:val="84"/>
          <w:lang w:eastAsia="zh-CN"/>
        </w:rPr>
      </w:pPr>
    </w:p>
    <w:p>
      <w:pPr>
        <w:pStyle w:val="10"/>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第五部分</w:t>
      </w:r>
    </w:p>
    <w:p>
      <w:pPr>
        <w:jc w:val="center"/>
        <w:rPr>
          <w:rFonts w:hint="eastAsia" w:ascii="方正小标宋简体" w:hAnsi="方正小标宋简体" w:eastAsia="方正小标宋简体" w:cs="方正小标宋简体"/>
          <w:color w:val="000000"/>
          <w:kern w:val="0"/>
          <w:sz w:val="52"/>
          <w:szCs w:val="52"/>
        </w:rPr>
      </w:pPr>
    </w:p>
    <w:p>
      <w:pPr>
        <w:widowControl/>
        <w:jc w:val="center"/>
        <w:rPr>
          <w:rFonts w:hint="eastAsia" w:ascii="方正小标宋简体" w:hAnsi="方正小标宋简体" w:eastAsia="方正小标宋简体" w:cs="方正小标宋简体"/>
          <w:color w:val="000000"/>
          <w:kern w:val="0"/>
          <w:sz w:val="52"/>
          <w:szCs w:val="52"/>
        </w:rPr>
      </w:pPr>
      <w:r>
        <w:rPr>
          <w:rFonts w:hint="eastAsia" w:ascii="方正小标宋简体" w:hAnsi="方正小标宋简体" w:eastAsia="方正小标宋简体" w:cs="方正小标宋简体"/>
          <w:color w:val="000000"/>
          <w:kern w:val="0"/>
          <w:sz w:val="52"/>
          <w:szCs w:val="52"/>
        </w:rPr>
        <w:t>附件</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color w:val="000000"/>
          <w:kern w:val="0"/>
          <w:sz w:val="32"/>
          <w:szCs w:val="32"/>
        </w:rPr>
      </w:pPr>
      <w:r>
        <w:rPr>
          <w:rFonts w:hint="eastAsia" w:ascii="方正小标宋简体" w:hAnsi="方正小标宋简体" w:eastAsia="方正小标宋简体" w:cs="方正小标宋简体"/>
          <w:color w:val="000000"/>
          <w:kern w:val="0"/>
          <w:sz w:val="52"/>
          <w:szCs w:val="52"/>
        </w:rPr>
        <w:br w:type="page"/>
      </w:r>
      <w:r>
        <w:rPr>
          <w:rFonts w:hint="eastAsia" w:ascii="方正小标宋简体" w:hAnsi="方正小标宋简体" w:eastAsia="方正小标宋简体" w:cs="方正小标宋简体"/>
          <w:b w:val="0"/>
          <w:bCs w:val="0"/>
          <w:color w:val="000000"/>
          <w:kern w:val="0"/>
          <w:sz w:val="44"/>
          <w:szCs w:val="44"/>
        </w:rPr>
        <w:t>2020年度</w:t>
      </w:r>
      <w:r>
        <w:rPr>
          <w:rFonts w:hint="eastAsia" w:ascii="方正小标宋简体" w:hAnsi="方正小标宋简体" w:eastAsia="方正小标宋简体" w:cs="方正小标宋简体"/>
          <w:b w:val="0"/>
          <w:bCs w:val="0"/>
          <w:color w:val="000000"/>
          <w:kern w:val="0"/>
          <w:sz w:val="44"/>
          <w:szCs w:val="44"/>
          <w:lang w:eastAsia="zh-CN"/>
        </w:rPr>
        <w:t>湘潭县医疗保障局</w:t>
      </w:r>
      <w:r>
        <w:rPr>
          <w:rFonts w:hint="eastAsia" w:ascii="方正小标宋简体" w:hAnsi="方正小标宋简体" w:eastAsia="方正小标宋简体" w:cs="方正小标宋简体"/>
          <w:b w:val="0"/>
          <w:bCs w:val="0"/>
          <w:color w:val="000000"/>
          <w:kern w:val="0"/>
          <w:sz w:val="44"/>
          <w:szCs w:val="44"/>
        </w:rPr>
        <w:t>部门整体支出绩效评价报告</w:t>
      </w:r>
    </w:p>
    <w:p>
      <w:pPr>
        <w:widowControl/>
        <w:ind w:firstLine="948" w:firstLineChars="300"/>
        <w:jc w:val="center"/>
        <w:rPr>
          <w:rFonts w:hint="eastAsia" w:ascii="宋体" w:hAnsi="宋体" w:cs="宋体"/>
          <w:b/>
          <w:bCs/>
          <w:color w:val="000000"/>
          <w:kern w:val="0"/>
          <w:sz w:val="32"/>
          <w:szCs w:val="32"/>
        </w:rPr>
      </w:pPr>
    </w:p>
    <w:p>
      <w:pPr>
        <w:pStyle w:val="14"/>
        <w:spacing w:line="560" w:lineRule="exact"/>
        <w:ind w:firstLine="632" w:firstLineChars="200"/>
        <w:rPr>
          <w:rFonts w:ascii="黑体" w:hAnsi="黑体" w:eastAsia="黑体"/>
          <w:b w:val="0"/>
          <w:bCs/>
          <w:kern w:val="0"/>
          <w:sz w:val="32"/>
          <w:szCs w:val="32"/>
        </w:rPr>
      </w:pPr>
      <w:r>
        <w:rPr>
          <w:rFonts w:hint="eastAsia" w:ascii="黑体" w:hAnsi="黑体" w:eastAsia="黑体"/>
          <w:b w:val="0"/>
          <w:bCs/>
          <w:kern w:val="0"/>
          <w:sz w:val="32"/>
          <w:szCs w:val="32"/>
        </w:rPr>
        <w:t>一、</w:t>
      </w:r>
      <w:r>
        <w:rPr>
          <w:rFonts w:hint="eastAsia" w:ascii="黑体" w:hAnsi="黑体" w:eastAsia="黑体"/>
          <w:b w:val="0"/>
          <w:bCs/>
          <w:kern w:val="0"/>
          <w:sz w:val="32"/>
          <w:szCs w:val="32"/>
          <w:lang w:eastAsia="zh-CN"/>
        </w:rPr>
        <w:t>单位</w:t>
      </w:r>
      <w:r>
        <w:rPr>
          <w:rFonts w:hint="eastAsia" w:ascii="黑体" w:hAnsi="黑体" w:eastAsia="黑体"/>
          <w:b w:val="0"/>
          <w:bCs/>
          <w:kern w:val="0"/>
          <w:sz w:val="32"/>
          <w:szCs w:val="32"/>
        </w:rPr>
        <w:t>基本情况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湘潭县医疗保障局（以下简称县医保局）是县人民政府的工作部门，主管全县的医疗保障工作，下设办公室、规划财务和法规股、待遇保障和医药服务管理股、医药价格和招标采购股、基金监管股五个股室和二级事业单位湘潭县医疗保障事务中心，现有工作人员</w:t>
      </w:r>
      <w:r>
        <w:rPr>
          <w:rFonts w:hint="eastAsia" w:ascii="Times New Roman" w:hAnsi="Times New Roman" w:eastAsia="仿宋_GB2312" w:cs="Times New Roman"/>
          <w:kern w:val="0"/>
          <w:sz w:val="32"/>
          <w:szCs w:val="32"/>
          <w:lang w:val="en-US" w:eastAsia="zh-CN" w:bidi="ar-SA"/>
        </w:rPr>
        <w:t>39</w:t>
      </w:r>
      <w:r>
        <w:rPr>
          <w:rFonts w:hint="eastAsia" w:ascii="仿宋_GB2312" w:hAnsi="仿宋_GB2312" w:eastAsia="仿宋_GB2312" w:cs="仿宋_GB2312"/>
          <w:color w:val="000000"/>
          <w:kern w:val="0"/>
          <w:sz w:val="32"/>
          <w:szCs w:val="32"/>
          <w:lang w:val="en-US" w:eastAsia="zh-CN" w:bidi="ar-SA"/>
        </w:rPr>
        <w:t>人。县医保局承担的主要职责是：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贯彻执行国家和省市医疗保险、生育保险、医疗救助等医疗保障法律法规和政策制度，按规定起草全县医疗保险、生育保险、医疗救助等医疗保障规范性文件并组织落实。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SA"/>
        </w:rPr>
        <w:t>组织实施省市医疗保障基金监督管理办法，监督管理相关医疗保障基金，建立健全医疗保障基金安全防控机制，推进医疗保障基金支付方式改革。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组织实施省市医疗保障筹资和待遇政策，完善全县动态调整和区域调剂平衡机制，统筹全县城乡医疗保障待遇标准，建立健全与筹资水平相适应的待遇调整机制，组织实施长期护理保险制度改革。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4.</w:t>
      </w:r>
      <w:r>
        <w:rPr>
          <w:rFonts w:hint="eastAsia" w:ascii="仿宋_GB2312" w:hAnsi="仿宋_GB2312" w:eastAsia="仿宋_GB2312" w:cs="仿宋_GB2312"/>
          <w:color w:val="000000"/>
          <w:kern w:val="0"/>
          <w:sz w:val="32"/>
          <w:szCs w:val="32"/>
          <w:lang w:val="en-US" w:eastAsia="zh-CN" w:bidi="ar-SA"/>
        </w:rPr>
        <w:t>组织实施全省统一制定的药品、医用耗材、医疗服务项目、医疗服务设施等医保目录和支付标准，落实动态调整机制，组织实施省制定的医保目录准入谈判规则。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5.</w:t>
      </w:r>
      <w:r>
        <w:rPr>
          <w:rFonts w:hint="eastAsia" w:ascii="仿宋_GB2312" w:hAnsi="仿宋_GB2312" w:eastAsia="仿宋_GB2312" w:cs="仿宋_GB2312"/>
          <w:color w:val="000000"/>
          <w:kern w:val="0"/>
          <w:sz w:val="32"/>
          <w:szCs w:val="32"/>
          <w:lang w:val="en-US" w:eastAsia="zh-CN" w:bidi="ar-SA"/>
        </w:rPr>
        <w:t>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6.</w:t>
      </w:r>
      <w:r>
        <w:rPr>
          <w:rFonts w:hint="eastAsia" w:ascii="仿宋_GB2312" w:hAnsi="仿宋_GB2312" w:eastAsia="仿宋_GB2312" w:cs="仿宋_GB2312"/>
          <w:color w:val="000000"/>
          <w:kern w:val="0"/>
          <w:sz w:val="32"/>
          <w:szCs w:val="32"/>
          <w:lang w:val="en-US" w:eastAsia="zh-CN" w:bidi="ar-SA"/>
        </w:rPr>
        <w:t>组织实施省市制定的药品、医用耗材的招标采购政策并监督实施，承担药品、医用耗材招标采购平台建设。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7.</w:t>
      </w:r>
      <w:r>
        <w:rPr>
          <w:rFonts w:hint="eastAsia" w:ascii="仿宋_GB2312" w:hAnsi="仿宋_GB2312" w:eastAsia="仿宋_GB2312" w:cs="仿宋_GB2312"/>
          <w:color w:val="000000"/>
          <w:kern w:val="0"/>
          <w:sz w:val="32"/>
          <w:szCs w:val="32"/>
          <w:lang w:val="en-US" w:eastAsia="zh-CN" w:bidi="ar-SA"/>
        </w:rPr>
        <w:t>组织实施省市县定点医药机构协议和支付管理办法，建立健全医疗保障信用评价体系和信息披露制度，监督管理纳入医保范围内的医疗服务行为和医疗费用，依法查处医疗保障领域违法违规行为。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8.</w:t>
      </w:r>
      <w:r>
        <w:rPr>
          <w:rFonts w:hint="eastAsia" w:ascii="仿宋_GB2312" w:hAnsi="仿宋_GB2312" w:eastAsia="仿宋_GB2312" w:cs="仿宋_GB2312"/>
          <w:color w:val="000000"/>
          <w:kern w:val="0"/>
          <w:sz w:val="32"/>
          <w:szCs w:val="32"/>
          <w:lang w:val="en-US" w:eastAsia="zh-CN" w:bidi="ar-SA"/>
        </w:rPr>
        <w:t>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9.</w:t>
      </w:r>
      <w:r>
        <w:rPr>
          <w:rFonts w:hint="eastAsia" w:ascii="仿宋_GB2312" w:hAnsi="仿宋_GB2312" w:eastAsia="仿宋_GB2312" w:cs="仿宋_GB2312"/>
          <w:color w:val="000000"/>
          <w:kern w:val="0"/>
          <w:sz w:val="32"/>
          <w:szCs w:val="32"/>
          <w:lang w:val="en-US" w:eastAsia="zh-CN" w:bidi="ar-SA"/>
        </w:rPr>
        <w:t>完成县委、县人民政府交办的其他任务。</w:t>
      </w:r>
    </w:p>
    <w:p>
      <w:pPr>
        <w:pStyle w:val="14"/>
        <w:spacing w:line="560" w:lineRule="exact"/>
        <w:ind w:firstLine="632" w:firstLineChars="200"/>
        <w:rPr>
          <w:rFonts w:ascii="黑体" w:hAnsi="黑体" w:eastAsia="黑体"/>
          <w:b w:val="0"/>
          <w:bCs/>
          <w:kern w:val="0"/>
          <w:sz w:val="32"/>
          <w:szCs w:val="32"/>
        </w:rPr>
      </w:pPr>
      <w:r>
        <w:rPr>
          <w:rFonts w:hint="eastAsia" w:ascii="黑体" w:hAnsi="黑体" w:eastAsia="黑体"/>
          <w:b w:val="0"/>
          <w:bCs/>
          <w:kern w:val="0"/>
          <w:sz w:val="32"/>
          <w:szCs w:val="32"/>
          <w:lang w:eastAsia="zh-CN"/>
        </w:rPr>
        <w:t>二</w:t>
      </w:r>
      <w:r>
        <w:rPr>
          <w:rFonts w:hint="eastAsia" w:ascii="黑体" w:hAnsi="黑体" w:eastAsia="黑体"/>
          <w:b w:val="0"/>
          <w:bCs/>
          <w:kern w:val="0"/>
          <w:sz w:val="32"/>
          <w:szCs w:val="32"/>
        </w:rPr>
        <w:t>、绩效评价工作情况</w:t>
      </w:r>
    </w:p>
    <w:p>
      <w:pPr>
        <w:pStyle w:val="14"/>
        <w:spacing w:line="56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（一）</w:t>
      </w:r>
      <w:r>
        <w:rPr>
          <w:rFonts w:hint="eastAsia" w:ascii="仿宋_GB2312" w:hAnsi="仿宋_GB2312" w:eastAsia="仿宋_GB2312" w:cs="仿宋_GB2312"/>
          <w:color w:val="000000"/>
          <w:kern w:val="0"/>
          <w:sz w:val="32"/>
          <w:szCs w:val="32"/>
          <w:lang w:val="en-US" w:eastAsia="zh-CN" w:bidi="ar-SA"/>
        </w:rPr>
        <w:t>绩效评价目的</w:t>
      </w:r>
    </w:p>
    <w:p>
      <w:pPr>
        <w:tabs>
          <w:tab w:val="left" w:pos="870"/>
        </w:tabs>
        <w:spacing w:line="560" w:lineRule="exact"/>
        <w:ind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通过绩效评价，一是进一步加强医保资金管理，节约财政预算资金，强化预算支出的责任和效率，提高财政资金的使用效益，为下一年财政预算安排提供依据；二是落实国家医疗待遇政策，维护社会的安定和谐稳定。</w:t>
      </w:r>
    </w:p>
    <w:p>
      <w:pPr>
        <w:pStyle w:val="14"/>
        <w:spacing w:line="56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（二）绩</w:t>
      </w:r>
      <w:r>
        <w:rPr>
          <w:rFonts w:hint="eastAsia" w:ascii="仿宋_GB2312" w:hAnsi="仿宋_GB2312" w:eastAsia="仿宋_GB2312" w:cs="仿宋_GB2312"/>
          <w:color w:val="000000"/>
          <w:kern w:val="0"/>
          <w:sz w:val="32"/>
          <w:szCs w:val="32"/>
          <w:lang w:val="en-US" w:eastAsia="zh-CN" w:bidi="ar-SA"/>
        </w:rPr>
        <w:t>效评价工作过程</w:t>
      </w:r>
    </w:p>
    <w:p>
      <w:pPr>
        <w:widowControl/>
        <w:spacing w:line="60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Times New Roman" w:hAnsi="Times New Roman" w:cs="Times New Roman"/>
          <w:color w:val="000000"/>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前期准备。按照《湘潭县</w:t>
      </w:r>
      <w:r>
        <w:rPr>
          <w:rFonts w:hint="eastAsia" w:ascii="Times New Roman" w:hAnsi="Times New Roman" w:eastAsia="仿宋_GB2312" w:cs="Times New Roman"/>
          <w:kern w:val="0"/>
          <w:sz w:val="32"/>
          <w:szCs w:val="32"/>
          <w:lang w:val="en-US" w:eastAsia="zh-CN"/>
        </w:rPr>
        <w:t>2021</w:t>
      </w:r>
      <w:r>
        <w:rPr>
          <w:rFonts w:hint="eastAsia" w:ascii="仿宋_GB2312" w:hAnsi="仿宋_GB2312" w:eastAsia="仿宋_GB2312" w:cs="仿宋_GB2312"/>
          <w:color w:val="000000"/>
          <w:kern w:val="0"/>
          <w:sz w:val="32"/>
          <w:szCs w:val="32"/>
          <w:lang w:val="en-US" w:eastAsia="zh-CN" w:bidi="ar-SA"/>
        </w:rPr>
        <w:t>年度预算绩效管理工作方案》（潭财发〔</w:t>
      </w:r>
      <w:r>
        <w:rPr>
          <w:rFonts w:hint="eastAsia" w:ascii="Times New Roman" w:hAnsi="Times New Roman" w:eastAsia="仿宋_GB2312" w:cs="Times New Roman"/>
          <w:kern w:val="0"/>
          <w:sz w:val="32"/>
          <w:szCs w:val="32"/>
          <w:lang w:val="en-US" w:eastAsia="zh-CN"/>
        </w:rPr>
        <w:t>2021</w:t>
      </w:r>
      <w:r>
        <w:rPr>
          <w:rFonts w:hint="eastAsia" w:ascii="仿宋_GB2312" w:hAnsi="仿宋_GB2312" w:eastAsia="仿宋_GB2312" w:cs="仿宋_GB2312"/>
          <w:color w:val="000000"/>
          <w:kern w:val="0"/>
          <w:sz w:val="32"/>
          <w:szCs w:val="32"/>
          <w:lang w:val="en-US" w:eastAsia="zh-CN" w:bidi="ar-SA"/>
        </w:rPr>
        <w:t>〕</w:t>
      </w:r>
      <w:r>
        <w:rPr>
          <w:rFonts w:hint="eastAsia" w:ascii="Times New Roman" w:hAnsi="Times New Roman" w:eastAsia="仿宋_GB2312" w:cs="Times New Roman"/>
          <w:kern w:val="0"/>
          <w:sz w:val="32"/>
          <w:szCs w:val="32"/>
          <w:lang w:val="en-US" w:eastAsia="zh-CN"/>
        </w:rPr>
        <w:t>6</w:t>
      </w:r>
      <w:r>
        <w:rPr>
          <w:rFonts w:hint="eastAsia" w:ascii="仿宋_GB2312" w:hAnsi="仿宋_GB2312" w:eastAsia="仿宋_GB2312" w:cs="仿宋_GB2312"/>
          <w:color w:val="000000"/>
          <w:kern w:val="0"/>
          <w:sz w:val="32"/>
          <w:szCs w:val="32"/>
          <w:lang w:val="en-US" w:eastAsia="zh-CN" w:bidi="ar-SA"/>
        </w:rPr>
        <w:t>号）的文件精神，召开了相关工作会议，对专项资金绩效评价工作进行了分工部署，成立了绩效自评小组。</w:t>
      </w:r>
    </w:p>
    <w:p>
      <w:pPr>
        <w:widowControl/>
        <w:spacing w:line="60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Times New Roman" w:hAnsi="Times New Roman" w:cs="Times New Roman"/>
          <w:color w:val="000000"/>
          <w:kern w:val="0"/>
          <w:sz w:val="32"/>
          <w:szCs w:val="32"/>
          <w:lang w:val="en-US" w:eastAsia="zh-CN" w:bidi="ar-SA"/>
        </w:rPr>
        <w:t>2.组织实施。由湘潭县医疗保障局成立绩效评价领导小组，我局财</w:t>
      </w:r>
      <w:r>
        <w:rPr>
          <w:rFonts w:hint="eastAsia" w:ascii="仿宋_GB2312" w:hAnsi="仿宋_GB2312" w:eastAsia="仿宋_GB2312" w:cs="仿宋_GB2312"/>
          <w:color w:val="000000"/>
          <w:kern w:val="0"/>
          <w:sz w:val="32"/>
          <w:szCs w:val="32"/>
          <w:lang w:val="en-US" w:eastAsia="zh-CN" w:bidi="ar-SA"/>
        </w:rPr>
        <w:t>务规划和法规股负责具体实施。</w:t>
      </w:r>
    </w:p>
    <w:p>
      <w:pPr>
        <w:widowControl/>
        <w:spacing w:line="60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Times New Roman" w:hAnsi="Times New Roman" w:cs="Times New Roman"/>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分析评价。一是确立绩效评价原则。</w:t>
      </w:r>
      <w:r>
        <w:rPr>
          <w:rFonts w:hint="eastAsia" w:ascii="仿宋_GB2312" w:hAnsi="仿宋_GB2312" w:cs="仿宋_GB2312"/>
          <w:color w:val="000000"/>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科学规范原则。绩效评价应当严格执行规定的程序，按照科学可行的要求，采用定量与定性分析相结合的方法；</w:t>
      </w:r>
      <w:r>
        <w:rPr>
          <w:rFonts w:hint="eastAsia" w:ascii="仿宋_GB2312" w:hAnsi="仿宋_GB2312" w:cs="仿宋_GB2312"/>
          <w:color w:val="000000"/>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SA"/>
        </w:rPr>
        <w:t>公正公开原则。绩效评价应当符合真实、客观、公正的要求，依法公开并接受监督；</w:t>
      </w:r>
      <w:r>
        <w:rPr>
          <w:rFonts w:hint="eastAsia" w:ascii="仿宋_GB2312" w:hAnsi="仿宋_GB2312" w:cs="仿宋_GB2312"/>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绩效相关原则。绩效评价应当针对具体支出和产出绩效进行，评价结果应当清晰反映支出和产出绩效之间的紧密对应关系。二是确立评价指标体系。该项目设项目决策、管理、绩效</w:t>
      </w:r>
      <w:r>
        <w:rPr>
          <w:rFonts w:hint="default" w:ascii="Times New Roman" w:hAnsi="Times New Roman" w:eastAsia="仿宋_GB2312" w:cs="Times New Roman"/>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个一级指标；项目目标、决策过程、资金分配、资金到位、资金管理、组织实施、项目产出、项目效果</w:t>
      </w:r>
      <w:r>
        <w:rPr>
          <w:rFonts w:hint="eastAsia" w:ascii="Times New Roman" w:hAnsi="Times New Roman" w:eastAsia="仿宋_GB2312" w:cs="Times New Roman"/>
          <w:color w:val="000000"/>
          <w:kern w:val="0"/>
          <w:sz w:val="32"/>
          <w:szCs w:val="32"/>
          <w:lang w:val="en-US" w:eastAsia="zh-CN" w:bidi="ar-SA"/>
        </w:rPr>
        <w:t>6个二级指标；目标内容、决策依据等19个</w:t>
      </w:r>
      <w:r>
        <w:rPr>
          <w:rFonts w:hint="eastAsia" w:ascii="仿宋_GB2312" w:hAnsi="仿宋_GB2312" w:eastAsia="仿宋_GB2312" w:cs="仿宋_GB2312"/>
          <w:color w:val="000000"/>
          <w:kern w:val="0"/>
          <w:sz w:val="32"/>
          <w:szCs w:val="32"/>
          <w:lang w:val="en-US" w:eastAsia="zh-CN" w:bidi="ar-SA"/>
        </w:rPr>
        <w:t>三级指标。三是确立评价方法。本次评价主要对部门整体支出进行评价，对社会满意度按服务对象调查问卷来评价。</w:t>
      </w:r>
    </w:p>
    <w:p>
      <w:pPr>
        <w:tabs>
          <w:tab w:val="left" w:pos="870"/>
        </w:tabs>
        <w:spacing w:line="560" w:lineRule="exact"/>
        <w:ind w:firstLine="632" w:firstLineChars="200"/>
        <w:jc w:val="both"/>
        <w:rPr>
          <w:rFonts w:hint="eastAsia" w:ascii="仿宋_GB2312" w:hAnsi="仿宋_GB2312" w:eastAsia="仿宋_GB2312" w:cs="仿宋_GB2312"/>
          <w:sz w:val="32"/>
          <w:szCs w:val="32"/>
        </w:rPr>
      </w:pPr>
      <w:r>
        <w:rPr>
          <w:rFonts w:hint="default" w:ascii="Times New Roman" w:hAnsi="Times New Roman" w:cs="Times New Roman"/>
          <w:color w:val="000000"/>
          <w:kern w:val="0"/>
          <w:sz w:val="32"/>
          <w:szCs w:val="32"/>
          <w:lang w:val="en-US" w:eastAsia="zh-CN" w:bidi="ar-SA"/>
        </w:rPr>
        <w:t>4.</w:t>
      </w:r>
      <w:r>
        <w:rPr>
          <w:rFonts w:hint="eastAsia" w:ascii="仿宋_GB2312" w:hAnsi="仿宋_GB2312" w:eastAsia="仿宋_GB2312" w:cs="仿宋_GB2312"/>
          <w:color w:val="000000"/>
          <w:kern w:val="0"/>
          <w:sz w:val="32"/>
          <w:szCs w:val="32"/>
          <w:lang w:val="en-US" w:eastAsia="zh-CN" w:bidi="ar-SA"/>
        </w:rPr>
        <w:t>项目单位自评情况。详细见《基础数据表》内自评情况表。</w:t>
      </w:r>
    </w:p>
    <w:p>
      <w:pPr>
        <w:pStyle w:val="14"/>
        <w:spacing w:line="560" w:lineRule="exact"/>
        <w:ind w:firstLine="632" w:firstLineChars="200"/>
        <w:rPr>
          <w:rFonts w:hint="eastAsia" w:ascii="黑体" w:hAnsi="黑体" w:eastAsia="黑体"/>
          <w:b/>
          <w:kern w:val="0"/>
          <w:sz w:val="32"/>
          <w:szCs w:val="32"/>
          <w:lang w:eastAsia="zh-CN"/>
        </w:rPr>
      </w:pPr>
      <w:r>
        <w:rPr>
          <w:rFonts w:hint="eastAsia" w:ascii="黑体" w:hAnsi="黑体" w:eastAsia="黑体"/>
          <w:b w:val="0"/>
          <w:bCs/>
          <w:kern w:val="0"/>
          <w:sz w:val="32"/>
          <w:szCs w:val="32"/>
        </w:rPr>
        <w:t>三、</w:t>
      </w:r>
      <w:r>
        <w:rPr>
          <w:rFonts w:hint="eastAsia" w:ascii="黑体" w:hAnsi="黑体" w:eastAsia="黑体"/>
          <w:b w:val="0"/>
          <w:bCs/>
          <w:kern w:val="0"/>
          <w:sz w:val="32"/>
          <w:szCs w:val="32"/>
          <w:lang w:eastAsia="zh-CN"/>
        </w:rPr>
        <w:t>绩效完成情况</w:t>
      </w:r>
    </w:p>
    <w:p>
      <w:pPr>
        <w:pStyle w:val="14"/>
        <w:spacing w:line="56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（一）部门整体支出完成情况</w:t>
      </w:r>
    </w:p>
    <w:p>
      <w:pPr>
        <w:pStyle w:val="14"/>
        <w:spacing w:line="560" w:lineRule="exact"/>
        <w:ind w:firstLine="632" w:firstLineChars="200"/>
        <w:rPr>
          <w:rFonts w:hint="eastAsia" w:ascii="Times New Roman" w:hAnsi="Times New Roman" w:eastAsia="仿宋_GB2312" w:cs="Times New Roman"/>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1.全年预算情况：</w:t>
      </w:r>
      <w:r>
        <w:rPr>
          <w:rFonts w:hint="eastAsia" w:ascii="Times New Roman" w:hAnsi="Times New Roman" w:eastAsia="仿宋_GB2312" w:cs="Times New Roman"/>
          <w:kern w:val="0"/>
          <w:sz w:val="32"/>
          <w:szCs w:val="32"/>
          <w:lang w:val="en-US" w:eastAsia="zh-CN" w:bidi="ar-SA"/>
        </w:rPr>
        <w:t>年初结转资金7.23万元。本年收入合计7012.85万元，其中年度财政拨款收入7012.85万元，其他收入0万元。</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仿宋_GB2312" w:hAnsi="仿宋_GB2312" w:cs="仿宋_GB2312"/>
          <w:color w:val="000000"/>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SA"/>
        </w:rPr>
        <w:t>预算执行情况：</w:t>
      </w:r>
      <w:r>
        <w:rPr>
          <w:rFonts w:hint="eastAsia" w:ascii="Times New Roman" w:hAnsi="Times New Roman" w:eastAsia="仿宋_GB2312" w:cs="Times New Roman"/>
          <w:kern w:val="0"/>
          <w:sz w:val="32"/>
          <w:szCs w:val="32"/>
          <w:lang w:val="en-US" w:eastAsia="zh-CN"/>
        </w:rPr>
        <w:t>本年支出合计353</w:t>
      </w:r>
      <w:r>
        <w:rPr>
          <w:rFonts w:hint="eastAsia" w:cs="Times New Roman"/>
          <w:kern w:val="0"/>
          <w:sz w:val="32"/>
          <w:szCs w:val="32"/>
          <w:lang w:val="en-US" w:eastAsia="zh-CN"/>
        </w:rPr>
        <w:t>2.57</w:t>
      </w:r>
      <w:r>
        <w:rPr>
          <w:rFonts w:hint="eastAsia" w:ascii="Times New Roman" w:hAnsi="Times New Roman" w:eastAsia="仿宋_GB2312" w:cs="Times New Roman"/>
          <w:kern w:val="0"/>
          <w:sz w:val="32"/>
          <w:szCs w:val="32"/>
          <w:lang w:val="en-US" w:eastAsia="zh-CN"/>
        </w:rPr>
        <w:t>万元，其中，</w:t>
      </w:r>
      <w:r>
        <w:rPr>
          <w:rFonts w:hint="eastAsia" w:cs="Times New Roman"/>
          <w:kern w:val="0"/>
          <w:sz w:val="32"/>
          <w:szCs w:val="32"/>
          <w:lang w:val="en-US" w:eastAsia="zh-CN"/>
        </w:rPr>
        <w:t>基本</w:t>
      </w:r>
      <w:r>
        <w:rPr>
          <w:rFonts w:hint="eastAsia" w:ascii="Times New Roman" w:hAnsi="Times New Roman" w:eastAsia="仿宋_GB2312" w:cs="Times New Roman"/>
          <w:kern w:val="0"/>
          <w:sz w:val="32"/>
          <w:szCs w:val="32"/>
          <w:lang w:val="en-US" w:eastAsia="zh-CN"/>
        </w:rPr>
        <w:t>支出</w:t>
      </w:r>
      <w:r>
        <w:rPr>
          <w:rFonts w:hint="eastAsia" w:cs="Times New Roman"/>
          <w:kern w:val="0"/>
          <w:sz w:val="32"/>
          <w:szCs w:val="32"/>
          <w:lang w:val="en-US" w:eastAsia="zh-CN"/>
        </w:rPr>
        <w:t>600.42</w:t>
      </w:r>
      <w:r>
        <w:rPr>
          <w:rFonts w:hint="eastAsia" w:ascii="Times New Roman" w:hAnsi="Times New Roman" w:eastAsia="仿宋_GB2312" w:cs="Times New Roman"/>
          <w:kern w:val="0"/>
          <w:sz w:val="32"/>
          <w:szCs w:val="32"/>
          <w:lang w:val="en-US" w:eastAsia="zh-CN"/>
        </w:rPr>
        <w:t>万元，</w:t>
      </w:r>
      <w:r>
        <w:rPr>
          <w:rFonts w:hint="eastAsia" w:cs="Times New Roman"/>
          <w:kern w:val="0"/>
          <w:sz w:val="32"/>
          <w:szCs w:val="32"/>
          <w:lang w:val="en-US" w:eastAsia="zh-CN"/>
        </w:rPr>
        <w:t>项目支出2832.15</w:t>
      </w:r>
      <w:r>
        <w:rPr>
          <w:rFonts w:hint="eastAsia" w:ascii="Times New Roman" w:hAnsi="Times New Roman" w:eastAsia="仿宋_GB2312" w:cs="Times New Roman"/>
          <w:kern w:val="0"/>
          <w:sz w:val="32"/>
          <w:szCs w:val="32"/>
          <w:lang w:val="en-US" w:eastAsia="zh-CN"/>
        </w:rPr>
        <w:t>万元。</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cs="Times New Roman"/>
          <w:kern w:val="0"/>
          <w:sz w:val="32"/>
          <w:szCs w:val="32"/>
          <w:lang w:val="en-US" w:eastAsia="zh-CN"/>
        </w:rPr>
        <w:t>3.</w:t>
      </w:r>
      <w:r>
        <w:rPr>
          <w:rFonts w:hint="eastAsia" w:ascii="Times New Roman" w:hAnsi="Times New Roman" w:eastAsia="仿宋_GB2312" w:cs="Times New Roman"/>
          <w:kern w:val="0"/>
          <w:sz w:val="32"/>
          <w:szCs w:val="32"/>
          <w:lang w:val="en-US" w:eastAsia="zh-CN"/>
        </w:rPr>
        <w:t>“三公经费”支出合计0.05万元。严格控制在财政年初预算下达数内。其中公务接待费0.05万元，无公务用车运行维护费,无因公出国（境）费用。</w:t>
      </w:r>
    </w:p>
    <w:p>
      <w:pPr>
        <w:pStyle w:val="14"/>
        <w:spacing w:line="56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（二）绩效目标完成情况</w:t>
      </w:r>
    </w:p>
    <w:p>
      <w:pPr>
        <w:pStyle w:val="14"/>
        <w:spacing w:line="560" w:lineRule="exact"/>
        <w:ind w:firstLine="632" w:firstLineChars="200"/>
        <w:rPr>
          <w:rFonts w:hint="eastAsia" w:ascii="Times New Roman" w:hAnsi="Times New Roman" w:eastAsia="仿宋_GB2312" w:cs="Times New Roman"/>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1.医保参保覆盖率方面。建立社会保险全覆盖是党和政府惠民政策的重要内容，为实现城乡居民医保参保缴费完成</w:t>
      </w:r>
      <w:r>
        <w:rPr>
          <w:rFonts w:hint="eastAsia" w:ascii="Times New Roman" w:hAnsi="Times New Roman" w:eastAsia="仿宋_GB2312" w:cs="Times New Roman"/>
          <w:kern w:val="0"/>
          <w:sz w:val="32"/>
          <w:szCs w:val="32"/>
          <w:lang w:val="en-US" w:eastAsia="zh-CN" w:bidi="ar-SA"/>
        </w:rPr>
        <w:t>95%的指标，我们向上积极争取县委、县政府支持，通过制定征缴工作方案，加强与税务等部门协调，加大政府宣传力度，压实乡镇工作责任等措施，调动镇村干部积极性。2020年全县参保人数为788161人，其中城镇职工医保参保人数为50786人，城乡居民医保参保人数为737375人，参保率稳定在95%以上。2020年人均筹资达到800元，其中个人缴费250元，各级财政补助550元，共筹资58990.00万元，为提高待遇保障提供了有力支撑。</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仿宋_GB2312" w:hAnsi="仿宋_GB2312" w:cs="仿宋_GB2312"/>
          <w:color w:val="000000"/>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SA"/>
        </w:rPr>
        <w:t>医保待遇落实方面。</w:t>
      </w:r>
      <w:r>
        <w:rPr>
          <w:rFonts w:hint="eastAsia" w:ascii="Times New Roman" w:hAnsi="Times New Roman" w:eastAsia="仿宋_GB2312" w:cs="Times New Roman"/>
          <w:kern w:val="0"/>
          <w:sz w:val="32"/>
          <w:szCs w:val="32"/>
          <w:lang w:val="en-US" w:eastAsia="zh-CN"/>
        </w:rPr>
        <w:t>2020年城乡居民医保基金支出 56047万元，其中住院统筹基金支出64781.08万元，门诊统筹（含特殊病门诊）支出4457.63万元，大病保险支出 5183.20万元。城镇职工医保基金支出19366万元，其中住院费用9686.85万元，门诊费用1661.45万元。特殊人群财政补助收入1613.84万元（离休干部 587.09万元，荣残军人1008.53万元），支出1595.63万元。</w:t>
      </w:r>
    </w:p>
    <w:p>
      <w:pPr>
        <w:widowControl/>
        <w:spacing w:line="600" w:lineRule="exact"/>
        <w:ind w:firstLine="632" w:firstLineChars="200"/>
        <w:rPr>
          <w:rFonts w:hint="eastAsia" w:ascii="Times New Roman" w:hAnsi="Times New Roman" w:eastAsia="仿宋_GB2312" w:cs="Times New Roman"/>
          <w:kern w:val="0"/>
          <w:sz w:val="32"/>
          <w:szCs w:val="32"/>
          <w:lang w:val="en-US" w:eastAsia="zh-CN"/>
        </w:rPr>
      </w:pPr>
      <w:r>
        <w:rPr>
          <w:rFonts w:hint="eastAsia" w:ascii="Times New Roman" w:hAnsi="Times New Roman" w:cs="Times New Roman"/>
          <w:kern w:val="0"/>
          <w:sz w:val="32"/>
          <w:szCs w:val="32"/>
          <w:lang w:val="en-US" w:eastAsia="zh-CN"/>
        </w:rPr>
        <w:t>3.</w:t>
      </w:r>
      <w:r>
        <w:rPr>
          <w:rFonts w:hint="eastAsia" w:ascii="Times New Roman" w:hAnsi="Times New Roman" w:eastAsia="仿宋_GB2312" w:cs="Times New Roman"/>
          <w:kern w:val="0"/>
          <w:sz w:val="32"/>
          <w:szCs w:val="32"/>
          <w:lang w:val="en-US" w:eastAsia="zh-CN"/>
        </w:rPr>
        <w:t>健康扶贫方面。2020年，我县建档立卡贫困户44487人全额资助参保，参保率100%。全年，建档立卡人员县域内结算26092人次，总费用11220.75万元，个人支付1029.93万元，实际报销比例90.82%；县域外结算3733人次，总费用2502.72万元，个人支付837.10万元，实际报销比例66.55%，有效防止因病返贫现象。今年健康扶贫国检、省检均顺利通过。</w:t>
      </w:r>
    </w:p>
    <w:p>
      <w:pPr>
        <w:widowControl/>
        <w:spacing w:line="60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Times New Roman" w:hAnsi="Times New Roman" w:cs="Times New Roman"/>
          <w:kern w:val="0"/>
          <w:sz w:val="32"/>
          <w:szCs w:val="32"/>
          <w:lang w:val="en-US" w:eastAsia="zh-CN"/>
        </w:rPr>
        <w:t>4.</w:t>
      </w:r>
      <w:r>
        <w:rPr>
          <w:rFonts w:hint="eastAsia" w:ascii="Times New Roman" w:hAnsi="Times New Roman" w:eastAsia="仿宋_GB2312" w:cs="Times New Roman"/>
          <w:kern w:val="0"/>
          <w:sz w:val="32"/>
          <w:szCs w:val="32"/>
          <w:lang w:val="en-US" w:eastAsia="zh-CN"/>
        </w:rPr>
        <w:t>协议管理方面。对协议医药机构、医疗机构合同签订率达100%，全年与75家医疗机构、近300</w:t>
      </w:r>
      <w:r>
        <w:rPr>
          <w:rFonts w:hint="eastAsia" w:ascii="仿宋_GB2312" w:hAnsi="仿宋_GB2312" w:eastAsia="仿宋_GB2312" w:cs="仿宋_GB2312"/>
          <w:color w:val="000000"/>
          <w:kern w:val="0"/>
          <w:sz w:val="32"/>
          <w:szCs w:val="32"/>
          <w:lang w:val="en-US" w:eastAsia="zh-CN" w:bidi="ar-SA"/>
        </w:rPr>
        <w:t>家零售药店、（特殊）门诊点签订管理协议，对被管理机构人员从业资质、执行医保用药目录范围、医保卡刷卡流程、医保目录范围内药品进货渠道等进行管理。</w:t>
      </w:r>
    </w:p>
    <w:p>
      <w:pPr>
        <w:tabs>
          <w:tab w:val="left" w:pos="870"/>
        </w:tabs>
        <w:spacing w:line="560" w:lineRule="exact"/>
        <w:ind w:firstLine="632" w:firstLineChars="200"/>
        <w:jc w:val="both"/>
        <w:rPr>
          <w:rFonts w:ascii="黑体" w:hAnsi="黑体" w:eastAsia="黑体"/>
          <w:b w:val="0"/>
          <w:bCs/>
          <w:sz w:val="32"/>
          <w:szCs w:val="32"/>
        </w:rPr>
      </w:pPr>
      <w:r>
        <w:rPr>
          <w:rFonts w:hint="eastAsia" w:ascii="黑体" w:hAnsi="黑体" w:eastAsia="黑体"/>
          <w:b w:val="0"/>
          <w:bCs/>
          <w:sz w:val="32"/>
          <w:szCs w:val="32"/>
        </w:rPr>
        <w:t>四、绩效评价结果</w:t>
      </w:r>
    </w:p>
    <w:p>
      <w:pPr>
        <w:pStyle w:val="14"/>
        <w:spacing w:line="560" w:lineRule="exact"/>
        <w:ind w:firstLine="632"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根据财政项目支出自评体系要求，我局对</w:t>
      </w:r>
      <w:r>
        <w:rPr>
          <w:rFonts w:hint="eastAsia" w:ascii="Times New Roman" w:hAnsi="Times New Roman" w:eastAsia="仿宋_GB2312" w:cs="Times New Roman"/>
          <w:kern w:val="0"/>
          <w:sz w:val="32"/>
          <w:szCs w:val="32"/>
          <w:lang w:val="en-US" w:eastAsia="zh-CN" w:bidi="ar-SA"/>
        </w:rPr>
        <w:t>2020</w:t>
      </w:r>
      <w:r>
        <w:rPr>
          <w:rFonts w:hint="eastAsia" w:ascii="仿宋_GB2312" w:hAnsi="仿宋_GB2312" w:eastAsia="仿宋_GB2312" w:cs="仿宋_GB2312"/>
          <w:color w:val="000000"/>
          <w:kern w:val="0"/>
          <w:sz w:val="32"/>
          <w:szCs w:val="32"/>
          <w:lang w:val="en-US" w:eastAsia="zh-CN" w:bidi="ar-SA"/>
        </w:rPr>
        <w:t>年度城乡医疗救助进行自评，自评得分</w:t>
      </w:r>
      <w:r>
        <w:rPr>
          <w:rFonts w:hint="eastAsia" w:ascii="Times New Roman" w:hAnsi="Times New Roman" w:eastAsia="仿宋_GB2312" w:cs="Times New Roman"/>
          <w:kern w:val="0"/>
          <w:sz w:val="32"/>
          <w:szCs w:val="32"/>
          <w:lang w:val="en-US" w:eastAsia="zh-CN" w:bidi="ar-SA"/>
        </w:rPr>
        <w:t>99</w:t>
      </w:r>
      <w:r>
        <w:rPr>
          <w:rFonts w:hint="eastAsia" w:ascii="仿宋_GB2312" w:hAnsi="仿宋_GB2312" w:eastAsia="仿宋_GB2312" w:cs="仿宋_GB2312"/>
          <w:color w:val="000000"/>
          <w:kern w:val="0"/>
          <w:sz w:val="32"/>
          <w:szCs w:val="32"/>
          <w:lang w:val="en-US" w:eastAsia="zh-CN" w:bidi="ar-SA"/>
        </w:rPr>
        <w:t>分，自评结论为优秀。具体项目目标实现程度详见《绩效评价指标体系》。</w:t>
      </w:r>
    </w:p>
    <w:p>
      <w:pPr>
        <w:pStyle w:val="14"/>
        <w:spacing w:line="560" w:lineRule="exact"/>
        <w:ind w:firstLine="632" w:firstLineChars="200"/>
        <w:rPr>
          <w:rFonts w:ascii="黑体" w:hAnsi="黑体" w:eastAsia="黑体"/>
          <w:b w:val="0"/>
          <w:bCs/>
          <w:kern w:val="0"/>
          <w:sz w:val="32"/>
          <w:szCs w:val="32"/>
        </w:rPr>
      </w:pPr>
      <w:r>
        <w:rPr>
          <w:rFonts w:hint="eastAsia" w:ascii="黑体" w:hAnsi="黑体" w:eastAsia="黑体"/>
          <w:b w:val="0"/>
          <w:bCs/>
          <w:kern w:val="0"/>
          <w:sz w:val="32"/>
          <w:szCs w:val="32"/>
        </w:rPr>
        <w:t>五、主要经验及做法</w:t>
      </w:r>
    </w:p>
    <w:p>
      <w:pPr>
        <w:pStyle w:val="14"/>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lang w:val="en-US" w:eastAsia="zh-CN" w:bidi="ar-SA"/>
        </w:rPr>
        <w:t>我局的项目资金都由医疗保障事务中心财务提供资金申请材料，并对其真实性合规性负责，局财务统一向财政局申请指标和资金拨付。资金到账后，由医疗保障事务中心根据基金实际需要进行资金安排。</w:t>
      </w:r>
    </w:p>
    <w:p>
      <w:pPr>
        <w:pStyle w:val="14"/>
        <w:numPr>
          <w:ilvl w:val="0"/>
          <w:numId w:val="0"/>
        </w:numPr>
        <w:spacing w:line="560" w:lineRule="exact"/>
        <w:ind w:leftChars="0" w:firstLine="632" w:firstLineChars="200"/>
        <w:rPr>
          <w:rFonts w:ascii="黑体" w:hAnsi="黑体" w:eastAsia="黑体"/>
          <w:b w:val="0"/>
          <w:bCs/>
          <w:kern w:val="0"/>
          <w:sz w:val="32"/>
          <w:szCs w:val="32"/>
        </w:rPr>
      </w:pPr>
      <w:r>
        <w:rPr>
          <w:rFonts w:hint="eastAsia" w:ascii="黑体" w:hAnsi="黑体" w:eastAsia="黑体"/>
          <w:b w:val="0"/>
          <w:bCs/>
          <w:kern w:val="0"/>
          <w:sz w:val="32"/>
          <w:szCs w:val="32"/>
          <w:lang w:val="en-US" w:eastAsia="zh-CN"/>
        </w:rPr>
        <w:t>六、</w:t>
      </w:r>
      <w:r>
        <w:rPr>
          <w:rFonts w:hint="eastAsia" w:ascii="黑体" w:hAnsi="黑体" w:eastAsia="黑体"/>
          <w:b w:val="0"/>
          <w:bCs/>
          <w:kern w:val="0"/>
          <w:sz w:val="32"/>
          <w:szCs w:val="32"/>
        </w:rPr>
        <w:t>存在的问题及建议</w:t>
      </w:r>
    </w:p>
    <w:p>
      <w:pPr>
        <w:widowControl w:val="0"/>
        <w:adjustRightInd/>
        <w:snapToGrid/>
        <w:spacing w:after="0" w:line="560" w:lineRule="exact"/>
        <w:ind w:firstLine="632" w:firstLineChars="200"/>
        <w:jc w:val="both"/>
        <w:rPr>
          <w:rFonts w:ascii="黑体" w:hAnsi="宋体" w:eastAsia="黑体"/>
          <w:sz w:val="32"/>
          <w:szCs w:val="32"/>
        </w:rPr>
      </w:pPr>
      <w:r>
        <w:rPr>
          <w:rFonts w:hint="eastAsia" w:ascii="仿宋_GB2312" w:hAnsi="仿宋_GB2312" w:eastAsia="仿宋_GB2312" w:cs="仿宋_GB2312"/>
          <w:sz w:val="32"/>
          <w:szCs w:val="32"/>
        </w:rPr>
        <w:t>存在的问题：</w:t>
      </w:r>
    </w:p>
    <w:p>
      <w:pPr>
        <w:spacing w:line="576" w:lineRule="exac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 w:eastAsia="仿宋_GB2312" w:cs="Times New Roman"/>
          <w:kern w:val="0"/>
          <w:sz w:val="32"/>
          <w:szCs w:val="32"/>
          <w:lang w:val="en-US" w:eastAsia="zh-CN" w:bidi="ar-SA"/>
        </w:rPr>
        <w:t xml:space="preserve">   </w:t>
      </w:r>
      <w:r>
        <w:rPr>
          <w:rFonts w:hint="eastAsia" w:ascii="仿宋_GB2312" w:hAnsi="仿宋_GB2312" w:cs="仿宋_GB2312"/>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预算控制有待加强：由于不可预见性政策调整、单位社保专项资金政策变化、财政资金紧张等各项因素，造成一是经费预算在年初预算的基础上，调整幅度较大；二是决算执行出现偏差，同预算目标差距较大。</w:t>
      </w:r>
    </w:p>
    <w:p>
      <w:pPr>
        <w:pStyle w:val="14"/>
        <w:spacing w:line="560" w:lineRule="exact"/>
        <w:ind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财务管理存在一定的风险：由于我局机构较多，人员较多，各项支出及各部门的上级政策口径难于把握，特别是认真贯彻执行中央八项规定后，原有的政策制度跟不上来，造成在实际执行中尺度把握不准。且我局业务性专项资金种类繁多，涉及面广，财务整体监管难度偏大。</w:t>
      </w:r>
    </w:p>
    <w:p>
      <w:pPr>
        <w:pStyle w:val="14"/>
        <w:spacing w:line="560" w:lineRule="exact"/>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建议</w:t>
      </w:r>
      <w:r>
        <w:rPr>
          <w:rFonts w:hint="eastAsia" w:ascii="仿宋_GB2312" w:hAnsi="仿宋_GB2312" w:eastAsia="仿宋_GB2312" w:cs="仿宋_GB2312"/>
          <w:kern w:val="0"/>
          <w:sz w:val="32"/>
          <w:szCs w:val="32"/>
        </w:rPr>
        <w:t>：</w:t>
      </w:r>
    </w:p>
    <w:p>
      <w:pPr>
        <w:spacing w:line="576" w:lineRule="exact"/>
        <w:ind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规范部门预算收支核算，及时了解预算执行差异，合理调整、纠正预算执行偏差，我单位应根据实际情况，定期做好预算执行分析，掌握预算执行进度，及时找出预算实际执行情况与预算目标之间存在的差距，切实提高部门预算收支管理水平。</w:t>
      </w:r>
    </w:p>
    <w:p>
      <w:pPr>
        <w:spacing w:line="576" w:lineRule="exact"/>
        <w:ind w:firstLine="632"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SA"/>
        </w:rPr>
        <w:t>进一步贯彻落实中央八项规定和省委九条规定，建立本部门“三公经费”等公务支出管理制度及厉行节约制度，加强经费审批和控制，规范支出标准与范围，并严格执行。</w:t>
      </w:r>
    </w:p>
    <w:p>
      <w:pPr>
        <w:spacing w:line="576" w:lineRule="exact"/>
        <w:ind w:firstLine="632" w:firstLineChars="200"/>
        <w:jc w:val="both"/>
        <w:rPr>
          <w:rFonts w:hint="eastAsia" w:ascii="宋体" w:hAnsi="宋体" w:eastAsia="宋体" w:cs="宋体"/>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加强财务监督和管理，建立健全内控制度。对各业务股室和二级机构的专项经济活动实施必要的预算控制和过程监督，加强财务管理力度。</w:t>
      </w:r>
    </w:p>
    <w:sectPr>
      <w:pgSz w:w="11906" w:h="16838"/>
      <w:pgMar w:top="2098" w:right="1474" w:bottom="1984" w:left="1587" w:header="851" w:footer="1417" w:gutter="0"/>
      <w:pgBorders>
        <w:top w:val="none" w:sz="0" w:space="0"/>
        <w:left w:val="none" w:sz="0" w:space="0"/>
        <w:bottom w:val="none" w:sz="0" w:space="0"/>
        <w:right w:val="none" w:sz="0" w:space="0"/>
      </w:pgBorders>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oNotHyphenateCaps/>
  <w:drawingGridHorizontalSpacing w:val="158"/>
  <w:drawingGridVerticalSpacing w:val="290"/>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lOGRiMzI5OWQyMTY4ZjM2MTJmZTlhZDMwMzEwNDE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8180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2FC7905"/>
    <w:rsid w:val="047D389E"/>
    <w:rsid w:val="0687611C"/>
    <w:rsid w:val="09885614"/>
    <w:rsid w:val="0A540EA1"/>
    <w:rsid w:val="0CCE29F9"/>
    <w:rsid w:val="111A6EF7"/>
    <w:rsid w:val="12DA7ACB"/>
    <w:rsid w:val="131A38C5"/>
    <w:rsid w:val="13C26B48"/>
    <w:rsid w:val="14311BF1"/>
    <w:rsid w:val="15490012"/>
    <w:rsid w:val="15F6562C"/>
    <w:rsid w:val="16984E8A"/>
    <w:rsid w:val="17BA070F"/>
    <w:rsid w:val="18570482"/>
    <w:rsid w:val="1B904BBF"/>
    <w:rsid w:val="1E0D1ED8"/>
    <w:rsid w:val="1EBD1127"/>
    <w:rsid w:val="20D86778"/>
    <w:rsid w:val="21600A02"/>
    <w:rsid w:val="21650E54"/>
    <w:rsid w:val="21E27AC6"/>
    <w:rsid w:val="238F6C23"/>
    <w:rsid w:val="239D12CD"/>
    <w:rsid w:val="23D354E3"/>
    <w:rsid w:val="26B463D2"/>
    <w:rsid w:val="284E65ED"/>
    <w:rsid w:val="293A7BCE"/>
    <w:rsid w:val="2A4B3AF2"/>
    <w:rsid w:val="2A8F5646"/>
    <w:rsid w:val="2AFE3F7E"/>
    <w:rsid w:val="2CCA0F14"/>
    <w:rsid w:val="2E9B161E"/>
    <w:rsid w:val="30416052"/>
    <w:rsid w:val="326940E3"/>
    <w:rsid w:val="34754D51"/>
    <w:rsid w:val="34956663"/>
    <w:rsid w:val="376067E0"/>
    <w:rsid w:val="37994BBA"/>
    <w:rsid w:val="3A855142"/>
    <w:rsid w:val="3AD46C80"/>
    <w:rsid w:val="3B11613A"/>
    <w:rsid w:val="3B6D161D"/>
    <w:rsid w:val="3E2F1390"/>
    <w:rsid w:val="3E40773C"/>
    <w:rsid w:val="3FC852FC"/>
    <w:rsid w:val="41AF2B0E"/>
    <w:rsid w:val="41C25319"/>
    <w:rsid w:val="42A944BB"/>
    <w:rsid w:val="44255FAC"/>
    <w:rsid w:val="44B33519"/>
    <w:rsid w:val="450169A7"/>
    <w:rsid w:val="474B2221"/>
    <w:rsid w:val="475B6938"/>
    <w:rsid w:val="4863729E"/>
    <w:rsid w:val="4AA1153A"/>
    <w:rsid w:val="4AA91848"/>
    <w:rsid w:val="4E0E6065"/>
    <w:rsid w:val="51C95F31"/>
    <w:rsid w:val="53040F3A"/>
    <w:rsid w:val="552868D2"/>
    <w:rsid w:val="56E4486A"/>
    <w:rsid w:val="58922B8B"/>
    <w:rsid w:val="599740EA"/>
    <w:rsid w:val="5A2E41A0"/>
    <w:rsid w:val="5BD627F3"/>
    <w:rsid w:val="5C813E21"/>
    <w:rsid w:val="5E272EA3"/>
    <w:rsid w:val="5FF402EF"/>
    <w:rsid w:val="600D4872"/>
    <w:rsid w:val="62F93429"/>
    <w:rsid w:val="634A1B59"/>
    <w:rsid w:val="639A2BD4"/>
    <w:rsid w:val="63FC20EE"/>
    <w:rsid w:val="64526E86"/>
    <w:rsid w:val="64966328"/>
    <w:rsid w:val="67876CB8"/>
    <w:rsid w:val="6A7810C8"/>
    <w:rsid w:val="6B9B2A8A"/>
    <w:rsid w:val="6E181FEC"/>
    <w:rsid w:val="709F4FA5"/>
    <w:rsid w:val="73AD3958"/>
    <w:rsid w:val="75C035F2"/>
    <w:rsid w:val="77244524"/>
    <w:rsid w:val="783040A7"/>
    <w:rsid w:val="79F0118E"/>
    <w:rsid w:val="7A991644"/>
    <w:rsid w:val="7B976106"/>
    <w:rsid w:val="7FBE64D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Calibri"/>
      <w:kern w:val="2"/>
      <w:sz w:val="32"/>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Header Char"/>
    <w:basedOn w:val="7"/>
    <w:link w:val="4"/>
    <w:qFormat/>
    <w:locked/>
    <w:uiPriority w:val="99"/>
    <w:rPr>
      <w:sz w:val="18"/>
      <w:szCs w:val="18"/>
    </w:rPr>
  </w:style>
  <w:style w:type="character" w:customStyle="1" w:styleId="9">
    <w:name w:val="Footer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Balloon Text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 w:type="paragraph" w:styleId="14">
    <w:name w:val="No Spacing"/>
    <w:qFormat/>
    <w:uiPriority w:val="0"/>
    <w:pPr>
      <w:widowControl w:val="0"/>
      <w:spacing w:after="0" w:line="240" w:lineRule="auto"/>
      <w:jc w:val="both"/>
    </w:pPr>
    <w:rPr>
      <w:rFonts w:ascii="Calibri" w:hAnsi="Calibri" w:eastAsia="宋体" w:cs="Times New Roman"/>
      <w:kern w:val="2"/>
      <w:sz w:val="21"/>
      <w:szCs w:val="22"/>
      <w:lang w:val="en-US" w:eastAsia="zh-CN" w:bidi="ar-SA"/>
    </w:rPr>
  </w:style>
  <w:style w:type="character" w:customStyle="1" w:styleId="15">
    <w:name w:val="font51"/>
    <w:basedOn w:val="7"/>
    <w:qFormat/>
    <w:uiPriority w:val="0"/>
    <w:rPr>
      <w:rFonts w:hint="eastAsia" w:ascii="宋体" w:hAnsi="宋体" w:eastAsia="宋体" w:cs="宋体"/>
      <w:color w:val="0000FF"/>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37</Pages>
  <Words>10822</Words>
  <Characters>14010</Characters>
  <Lines>0</Lines>
  <Paragraphs>0</Paragraphs>
  <TotalTime>6</TotalTime>
  <ScaleCrop>false</ScaleCrop>
  <LinksUpToDate>false</LinksUpToDate>
  <CharactersWithSpaces>14281</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洛</cp:lastModifiedBy>
  <cp:lastPrinted>2021-07-28T00:12:00Z</cp:lastPrinted>
  <dcterms:modified xsi:type="dcterms:W3CDTF">2022-08-29T02:25:40Z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2052-11.1.0.12353</vt:lpwstr>
  </property>
  <property fmtid="{D5CDD505-2E9C-101B-9397-08002B2CF9AE}" pid="4" name="ICV">
    <vt:lpwstr>0BADCCA5CA3D42D894219336901D905C</vt:lpwstr>
  </property>
</Properties>
</file>