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cs="Times New Roman"/>
          <w:sz w:val="56"/>
          <w:szCs w:val="56"/>
        </w:rPr>
      </w:pPr>
    </w:p>
    <w:p>
      <w:pPr>
        <w:pStyle w:val="12"/>
        <w:jc w:val="center"/>
        <w:rPr>
          <w:rFonts w:cs="Times New Roman"/>
          <w:sz w:val="56"/>
          <w:szCs w:val="56"/>
        </w:rPr>
      </w:pPr>
    </w:p>
    <w:p>
      <w:pPr>
        <w:pStyle w:val="12"/>
        <w:jc w:val="center"/>
        <w:rPr>
          <w:sz w:val="84"/>
          <w:szCs w:val="84"/>
        </w:rPr>
      </w:pPr>
    </w:p>
    <w:p>
      <w:pPr>
        <w:pStyle w:val="12"/>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w:t>
      </w:r>
    </w:p>
    <w:p>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河口镇人民政府</w:t>
      </w:r>
    </w:p>
    <w:p>
      <w:pPr>
        <w:pStyle w:val="12"/>
        <w:jc w:val="center"/>
        <w:rPr>
          <w:rFonts w:hint="eastAsia" w:ascii="宋体" w:hAnsi="宋体" w:eastAsia="宋体" w:cs="宋体"/>
          <w:sz w:val="72"/>
          <w:szCs w:val="72"/>
        </w:rPr>
      </w:pPr>
      <w:r>
        <w:rPr>
          <w:rFonts w:hint="eastAsia" w:ascii="宋体" w:hAnsi="宋体" w:eastAsia="宋体" w:cs="宋体"/>
          <w:sz w:val="72"/>
          <w:szCs w:val="72"/>
        </w:rPr>
        <w:t>部门决算</w:t>
      </w:r>
    </w:p>
    <w:p>
      <w:pPr>
        <w:pStyle w:val="12"/>
        <w:jc w:val="center"/>
        <w:rPr>
          <w:rFonts w:hint="eastAsia" w:ascii="宋体" w:hAnsi="宋体" w:eastAsia="宋体" w:cs="宋体"/>
          <w:sz w:val="72"/>
          <w:szCs w:val="72"/>
        </w:rPr>
      </w:pPr>
    </w:p>
    <w:p>
      <w:pPr>
        <w:pStyle w:val="12"/>
        <w:jc w:val="center"/>
        <w:rPr>
          <w:rFonts w:cs="Times New Roman"/>
          <w:sz w:val="56"/>
          <w:szCs w:val="56"/>
        </w:rPr>
      </w:pPr>
    </w:p>
    <w:p>
      <w:pPr>
        <w:pStyle w:val="12"/>
        <w:jc w:val="center"/>
        <w:rPr>
          <w:rFonts w:cs="Times New Roman"/>
          <w:sz w:val="56"/>
          <w:szCs w:val="56"/>
        </w:rPr>
      </w:pPr>
    </w:p>
    <w:p>
      <w:pPr>
        <w:pStyle w:val="12"/>
        <w:jc w:val="center"/>
        <w:rPr>
          <w:rFonts w:cs="Times New Roman"/>
          <w:sz w:val="56"/>
          <w:szCs w:val="56"/>
        </w:rPr>
      </w:pPr>
    </w:p>
    <w:p>
      <w:pPr>
        <w:pStyle w:val="12"/>
        <w:jc w:val="center"/>
        <w:rPr>
          <w:rFonts w:hint="eastAsia"/>
          <w:sz w:val="32"/>
          <w:szCs w:val="32"/>
          <w:lang w:val="en-US" w:eastAsia="zh-CN"/>
        </w:rPr>
      </w:pPr>
      <w:r>
        <w:rPr>
          <w:rFonts w:hint="eastAsia"/>
          <w:sz w:val="32"/>
          <w:szCs w:val="32"/>
          <w:lang w:val="en-US" w:eastAsia="zh-CN"/>
        </w:rPr>
        <w:t xml:space="preserve"> </w:t>
      </w:r>
    </w:p>
    <w:p>
      <w:pPr>
        <w:pStyle w:val="12"/>
        <w:jc w:val="center"/>
        <w:rPr>
          <w:rFonts w:hint="eastAsia"/>
          <w:sz w:val="32"/>
          <w:szCs w:val="32"/>
          <w:lang w:val="en-US" w:eastAsia="zh-CN"/>
        </w:rPr>
      </w:pPr>
    </w:p>
    <w:p>
      <w:pPr>
        <w:pStyle w:val="12"/>
        <w:jc w:val="center"/>
        <w:rPr>
          <w:rFonts w:cs="Times New Roman"/>
          <w:sz w:val="32"/>
          <w:szCs w:val="32"/>
        </w:rPr>
      </w:pPr>
    </w:p>
    <w:p>
      <w:pPr>
        <w:pStyle w:val="12"/>
        <w:spacing w:line="540" w:lineRule="exact"/>
        <w:jc w:val="both"/>
        <w:rPr>
          <w:rFonts w:cs="Times New Roman"/>
          <w:sz w:val="56"/>
          <w:szCs w:val="56"/>
        </w:rPr>
      </w:pPr>
    </w:p>
    <w:p>
      <w:pPr>
        <w:pStyle w:val="12"/>
        <w:spacing w:line="540" w:lineRule="exact"/>
        <w:jc w:val="both"/>
        <w:rPr>
          <w:rFonts w:cs="Times New Roman"/>
          <w:sz w:val="56"/>
          <w:szCs w:val="56"/>
        </w:rPr>
      </w:pPr>
    </w:p>
    <w:p>
      <w:pPr>
        <w:pStyle w:val="12"/>
        <w:spacing w:line="500" w:lineRule="exact"/>
        <w:jc w:val="both"/>
        <w:rPr>
          <w:rFonts w:cs="Times New Roman"/>
          <w:b/>
          <w:bCs/>
          <w:sz w:val="36"/>
          <w:szCs w:val="36"/>
        </w:rPr>
      </w:pPr>
    </w:p>
    <w:p>
      <w:pPr>
        <w:pStyle w:val="12"/>
        <w:spacing w:line="500" w:lineRule="exact"/>
        <w:jc w:val="both"/>
        <w:rPr>
          <w:rFonts w:cs="Times New Roman"/>
          <w:b/>
          <w:bCs/>
          <w:sz w:val="36"/>
          <w:szCs w:val="36"/>
        </w:rPr>
      </w:pPr>
    </w:p>
    <w:p>
      <w:pPr>
        <w:pStyle w:val="12"/>
        <w:spacing w:line="500" w:lineRule="exact"/>
        <w:jc w:val="center"/>
        <w:rPr>
          <w:rFonts w:cs="Times New Roman"/>
          <w:b/>
          <w:bCs/>
          <w:sz w:val="36"/>
          <w:szCs w:val="36"/>
        </w:rPr>
      </w:pPr>
      <w:r>
        <w:rPr>
          <w:rFonts w:hint="eastAsia"/>
          <w:b/>
          <w:bCs/>
          <w:sz w:val="32"/>
          <w:szCs w:val="32"/>
        </w:rPr>
        <w:t>目录</w:t>
      </w:r>
    </w:p>
    <w:p>
      <w:pPr>
        <w:pStyle w:val="12"/>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32"/>
          <w:szCs w:val="32"/>
        </w:rPr>
      </w:pPr>
      <w:r>
        <w:rPr>
          <w:rFonts w:hint="eastAsia"/>
          <w:b/>
          <w:bCs/>
          <w:sz w:val="32"/>
          <w:szCs w:val="32"/>
        </w:rPr>
        <w:t>第一部分</w:t>
      </w:r>
      <w:r>
        <w:rPr>
          <w:rFonts w:hint="eastAsia"/>
          <w:b/>
          <w:bCs/>
          <w:sz w:val="32"/>
          <w:szCs w:val="32"/>
          <w:lang w:eastAsia="zh-CN"/>
        </w:rPr>
        <w:t>河口镇人民政府</w:t>
      </w:r>
      <w:r>
        <w:rPr>
          <w:rFonts w:hint="eastAsia"/>
          <w:b/>
          <w:bCs/>
          <w:sz w:val="32"/>
          <w:szCs w:val="32"/>
        </w:rPr>
        <w:t>概况</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ascii="宋体" w:hAnsi="宋体" w:eastAsia="宋体" w:cs="Times New Roman"/>
          <w:sz w:val="32"/>
          <w:szCs w:val="32"/>
        </w:rPr>
      </w:pPr>
      <w:r>
        <w:rPr>
          <w:rFonts w:hint="eastAsia" w:ascii="宋体" w:hAnsi="宋体" w:eastAsia="宋体" w:cs="宋体"/>
          <w:sz w:val="32"/>
          <w:szCs w:val="32"/>
        </w:rPr>
        <w:t>一、部门职责</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ascii="宋体" w:hAnsi="宋体" w:eastAsia="宋体" w:cs="Times New Roman"/>
          <w:sz w:val="32"/>
          <w:szCs w:val="32"/>
        </w:rPr>
      </w:pPr>
      <w:r>
        <w:rPr>
          <w:rFonts w:hint="eastAsia" w:ascii="宋体" w:hAnsi="宋体" w:eastAsia="宋体" w:cs="宋体"/>
          <w:sz w:val="32"/>
          <w:szCs w:val="32"/>
        </w:rPr>
        <w:t>二、机构设置</w:t>
      </w:r>
    </w:p>
    <w:p>
      <w:pPr>
        <w:pStyle w:val="12"/>
        <w:keepNext w:val="0"/>
        <w:keepLines w:val="0"/>
        <w:pageBreakBefore w:val="0"/>
        <w:widowControl w:val="0"/>
        <w:kinsoku/>
        <w:wordWrap/>
        <w:overflowPunct/>
        <w:topLinePunct w:val="0"/>
        <w:bidi w:val="0"/>
        <w:snapToGrid/>
        <w:spacing w:line="460" w:lineRule="exact"/>
        <w:textAlignment w:val="auto"/>
        <w:rPr>
          <w:rFonts w:hint="eastAsia"/>
          <w:b/>
          <w:bCs/>
          <w:sz w:val="32"/>
          <w:szCs w:val="32"/>
        </w:rPr>
      </w:pPr>
      <w:r>
        <w:rPr>
          <w:rFonts w:hint="eastAsia"/>
          <w:b/>
          <w:bCs/>
          <w:sz w:val="32"/>
          <w:szCs w:val="32"/>
          <w:lang w:eastAsia="zh-CN"/>
        </w:rPr>
        <w:t>第二部分202</w:t>
      </w:r>
      <w:r>
        <w:rPr>
          <w:rFonts w:hint="eastAsia"/>
          <w:b/>
          <w:bCs/>
          <w:sz w:val="32"/>
          <w:szCs w:val="32"/>
          <w:lang w:val="en-US" w:eastAsia="zh-CN"/>
        </w:rPr>
        <w:t>1</w:t>
      </w:r>
      <w:r>
        <w:rPr>
          <w:rFonts w:hint="eastAsia"/>
          <w:b/>
          <w:bCs/>
          <w:sz w:val="32"/>
          <w:szCs w:val="32"/>
          <w:lang w:eastAsia="zh-CN"/>
        </w:rPr>
        <w:t>年度部门决算表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一、收入支出决算总表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二、收入决算表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三、支出决算表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四、财政拨款收入支出决算总表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五、一般公共预算财政拨款支出决算表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六、一般公共预算财政拨款基本支出决算表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七、一般公共预算财政拨款“三公”经费支出决算表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八、政府性基金预算财政拨款收入支出决算表</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九、国有资本经营预算财政拨款支出决算表</w:t>
      </w:r>
    </w:p>
    <w:p>
      <w:pPr>
        <w:pStyle w:val="12"/>
        <w:keepNext w:val="0"/>
        <w:keepLines w:val="0"/>
        <w:pageBreakBefore w:val="0"/>
        <w:widowControl w:val="0"/>
        <w:kinsoku/>
        <w:wordWrap/>
        <w:overflowPunct/>
        <w:topLinePunct w:val="0"/>
        <w:bidi w:val="0"/>
        <w:snapToGrid/>
        <w:spacing w:line="460" w:lineRule="exact"/>
        <w:textAlignment w:val="auto"/>
        <w:rPr>
          <w:rFonts w:hint="eastAsia"/>
          <w:b/>
          <w:bCs/>
          <w:sz w:val="32"/>
          <w:szCs w:val="32"/>
          <w:lang w:eastAsia="zh-CN"/>
        </w:rPr>
      </w:pPr>
      <w:r>
        <w:rPr>
          <w:rFonts w:hint="eastAsia"/>
          <w:b/>
          <w:bCs/>
          <w:sz w:val="32"/>
          <w:szCs w:val="32"/>
          <w:lang w:eastAsia="zh-CN"/>
        </w:rPr>
        <w:t>第三部分202</w:t>
      </w:r>
      <w:r>
        <w:rPr>
          <w:rFonts w:hint="eastAsia"/>
          <w:b/>
          <w:bCs/>
          <w:sz w:val="32"/>
          <w:szCs w:val="32"/>
          <w:lang w:val="en-US" w:eastAsia="zh-CN"/>
        </w:rPr>
        <w:t>1</w:t>
      </w:r>
      <w:r>
        <w:rPr>
          <w:rFonts w:hint="eastAsia"/>
          <w:b/>
          <w:bCs/>
          <w:sz w:val="32"/>
          <w:szCs w:val="32"/>
          <w:lang w:eastAsia="zh-CN"/>
        </w:rPr>
        <w:t>年度部门决算情况说明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一、收入支出决算总体情况说明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二、收入决算情况说明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三、支出决算情况说明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四、财政拨款收入支出决算总体情况说明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五、一般公共预算财政拨款支出决算情况说明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六、一般公共预算财政拨款基本支出决算情况说明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七、一般公共预算财政拨款三公经费支出决算情况说明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八、政府性基金预算收入支出决算情况</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九、关于机关运行经费支出说明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十、一般性支出情况</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十一、关于政府采购支出说明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十二、关于国有资产占用情况说明</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十三、</w:t>
      </w:r>
      <w:r>
        <w:rPr>
          <w:rFonts w:hint="eastAsia" w:ascii="宋体" w:hAnsi="宋体" w:eastAsia="宋体" w:cs="宋体"/>
          <w:sz w:val="32"/>
          <w:szCs w:val="32"/>
          <w:lang w:val="en-US" w:eastAsia="zh-CN"/>
        </w:rPr>
        <w:t>国有资本经营预算财政拨款支出决算情况</w:t>
      </w:r>
    </w:p>
    <w:p>
      <w:pPr>
        <w:pStyle w:val="12"/>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w:t>
      </w:r>
      <w:r>
        <w:rPr>
          <w:rFonts w:hint="eastAsia" w:ascii="宋体" w:hAnsi="宋体" w:eastAsia="宋体" w:cs="宋体"/>
          <w:sz w:val="32"/>
          <w:szCs w:val="32"/>
          <w:lang w:eastAsia="zh-CN"/>
        </w:rPr>
        <w:t>四</w:t>
      </w:r>
      <w:r>
        <w:rPr>
          <w:rFonts w:hint="eastAsia" w:ascii="宋体" w:hAnsi="宋体" w:eastAsia="宋体" w:cs="宋体"/>
          <w:sz w:val="32"/>
          <w:szCs w:val="32"/>
        </w:rPr>
        <w:t>、关于202</w:t>
      </w:r>
      <w:r>
        <w:rPr>
          <w:rFonts w:hint="eastAsia" w:ascii="宋体" w:hAnsi="宋体" w:eastAsia="宋体" w:cs="宋体"/>
          <w:sz w:val="32"/>
          <w:szCs w:val="32"/>
          <w:lang w:val="en-US" w:eastAsia="zh-CN"/>
        </w:rPr>
        <w:t>1</w:t>
      </w:r>
      <w:r>
        <w:rPr>
          <w:rFonts w:hint="eastAsia" w:ascii="宋体" w:hAnsi="宋体" w:eastAsia="宋体" w:cs="宋体"/>
          <w:sz w:val="32"/>
          <w:szCs w:val="32"/>
        </w:rPr>
        <w:t>年度预算绩效情况的说明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eastAsia="黑体" w:cs="黑体"/>
          <w:b/>
          <w:bCs/>
          <w:color w:val="000000"/>
          <w:kern w:val="0"/>
          <w:sz w:val="24"/>
          <w:szCs w:val="24"/>
          <w:lang w:val="en-US" w:eastAsia="zh-CN" w:bidi="ar-SA"/>
        </w:rPr>
      </w:pPr>
      <w:r>
        <w:rPr>
          <w:rFonts w:hint="eastAsia" w:ascii="黑体" w:hAnsi="Calibri" w:eastAsia="黑体" w:cs="黑体"/>
          <w:b/>
          <w:bCs/>
          <w:color w:val="000000"/>
          <w:kern w:val="0"/>
          <w:sz w:val="32"/>
          <w:szCs w:val="32"/>
          <w:lang w:val="en-US" w:eastAsia="zh-CN" w:bidi="ar-SA"/>
        </w:rPr>
        <w:t>第四部分名词解释</w:t>
      </w:r>
      <w:r>
        <w:rPr>
          <w:rFonts w:hint="eastAsia" w:ascii="黑体" w:eastAsia="黑体" w:cs="黑体"/>
          <w:b/>
          <w:bCs/>
          <w:color w:val="000000"/>
          <w:kern w:val="0"/>
          <w:sz w:val="24"/>
          <w:szCs w:val="24"/>
          <w:lang w:val="en-US" w:eastAsia="zh-CN" w:bidi="ar-SA"/>
        </w:rPr>
        <w:t xml:space="preserve">           </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Calibri" w:eastAsia="黑体" w:cs="黑体"/>
          <w:b/>
          <w:bCs/>
          <w:color w:val="000000"/>
          <w:kern w:val="0"/>
          <w:sz w:val="24"/>
          <w:szCs w:val="24"/>
          <w:lang w:val="en-US" w:eastAsia="zh-CN" w:bidi="ar-SA"/>
        </w:rPr>
      </w:pPr>
      <w:r>
        <w:rPr>
          <w:rFonts w:hint="eastAsia" w:ascii="黑体" w:eastAsia="黑体" w:cs="黑体"/>
          <w:b/>
          <w:bCs/>
          <w:color w:val="000000"/>
          <w:kern w:val="0"/>
          <w:sz w:val="24"/>
          <w:szCs w:val="24"/>
          <w:lang w:val="en-US" w:eastAsia="zh-CN" w:bidi="ar-SA"/>
        </w:rPr>
        <w:t xml:space="preserve"> </w:t>
      </w:r>
      <w:r>
        <w:rPr>
          <w:rFonts w:hint="eastAsia" w:ascii="黑体" w:hAnsi="Calibri" w:eastAsia="黑体" w:cs="黑体"/>
          <w:b/>
          <w:bCs/>
          <w:color w:val="000000"/>
          <w:kern w:val="0"/>
          <w:sz w:val="32"/>
          <w:szCs w:val="32"/>
          <w:lang w:val="en-US" w:eastAsia="zh-CN" w:bidi="ar-SA"/>
        </w:rPr>
        <w:t>第五部分附件</w:t>
      </w: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河口镇人民政府</w:t>
      </w:r>
    </w:p>
    <w:p>
      <w:pPr>
        <w:pStyle w:val="12"/>
        <w:jc w:val="center"/>
        <w:rPr>
          <w:rFonts w:cs="Times New Roman"/>
          <w:sz w:val="84"/>
          <w:szCs w:val="84"/>
        </w:rPr>
      </w:pPr>
      <w:r>
        <w:rPr>
          <w:rFonts w:hint="eastAsia" w:ascii="宋体" w:hAnsi="宋体" w:eastAsia="宋体" w:cs="宋体"/>
          <w:sz w:val="72"/>
          <w:szCs w:val="72"/>
        </w:rPr>
        <w:t>单位概况</w:t>
      </w:r>
    </w:p>
    <w:p>
      <w:pPr>
        <w:jc w:val="center"/>
        <w:rPr>
          <w:rFonts w:cs="Times New Roman"/>
          <w:sz w:val="72"/>
          <w:szCs w:val="7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ind w:left="720" w:firstLine="0" w:firstLineChars="0"/>
        <w:jc w:val="left"/>
        <w:rPr>
          <w:rFonts w:ascii="黑体" w:hAnsi="黑体" w:eastAsia="黑体" w:cs="Times New Roman"/>
          <w:sz w:val="32"/>
          <w:szCs w:val="32"/>
        </w:rPr>
      </w:pPr>
    </w:p>
    <w:p>
      <w:pPr>
        <w:pStyle w:val="13"/>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（一）执行上级国家行政机关的决定、命令和国家制定的法律、法规，接受同级党委的领导，执行本级人民代表大会的各项决议，并报告执行决议、决定和命令的情况。</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（二）制定并落实本行政区域的经济计划和措施，促进产业结构调整及其他经济保持平衡协调发展，全面提高人民群众的生活水平和生活质量。</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（三）承担国有资产、集体资产管理、监督及增值保值责任。认真执行国家的法律和政策，履行经济合同。</w:t>
      </w:r>
    </w:p>
    <w:p>
      <w:pPr>
        <w:widowControl/>
        <w:ind w:firstLine="320" w:firstLineChars="1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（四）开展社会主义民主和法制的宣传教育，制定社会治安综合治理工作规划并组织实施，加强社区管理工作，调解民间纠纷，打击违法犯罪，维护社会稳定。</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（五）制定社会各项事业发展计划，组织实施义务教育和其他各类教育，加强计划生育工作，推进社会保障、社会福利事业和养老保险工作。</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（六）加强镇级财政的监督和管理，按计划组织、管理财政收入和支出，执行国家有关财经法规和政策，保证国家财政收入的完成。做好统计工作。</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（七）指导、支持、帮助村民委员会的组织制度建设和业务建设，促进村民委员民主自治。</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（八）制定和组织实施镇村建设规划。加强公用、市政设施、水利建设和管理以及房屋土地管理和环境综合整治工作，保护和改善生活环境和生态环境。</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（九）协助和支持设置在本行政区域内不隶属于镇的国家机关和企事业单位工作，监督其遵守和执行国家的法律、法规和政策。</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（十）承办本级党委、人大和上级交办的其它事项。</w:t>
      </w:r>
    </w:p>
    <w:p>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二、机构设置及决算单位构成</w:t>
      </w:r>
    </w:p>
    <w:p>
      <w:pPr>
        <w:widowControl/>
        <w:spacing w:line="600" w:lineRule="exact"/>
        <w:rPr>
          <w:rFonts w:hint="default"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（一）内设机构设置。</w:t>
      </w:r>
      <w:r>
        <w:rPr>
          <w:rFonts w:hint="eastAsia" w:ascii="宋体" w:hAnsi="宋体" w:cs="宋体"/>
          <w:color w:val="000000"/>
          <w:kern w:val="0"/>
          <w:sz w:val="32"/>
          <w:szCs w:val="32"/>
          <w:lang w:val="en-US" w:eastAsia="zh-CN" w:bidi="ar-SA"/>
        </w:rPr>
        <w:t>河口</w:t>
      </w:r>
      <w:r>
        <w:rPr>
          <w:rFonts w:hint="eastAsia" w:ascii="宋体" w:hAnsi="宋体" w:eastAsia="宋体" w:cs="宋体"/>
          <w:color w:val="000000"/>
          <w:kern w:val="0"/>
          <w:sz w:val="32"/>
          <w:szCs w:val="32"/>
          <w:lang w:val="en-US" w:eastAsia="zh-CN" w:bidi="ar-SA"/>
        </w:rPr>
        <w:t>镇人民政府单位内设机构包括：202</w:t>
      </w:r>
      <w:r>
        <w:rPr>
          <w:rFonts w:hint="eastAsia" w:ascii="宋体" w:hAnsi="宋体" w:cs="宋体"/>
          <w:color w:val="000000"/>
          <w:kern w:val="0"/>
          <w:sz w:val="32"/>
          <w:szCs w:val="32"/>
          <w:lang w:val="en-US" w:eastAsia="zh-CN" w:bidi="ar-SA"/>
        </w:rPr>
        <w:t>1</w:t>
      </w:r>
      <w:r>
        <w:rPr>
          <w:rFonts w:hint="eastAsia" w:ascii="宋体" w:hAnsi="宋体" w:eastAsia="宋体" w:cs="宋体"/>
          <w:color w:val="000000"/>
          <w:kern w:val="0"/>
          <w:sz w:val="32"/>
          <w:szCs w:val="32"/>
          <w:lang w:val="en-US" w:eastAsia="zh-CN" w:bidi="ar-SA"/>
        </w:rPr>
        <w:t>年本镇共有机构数11个，其中行政单位5个，事业单位6个，核定行政编</w:t>
      </w:r>
      <w:r>
        <w:rPr>
          <w:rFonts w:hint="eastAsia" w:ascii="宋体" w:hAnsi="宋体" w:cs="宋体"/>
          <w:color w:val="000000"/>
          <w:kern w:val="0"/>
          <w:sz w:val="32"/>
          <w:szCs w:val="32"/>
          <w:lang w:val="en-US" w:eastAsia="zh-CN" w:bidi="ar-SA"/>
        </w:rPr>
        <w:t>42</w:t>
      </w:r>
      <w:r>
        <w:rPr>
          <w:rFonts w:hint="eastAsia" w:ascii="宋体" w:hAnsi="宋体" w:eastAsia="宋体" w:cs="宋体"/>
          <w:color w:val="000000"/>
          <w:kern w:val="0"/>
          <w:sz w:val="32"/>
          <w:szCs w:val="32"/>
          <w:lang w:val="en-US" w:eastAsia="zh-CN" w:bidi="ar-SA"/>
        </w:rPr>
        <w:t>个，事业编</w:t>
      </w:r>
      <w:r>
        <w:rPr>
          <w:rFonts w:hint="eastAsia" w:ascii="宋体" w:hAnsi="宋体" w:cs="宋体"/>
          <w:color w:val="000000"/>
          <w:kern w:val="0"/>
          <w:sz w:val="32"/>
          <w:szCs w:val="32"/>
          <w:lang w:val="en-US" w:eastAsia="zh-CN" w:bidi="ar-SA"/>
        </w:rPr>
        <w:t>74</w:t>
      </w:r>
      <w:r>
        <w:rPr>
          <w:rFonts w:hint="eastAsia" w:ascii="宋体" w:hAnsi="宋体" w:eastAsia="宋体" w:cs="宋体"/>
          <w:color w:val="000000"/>
          <w:kern w:val="0"/>
          <w:sz w:val="32"/>
          <w:szCs w:val="32"/>
          <w:lang w:val="en-US" w:eastAsia="zh-CN" w:bidi="ar-SA"/>
        </w:rPr>
        <w:t>个，实有人数</w:t>
      </w:r>
      <w:r>
        <w:rPr>
          <w:rFonts w:hint="eastAsia" w:ascii="宋体" w:hAnsi="宋体" w:cs="宋体"/>
          <w:color w:val="000000"/>
          <w:kern w:val="0"/>
          <w:sz w:val="32"/>
          <w:szCs w:val="32"/>
          <w:lang w:val="en-US" w:eastAsia="zh-CN" w:bidi="ar-SA"/>
        </w:rPr>
        <w:t>146</w:t>
      </w:r>
      <w:r>
        <w:rPr>
          <w:rFonts w:hint="eastAsia" w:ascii="宋体" w:hAnsi="宋体" w:eastAsia="宋体" w:cs="宋体"/>
          <w:color w:val="000000"/>
          <w:kern w:val="0"/>
          <w:sz w:val="32"/>
          <w:szCs w:val="32"/>
          <w:lang w:val="en-US" w:eastAsia="zh-CN" w:bidi="ar-SA"/>
        </w:rPr>
        <w:t>人，其中政府</w:t>
      </w:r>
      <w:r>
        <w:rPr>
          <w:rFonts w:hint="eastAsia" w:ascii="宋体" w:hAnsi="宋体" w:cs="宋体"/>
          <w:color w:val="000000"/>
          <w:kern w:val="0"/>
          <w:sz w:val="32"/>
          <w:szCs w:val="32"/>
          <w:lang w:val="en-US" w:eastAsia="zh-CN" w:bidi="ar-SA"/>
        </w:rPr>
        <w:t>58</w:t>
      </w:r>
      <w:r>
        <w:rPr>
          <w:rFonts w:hint="eastAsia" w:ascii="宋体" w:hAnsi="宋体" w:eastAsia="宋体" w:cs="宋体"/>
          <w:color w:val="000000"/>
          <w:kern w:val="0"/>
          <w:sz w:val="32"/>
          <w:szCs w:val="32"/>
          <w:lang w:val="en-US" w:eastAsia="zh-CN" w:bidi="ar-SA"/>
        </w:rPr>
        <w:t>人、财政所</w:t>
      </w:r>
      <w:r>
        <w:rPr>
          <w:rFonts w:hint="eastAsia" w:ascii="宋体" w:hAnsi="宋体" w:cs="宋体"/>
          <w:color w:val="000000"/>
          <w:kern w:val="0"/>
          <w:sz w:val="32"/>
          <w:szCs w:val="32"/>
          <w:lang w:val="en-US" w:eastAsia="zh-CN" w:bidi="ar-SA"/>
        </w:rPr>
        <w:t>8</w:t>
      </w:r>
      <w:r>
        <w:rPr>
          <w:rFonts w:hint="eastAsia" w:ascii="宋体" w:hAnsi="宋体" w:eastAsia="宋体" w:cs="宋体"/>
          <w:color w:val="000000"/>
          <w:kern w:val="0"/>
          <w:sz w:val="32"/>
          <w:szCs w:val="32"/>
          <w:lang w:val="en-US" w:eastAsia="zh-CN" w:bidi="ar-SA"/>
        </w:rPr>
        <w:t>人、经济发展办公室</w:t>
      </w:r>
      <w:r>
        <w:rPr>
          <w:rFonts w:hint="eastAsia" w:ascii="宋体" w:hAnsi="宋体" w:cs="宋体"/>
          <w:color w:val="000000"/>
          <w:kern w:val="0"/>
          <w:sz w:val="32"/>
          <w:szCs w:val="32"/>
          <w:lang w:val="en-US" w:eastAsia="zh-CN" w:bidi="ar-SA"/>
        </w:rPr>
        <w:t>5</w:t>
      </w:r>
      <w:r>
        <w:rPr>
          <w:rFonts w:hint="eastAsia" w:ascii="宋体" w:hAnsi="宋体" w:eastAsia="宋体" w:cs="宋体"/>
          <w:color w:val="000000"/>
          <w:kern w:val="0"/>
          <w:sz w:val="32"/>
          <w:szCs w:val="32"/>
          <w:lang w:val="en-US" w:eastAsia="zh-CN" w:bidi="ar-SA"/>
        </w:rPr>
        <w:t>人、社会事务办</w:t>
      </w:r>
      <w:r>
        <w:rPr>
          <w:rFonts w:hint="eastAsia" w:ascii="宋体" w:hAnsi="宋体" w:cs="宋体"/>
          <w:color w:val="000000"/>
          <w:kern w:val="0"/>
          <w:sz w:val="32"/>
          <w:szCs w:val="32"/>
          <w:lang w:val="en-US" w:eastAsia="zh-CN" w:bidi="ar-SA"/>
        </w:rPr>
        <w:t>4</w:t>
      </w:r>
      <w:r>
        <w:rPr>
          <w:rFonts w:hint="eastAsia" w:ascii="宋体" w:hAnsi="宋体" w:eastAsia="宋体" w:cs="宋体"/>
          <w:color w:val="000000"/>
          <w:kern w:val="0"/>
          <w:sz w:val="32"/>
          <w:szCs w:val="32"/>
          <w:lang w:val="en-US" w:eastAsia="zh-CN" w:bidi="ar-SA"/>
        </w:rPr>
        <w:t>人、社会治安和应急管理办</w:t>
      </w:r>
      <w:r>
        <w:rPr>
          <w:rFonts w:hint="eastAsia" w:ascii="宋体" w:hAnsi="宋体" w:cs="宋体"/>
          <w:color w:val="000000"/>
          <w:kern w:val="0"/>
          <w:sz w:val="32"/>
          <w:szCs w:val="32"/>
          <w:lang w:val="en-US" w:eastAsia="zh-CN" w:bidi="ar-SA"/>
        </w:rPr>
        <w:t>5</w:t>
      </w:r>
      <w:r>
        <w:rPr>
          <w:rFonts w:hint="eastAsia" w:ascii="宋体" w:hAnsi="宋体" w:eastAsia="宋体" w:cs="宋体"/>
          <w:color w:val="000000"/>
          <w:kern w:val="0"/>
          <w:sz w:val="32"/>
          <w:szCs w:val="32"/>
          <w:lang w:val="en-US" w:eastAsia="zh-CN" w:bidi="ar-SA"/>
        </w:rPr>
        <w:t>人、自然资源和生态环境办</w:t>
      </w:r>
      <w:r>
        <w:rPr>
          <w:rFonts w:hint="eastAsia" w:ascii="宋体" w:hAnsi="宋体" w:cs="宋体"/>
          <w:color w:val="000000"/>
          <w:kern w:val="0"/>
          <w:sz w:val="32"/>
          <w:szCs w:val="32"/>
          <w:lang w:val="en-US" w:eastAsia="zh-CN" w:bidi="ar-SA"/>
        </w:rPr>
        <w:t>6</w:t>
      </w:r>
      <w:r>
        <w:rPr>
          <w:rFonts w:hint="eastAsia" w:ascii="宋体" w:hAnsi="宋体" w:eastAsia="宋体" w:cs="宋体"/>
          <w:color w:val="000000"/>
          <w:kern w:val="0"/>
          <w:sz w:val="32"/>
          <w:szCs w:val="32"/>
          <w:lang w:val="en-US" w:eastAsia="zh-CN" w:bidi="ar-SA"/>
        </w:rPr>
        <w:t>人、农业综合服务中心</w:t>
      </w:r>
      <w:r>
        <w:rPr>
          <w:rFonts w:hint="eastAsia" w:ascii="宋体" w:hAnsi="宋体" w:cs="宋体"/>
          <w:color w:val="000000"/>
          <w:kern w:val="0"/>
          <w:sz w:val="32"/>
          <w:szCs w:val="32"/>
          <w:lang w:val="en-US" w:eastAsia="zh-CN" w:bidi="ar-SA"/>
        </w:rPr>
        <w:t>21</w:t>
      </w:r>
      <w:r>
        <w:rPr>
          <w:rFonts w:hint="eastAsia" w:ascii="宋体" w:hAnsi="宋体" w:eastAsia="宋体" w:cs="宋体"/>
          <w:color w:val="000000"/>
          <w:kern w:val="0"/>
          <w:sz w:val="32"/>
          <w:szCs w:val="32"/>
          <w:lang w:val="en-US" w:eastAsia="zh-CN" w:bidi="ar-SA"/>
        </w:rPr>
        <w:t>人、社会事务综合服务中心</w:t>
      </w:r>
      <w:r>
        <w:rPr>
          <w:rFonts w:hint="eastAsia" w:ascii="宋体" w:hAnsi="宋体" w:cs="宋体"/>
          <w:color w:val="000000"/>
          <w:kern w:val="0"/>
          <w:sz w:val="32"/>
          <w:szCs w:val="32"/>
          <w:lang w:val="en-US" w:eastAsia="zh-CN" w:bidi="ar-SA"/>
        </w:rPr>
        <w:t>18</w:t>
      </w:r>
      <w:r>
        <w:rPr>
          <w:rFonts w:hint="eastAsia" w:ascii="宋体" w:hAnsi="宋体" w:eastAsia="宋体" w:cs="宋体"/>
          <w:color w:val="000000"/>
          <w:kern w:val="0"/>
          <w:sz w:val="32"/>
          <w:szCs w:val="32"/>
          <w:lang w:val="en-US" w:eastAsia="zh-CN" w:bidi="ar-SA"/>
        </w:rPr>
        <w:t>人、政务服务中心9人、退役军人服务站2人、综合执法大队</w:t>
      </w:r>
      <w:r>
        <w:rPr>
          <w:rFonts w:hint="eastAsia" w:ascii="宋体" w:hAnsi="宋体" w:cs="宋体"/>
          <w:color w:val="000000"/>
          <w:kern w:val="0"/>
          <w:sz w:val="32"/>
          <w:szCs w:val="32"/>
          <w:lang w:val="en-US" w:eastAsia="zh-CN" w:bidi="ar-SA"/>
        </w:rPr>
        <w:t>10</w:t>
      </w:r>
      <w:r>
        <w:rPr>
          <w:rFonts w:hint="eastAsia" w:ascii="宋体" w:hAnsi="宋体" w:eastAsia="宋体" w:cs="宋体"/>
          <w:color w:val="000000"/>
          <w:kern w:val="0"/>
          <w:sz w:val="32"/>
          <w:szCs w:val="32"/>
          <w:lang w:val="en-US" w:eastAsia="zh-CN" w:bidi="ar-SA"/>
        </w:rPr>
        <w:t>人。</w:t>
      </w:r>
    </w:p>
    <w:p>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（二）决算单位构成。</w:t>
      </w:r>
      <w:r>
        <w:rPr>
          <w:rFonts w:hint="eastAsia" w:ascii="宋体" w:hAnsi="宋体" w:cs="宋体"/>
          <w:color w:val="000000"/>
          <w:kern w:val="0"/>
          <w:sz w:val="32"/>
          <w:szCs w:val="32"/>
          <w:lang w:val="en-US" w:eastAsia="zh-CN" w:bidi="ar-SA"/>
        </w:rPr>
        <w:t>河口</w:t>
      </w:r>
      <w:r>
        <w:rPr>
          <w:rFonts w:hint="eastAsia" w:ascii="宋体" w:hAnsi="宋体" w:eastAsia="宋体" w:cs="宋体"/>
          <w:color w:val="000000"/>
          <w:kern w:val="0"/>
          <w:sz w:val="32"/>
          <w:szCs w:val="32"/>
          <w:lang w:val="en-US" w:eastAsia="zh-CN" w:bidi="ar-SA"/>
        </w:rPr>
        <w:t>镇人民政府单位202</w:t>
      </w:r>
      <w:r>
        <w:rPr>
          <w:rFonts w:hint="eastAsia" w:ascii="宋体" w:hAnsi="宋体" w:cs="宋体"/>
          <w:color w:val="000000"/>
          <w:kern w:val="0"/>
          <w:sz w:val="32"/>
          <w:szCs w:val="32"/>
          <w:lang w:val="en-US" w:eastAsia="zh-CN" w:bidi="ar-SA"/>
        </w:rPr>
        <w:t>1</w:t>
      </w:r>
      <w:r>
        <w:rPr>
          <w:rFonts w:hint="eastAsia" w:ascii="宋体" w:hAnsi="宋体" w:eastAsia="宋体" w:cs="宋体"/>
          <w:color w:val="000000"/>
          <w:kern w:val="0"/>
          <w:sz w:val="32"/>
          <w:szCs w:val="32"/>
          <w:lang w:val="en-US" w:eastAsia="zh-CN" w:bidi="ar-SA"/>
        </w:rPr>
        <w:t>年部门决算汇总公开单位构成包括：</w:t>
      </w:r>
      <w:r>
        <w:rPr>
          <w:rFonts w:hint="eastAsia" w:ascii="宋体" w:hAnsi="宋体" w:cs="宋体"/>
          <w:color w:val="000000"/>
          <w:kern w:val="0"/>
          <w:sz w:val="32"/>
          <w:szCs w:val="32"/>
          <w:lang w:val="en-US" w:eastAsia="zh-CN" w:bidi="ar-SA"/>
        </w:rPr>
        <w:t>河口</w:t>
      </w:r>
      <w:r>
        <w:rPr>
          <w:rFonts w:hint="eastAsia" w:ascii="宋体" w:hAnsi="宋体" w:eastAsia="宋体" w:cs="宋体"/>
          <w:color w:val="000000"/>
          <w:kern w:val="0"/>
          <w:sz w:val="32"/>
          <w:szCs w:val="32"/>
          <w:lang w:val="en-US" w:eastAsia="zh-CN" w:bidi="ar-SA"/>
        </w:rPr>
        <w:t>镇人民政府单位本级以及财政所、经济发展办公室、社会事务办、社会治安和应急管理办、自然资源和生态环境办、农业综合服务中心、社会事务综合服务中心、政务服务中心、退役军人服务站、综合执法大队。</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eastAsia="宋体" w:cs="Times New Roman"/>
          <w:sz w:val="72"/>
          <w:szCs w:val="72"/>
          <w:lang w:eastAsia="zh-CN"/>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hint="eastAsia" w:cs="宋体"/>
          <w:sz w:val="72"/>
          <w:szCs w:val="72"/>
        </w:rPr>
      </w:pPr>
    </w:p>
    <w:p>
      <w:pPr>
        <w:jc w:val="center"/>
        <w:rPr>
          <w:rFonts w:hint="eastAsia" w:cs="宋体"/>
          <w:sz w:val="72"/>
          <w:szCs w:val="72"/>
        </w:rPr>
      </w:pPr>
      <w:r>
        <w:rPr>
          <w:rFonts w:hint="eastAsia" w:cs="宋体"/>
          <w:sz w:val="72"/>
          <w:szCs w:val="72"/>
        </w:rPr>
        <w:t>部门决算表</w:t>
      </w:r>
    </w:p>
    <w:p>
      <w:pPr>
        <w:jc w:val="left"/>
        <w:rPr>
          <w:rFonts w:ascii="宋体" w:cs="Times New Roman"/>
          <w:sz w:val="32"/>
          <w:szCs w:val="3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 w:linePitch="312" w:charSpace="0"/>
        </w:sectPr>
      </w:pPr>
    </w:p>
    <w:tbl>
      <w:tblPr>
        <w:tblStyle w:val="7"/>
        <w:tblW w:w="14081" w:type="dxa"/>
        <w:tblInd w:w="-106" w:type="dxa"/>
        <w:tblLayout w:type="fixed"/>
        <w:tblCellMar>
          <w:top w:w="0" w:type="dxa"/>
          <w:left w:w="108" w:type="dxa"/>
          <w:bottom w:w="0" w:type="dxa"/>
          <w:right w:w="108" w:type="dxa"/>
        </w:tblCellMar>
      </w:tblPr>
      <w:tblGrid>
        <w:gridCol w:w="14081"/>
      </w:tblGrid>
      <w:tr>
        <w:tblPrEx>
          <w:tblCellMar>
            <w:top w:w="0" w:type="dxa"/>
            <w:left w:w="108" w:type="dxa"/>
            <w:bottom w:w="0" w:type="dxa"/>
            <w:right w:w="108" w:type="dxa"/>
          </w:tblCellMar>
        </w:tblPrEx>
        <w:trPr>
          <w:trHeight w:val="1020" w:hRule="atLeast"/>
        </w:trPr>
        <w:tc>
          <w:tcPr>
            <w:tcW w:w="14081" w:type="dxa"/>
            <w:tcBorders>
              <w:top w:val="nil"/>
              <w:left w:val="nil"/>
              <w:bottom w:val="nil"/>
              <w:right w:val="nil"/>
            </w:tcBorders>
            <w:vAlign w:val="center"/>
          </w:tcPr>
          <w:tbl>
            <w:tblPr>
              <w:tblStyle w:val="7"/>
              <w:tblW w:w="13859" w:type="dxa"/>
              <w:tblInd w:w="0" w:type="dxa"/>
              <w:shd w:val="clear" w:color="auto" w:fill="auto"/>
              <w:tblLayout w:type="fixed"/>
              <w:tblCellMar>
                <w:top w:w="0" w:type="dxa"/>
                <w:left w:w="108" w:type="dxa"/>
                <w:bottom w:w="0" w:type="dxa"/>
                <w:right w:w="108" w:type="dxa"/>
              </w:tblCellMar>
            </w:tblPr>
            <w:tblGrid>
              <w:gridCol w:w="4033"/>
              <w:gridCol w:w="149"/>
              <w:gridCol w:w="120"/>
              <w:gridCol w:w="1469"/>
              <w:gridCol w:w="1462"/>
              <w:gridCol w:w="132"/>
              <w:gridCol w:w="3940"/>
              <w:gridCol w:w="1"/>
              <w:gridCol w:w="734"/>
              <w:gridCol w:w="1"/>
              <w:gridCol w:w="1816"/>
              <w:gridCol w:w="2"/>
            </w:tblGrid>
            <w:tr>
              <w:tblPrEx>
                <w:tblCellMar>
                  <w:top w:w="0" w:type="dxa"/>
                  <w:left w:w="108" w:type="dxa"/>
                  <w:bottom w:w="0" w:type="dxa"/>
                  <w:right w:w="108" w:type="dxa"/>
                </w:tblCellMar>
              </w:tblPrEx>
              <w:trPr>
                <w:gridAfter w:val="1"/>
                <w:wAfter w:w="2" w:type="dxa"/>
                <w:trHeight w:val="384" w:hRule="atLeast"/>
              </w:trPr>
              <w:tc>
                <w:tcPr>
                  <w:tcW w:w="13857" w:type="dxa"/>
                  <w:gridSpan w:val="11"/>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tblPrEx>
                <w:shd w:val="clear" w:color="auto" w:fill="auto"/>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69"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shd w:val="clear" w:color="auto" w:fill="auto"/>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269"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73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494" w:type="dxa"/>
                  <w:gridSpan w:val="6"/>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9" w:type="dxa"/>
                  <w:gridSpan w:val="2"/>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35" w:type="dxa"/>
                  <w:gridSpan w:val="2"/>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3733.63</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4043.15</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2.46</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18.74</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1025.16</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30.86</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38.97</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32.68</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28.32</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492.09</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4758.79</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4758.79</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819" w:type="dxa"/>
                  <w:gridSpan w:val="3"/>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9" w:type="dxa"/>
                  <w:gridSpan w:val="2"/>
                  <w:tcBorders>
                    <w:top w:val="nil"/>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4758.79</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4758.79</w:t>
                  </w:r>
                </w:p>
              </w:tc>
            </w:tr>
            <w:tr>
              <w:tblPrEx>
                <w:shd w:val="clear" w:color="auto" w:fill="auto"/>
                <w:tblCellMar>
                  <w:top w:w="0" w:type="dxa"/>
                  <w:left w:w="108" w:type="dxa"/>
                  <w:bottom w:w="0" w:type="dxa"/>
                  <w:right w:w="108" w:type="dxa"/>
                </w:tblCellMar>
              </w:tblPrEx>
              <w:trPr>
                <w:gridAfter w:val="1"/>
                <w:wAfter w:w="2" w:type="dxa"/>
                <w:trHeight w:val="308" w:hRule="atLeast"/>
              </w:trPr>
              <w:tc>
                <w:tcPr>
                  <w:tcW w:w="13857"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注：本表反映部门本年度的总收支和年末结转结余情况。本套报表金额单位转换时可能存在尾数误差。</w:t>
                  </w:r>
                </w:p>
              </w:tc>
            </w:tr>
          </w:tbl>
          <w:p>
            <w:pPr>
              <w:widowControl/>
              <w:jc w:val="left"/>
              <w:rPr>
                <w:rFonts w:ascii="宋体" w:cs="Times New Roman"/>
                <w:kern w:val="0"/>
                <w:sz w:val="24"/>
                <w:szCs w:val="24"/>
              </w:rPr>
            </w:pPr>
          </w:p>
        </w:tc>
      </w:tr>
    </w:tbl>
    <w:p>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pPr>
        <w:widowControl/>
        <w:jc w:val="left"/>
        <w:rPr>
          <w:rFonts w:ascii="Times New Roman" w:hAnsi="Times New Roman" w:eastAsia="黑体" w:cs="Times New Roman"/>
          <w:kern w:val="0"/>
          <w:sz w:val="32"/>
          <w:szCs w:val="32"/>
        </w:rPr>
      </w:pPr>
    </w:p>
    <w:tbl>
      <w:tblPr>
        <w:tblStyle w:val="7"/>
        <w:tblW w:w="15614" w:type="dxa"/>
        <w:tblInd w:w="0" w:type="dxa"/>
        <w:shd w:val="clear" w:color="auto" w:fill="auto"/>
        <w:tblLayout w:type="fixed"/>
        <w:tblCellMar>
          <w:top w:w="0" w:type="dxa"/>
          <w:left w:w="108" w:type="dxa"/>
          <w:bottom w:w="0" w:type="dxa"/>
          <w:right w:w="108" w:type="dxa"/>
        </w:tblCellMar>
      </w:tblPr>
      <w:tblGrid>
        <w:gridCol w:w="3013"/>
        <w:gridCol w:w="222"/>
        <w:gridCol w:w="222"/>
        <w:gridCol w:w="4618"/>
        <w:gridCol w:w="1208"/>
        <w:gridCol w:w="1162"/>
        <w:gridCol w:w="1250"/>
        <w:gridCol w:w="896"/>
        <w:gridCol w:w="890"/>
        <w:gridCol w:w="1046"/>
        <w:gridCol w:w="1087"/>
      </w:tblGrid>
      <w:tr>
        <w:tblPrEx>
          <w:shd w:val="clear" w:color="auto" w:fill="auto"/>
          <w:tblCellMar>
            <w:top w:w="0" w:type="dxa"/>
            <w:left w:w="108" w:type="dxa"/>
            <w:bottom w:w="0" w:type="dxa"/>
            <w:right w:w="108" w:type="dxa"/>
          </w:tblCellMar>
        </w:tblPrEx>
        <w:trPr>
          <w:trHeight w:val="384" w:hRule="atLeast"/>
        </w:trPr>
        <w:tc>
          <w:tcPr>
            <w:tcW w:w="15614" w:type="dxa"/>
            <w:gridSpan w:val="11"/>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shd w:val="clear" w:color="auto" w:fill="auto"/>
          <w:tblCellMar>
            <w:top w:w="0" w:type="dxa"/>
            <w:left w:w="108" w:type="dxa"/>
            <w:bottom w:w="0" w:type="dxa"/>
            <w:right w:w="108" w:type="dxa"/>
          </w:tblCellMar>
        </w:tblPrEx>
        <w:trPr>
          <w:trHeight w:val="264" w:hRule="atLeast"/>
        </w:trPr>
        <w:tc>
          <w:tcPr>
            <w:tcW w:w="301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16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89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89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04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087"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shd w:val="clear" w:color="auto" w:fill="auto"/>
          <w:tblCellMar>
            <w:top w:w="0" w:type="dxa"/>
            <w:left w:w="108" w:type="dxa"/>
            <w:bottom w:w="0" w:type="dxa"/>
            <w:right w:w="108" w:type="dxa"/>
          </w:tblCellMar>
        </w:tblPrEx>
        <w:trPr>
          <w:trHeight w:val="264" w:hRule="atLeast"/>
        </w:trPr>
        <w:tc>
          <w:tcPr>
            <w:tcW w:w="3013"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16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3919" w:type="dxa"/>
            <w:gridSpan w:val="4"/>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80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08"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16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5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89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89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4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087"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shd w:val="clear" w:color="auto" w:fill="auto"/>
          <w:tblCellMar>
            <w:top w:w="0" w:type="dxa"/>
            <w:left w:w="108" w:type="dxa"/>
            <w:bottom w:w="0" w:type="dxa"/>
            <w:right w:w="108" w:type="dxa"/>
          </w:tblCellMar>
        </w:tblPrEx>
        <w:trPr>
          <w:trHeight w:val="308" w:hRule="atLeast"/>
        </w:trPr>
        <w:tc>
          <w:tcPr>
            <w:tcW w:w="3457"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18"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0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6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5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6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5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6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8075"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shd w:val="clear" w:color="auto" w:fill="auto"/>
          <w:tblCellMar>
            <w:top w:w="0" w:type="dxa"/>
            <w:left w:w="108" w:type="dxa"/>
            <w:bottom w:w="0" w:type="dxa"/>
            <w:right w:w="108" w:type="dxa"/>
          </w:tblCellMar>
        </w:tblPrEx>
        <w:trPr>
          <w:trHeight w:val="308" w:hRule="atLeast"/>
        </w:trPr>
        <w:tc>
          <w:tcPr>
            <w:tcW w:w="8075"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4758.79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3733.63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1025.16</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4043.15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3017.99</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1025.16</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4005.16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2980.00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1025.16</w:t>
            </w:r>
          </w:p>
        </w:tc>
      </w:tr>
      <w:tr>
        <w:tblPrEx>
          <w:shd w:val="clear" w:color="auto" w:fill="auto"/>
          <w:tblCellMar>
            <w:top w:w="0" w:type="dxa"/>
            <w:left w:w="108" w:type="dxa"/>
            <w:bottom w:w="0" w:type="dxa"/>
            <w:right w:w="108" w:type="dxa"/>
          </w:tblCellMar>
        </w:tblPrEx>
        <w:trPr>
          <w:trHeight w:val="90"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2256.56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1231.40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1025.16</w:t>
            </w:r>
          </w:p>
        </w:tc>
      </w:tr>
      <w:tr>
        <w:tblPrEx>
          <w:shd w:val="clear" w:color="auto" w:fill="auto"/>
          <w:tblCellMar>
            <w:top w:w="0" w:type="dxa"/>
            <w:left w:w="108" w:type="dxa"/>
            <w:bottom w:w="0" w:type="dxa"/>
            <w:right w:w="108" w:type="dxa"/>
          </w:tblCellMar>
        </w:tblPrEx>
        <w:trPr>
          <w:trHeight w:val="90"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一般行政管理事务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1534.87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1534.87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90"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40.00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173.73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173.73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7.99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7.99</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27"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7.99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7.99</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22.85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22.85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10.85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10.85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2010699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292"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20133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宣传事务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2013399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其他宣传事务支出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国防支出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20306</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国防动员</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2030601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兵役征集</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公共安全支出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18.74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18.74</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公安</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2040219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信息化建设</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其他公共安全支出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2049999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其他公共安全支出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文化旅游</w:t>
            </w:r>
            <w:r>
              <w:rPr>
                <w:rFonts w:hint="eastAsia" w:ascii="宋体" w:hAnsi="宋体" w:cs="宋体"/>
                <w:i w:val="0"/>
                <w:iCs w:val="0"/>
                <w:color w:val="000000"/>
                <w:kern w:val="0"/>
                <w:sz w:val="22"/>
                <w:szCs w:val="22"/>
                <w:u w:val="none"/>
                <w:lang w:val="en-US" w:eastAsia="zh-CN" w:bidi="ar"/>
              </w:rPr>
              <w:t>体育与</w:t>
            </w:r>
            <w:r>
              <w:rPr>
                <w:rFonts w:hint="eastAsia" w:ascii="宋体" w:hAnsi="宋体" w:eastAsia="宋体" w:cs="宋体"/>
                <w:i w:val="0"/>
                <w:iCs w:val="0"/>
                <w:color w:val="000000"/>
                <w:kern w:val="0"/>
                <w:sz w:val="22"/>
                <w:szCs w:val="22"/>
                <w:u w:val="none"/>
                <w:lang w:val="en-US" w:eastAsia="zh-CN" w:bidi="ar"/>
              </w:rPr>
              <w:t>传媒支出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9999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文化旅游</w:t>
            </w:r>
            <w:r>
              <w:rPr>
                <w:rFonts w:hint="eastAsia" w:ascii="宋体" w:hAnsi="宋体" w:cs="宋体"/>
                <w:i w:val="0"/>
                <w:iCs w:val="0"/>
                <w:color w:val="000000"/>
                <w:kern w:val="0"/>
                <w:sz w:val="22"/>
                <w:szCs w:val="22"/>
                <w:u w:val="none"/>
                <w:lang w:val="en-US" w:eastAsia="zh-CN" w:bidi="ar"/>
              </w:rPr>
              <w:t>体育与</w:t>
            </w:r>
            <w:r>
              <w:rPr>
                <w:rFonts w:hint="eastAsia" w:ascii="宋体" w:hAnsi="宋体" w:eastAsia="宋体" w:cs="宋体"/>
                <w:i w:val="0"/>
                <w:iCs w:val="0"/>
                <w:color w:val="000000"/>
                <w:kern w:val="0"/>
                <w:sz w:val="22"/>
                <w:szCs w:val="22"/>
                <w:u w:val="none"/>
                <w:lang w:val="en-US" w:eastAsia="zh-CN" w:bidi="ar"/>
              </w:rPr>
              <w:t>传媒支出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90"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抚恤</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10.31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10.31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0801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死亡抚恤</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82"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社会福利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8.60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8.60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2081002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老年福利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27"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2081005</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社会福利事业单位</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财政对其他社会保险基金的补助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2082799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其他财政对社会保险基金的补助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退役军人管理事务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2082899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其他财政对社会保险基金的补助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38.97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38.97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6.43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公共卫生</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2100409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重大公共卫生服务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计划生育服务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22.87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22.87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2100717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计划生育事务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21.83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21.83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其他计划生育事务支出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1.04</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节能环保支出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自然生态保护</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2110402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农村环境保护</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28.32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28.32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10.46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33"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10.46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9.86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9.86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其他城乡社区支出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其他城乡社区支出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492.09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492.09</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23.00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23.00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农业生产发展</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3.00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其他农业农村支出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20.00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15.40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15.40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防汛</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10.40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10.40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2130316</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农村水利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5.00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农业综合改革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424.68</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424.68</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对村级一事一议的补助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74.00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74.00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349.07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349.07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其他农村综合改革支出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29.01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29.01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29.01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29.01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灾害防治及应急管理支出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22407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自然灾害救灾及恢复重建支出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2240799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其他自然灾害救灾及恢复重建支出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14"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kern w:val="0"/>
          <w:sz w:val="32"/>
          <w:szCs w:val="32"/>
        </w:rPr>
      </w:pPr>
    </w:p>
    <w:p>
      <w:pPr>
        <w:widowControl/>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tbl>
      <w:tblPr>
        <w:tblStyle w:val="7"/>
        <w:tblW w:w="15608" w:type="dxa"/>
        <w:tblInd w:w="0" w:type="dxa"/>
        <w:shd w:val="clear" w:color="auto" w:fill="auto"/>
        <w:tblLayout w:type="fixed"/>
        <w:tblCellMar>
          <w:top w:w="0" w:type="dxa"/>
          <w:left w:w="108" w:type="dxa"/>
          <w:bottom w:w="0" w:type="dxa"/>
          <w:right w:w="108" w:type="dxa"/>
        </w:tblCellMar>
      </w:tblPr>
      <w:tblGrid>
        <w:gridCol w:w="3016"/>
        <w:gridCol w:w="222"/>
        <w:gridCol w:w="222"/>
        <w:gridCol w:w="4616"/>
        <w:gridCol w:w="1283"/>
        <w:gridCol w:w="1255"/>
        <w:gridCol w:w="1124"/>
        <w:gridCol w:w="1030"/>
        <w:gridCol w:w="1442"/>
        <w:gridCol w:w="1398"/>
      </w:tblGrid>
      <w:tr>
        <w:tblPrEx>
          <w:shd w:val="clear" w:color="auto" w:fill="auto"/>
          <w:tblCellMar>
            <w:top w:w="0" w:type="dxa"/>
            <w:left w:w="108" w:type="dxa"/>
            <w:bottom w:w="0" w:type="dxa"/>
            <w:right w:w="108" w:type="dxa"/>
          </w:tblCellMar>
        </w:tblPrEx>
        <w:trPr>
          <w:trHeight w:val="384" w:hRule="atLeast"/>
        </w:trPr>
        <w:tc>
          <w:tcPr>
            <w:tcW w:w="15608" w:type="dxa"/>
            <w:gridSpan w:val="10"/>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shd w:val="clear" w:color="auto" w:fill="auto"/>
          <w:tblCellMar>
            <w:top w:w="0" w:type="dxa"/>
            <w:left w:w="108" w:type="dxa"/>
            <w:bottom w:w="0" w:type="dxa"/>
            <w:right w:w="108" w:type="dxa"/>
          </w:tblCellMar>
        </w:tblPrEx>
        <w:trPr>
          <w:trHeight w:val="264" w:hRule="atLeast"/>
        </w:trPr>
        <w:tc>
          <w:tcPr>
            <w:tcW w:w="301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8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5"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124"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03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44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398"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shd w:val="clear" w:color="auto" w:fill="auto"/>
          <w:tblCellMar>
            <w:top w:w="0" w:type="dxa"/>
            <w:left w:w="108" w:type="dxa"/>
            <w:bottom w:w="0" w:type="dxa"/>
            <w:right w:w="108" w:type="dxa"/>
          </w:tblCellMar>
        </w:tblPrEx>
        <w:trPr>
          <w:trHeight w:val="264" w:hRule="atLeast"/>
        </w:trPr>
        <w:tc>
          <w:tcPr>
            <w:tcW w:w="3016"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8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5"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994" w:type="dxa"/>
            <w:gridSpan w:val="4"/>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80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83"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2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24"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03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44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398"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shd w:val="clear" w:color="auto" w:fill="auto"/>
          <w:tblCellMar>
            <w:top w:w="0" w:type="dxa"/>
            <w:left w:w="108" w:type="dxa"/>
            <w:bottom w:w="0" w:type="dxa"/>
            <w:right w:w="108" w:type="dxa"/>
          </w:tblCellMar>
        </w:tblPrEx>
        <w:trPr>
          <w:trHeight w:val="308" w:hRule="atLeast"/>
        </w:trPr>
        <w:tc>
          <w:tcPr>
            <w:tcW w:w="3460"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16"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6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6"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6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6"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8076"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shd w:val="clear" w:color="auto" w:fill="auto"/>
          <w:tblCellMar>
            <w:top w:w="0" w:type="dxa"/>
            <w:left w:w="108" w:type="dxa"/>
            <w:bottom w:w="0" w:type="dxa"/>
            <w:right w:w="108" w:type="dxa"/>
          </w:tblCellMar>
        </w:tblPrEx>
        <w:trPr>
          <w:trHeight w:val="308" w:hRule="atLeast"/>
        </w:trPr>
        <w:tc>
          <w:tcPr>
            <w:tcW w:w="8076"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4758.79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2499.43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2259.36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4043.16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2489.13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1554.03</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4005.15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2470.28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1534.87</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2256.56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2256.56</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一般行政管理事务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1534.87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1534.87</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信访事务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40.00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173.73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173.73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7.99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7.99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7.99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7.99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22.85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10.85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10.85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10.85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2010699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20133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宣传事务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2013399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其他宣传事务支出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国防支出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国防动员</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2030601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兵役征集</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公共安全支出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18.74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18.74</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公安</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2040219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信息化建设</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其他公共安全支出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7.82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2049999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其他公共安全支出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7.82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文化旅游</w:t>
            </w:r>
            <w:r>
              <w:rPr>
                <w:rFonts w:hint="eastAsia" w:ascii="宋体" w:hAnsi="宋体" w:cs="宋体"/>
                <w:i w:val="0"/>
                <w:iCs w:val="0"/>
                <w:color w:val="000000"/>
                <w:kern w:val="0"/>
                <w:sz w:val="22"/>
                <w:szCs w:val="22"/>
                <w:u w:val="none"/>
                <w:lang w:val="en-US" w:eastAsia="zh-CN" w:bidi="ar"/>
              </w:rPr>
              <w:t>体育与</w:t>
            </w:r>
            <w:r>
              <w:rPr>
                <w:rFonts w:hint="eastAsia" w:ascii="宋体" w:hAnsi="宋体" w:eastAsia="宋体" w:cs="宋体"/>
                <w:i w:val="0"/>
                <w:iCs w:val="0"/>
                <w:color w:val="000000"/>
                <w:kern w:val="0"/>
                <w:sz w:val="22"/>
                <w:szCs w:val="22"/>
                <w:u w:val="none"/>
                <w:lang w:val="en-US" w:eastAsia="zh-CN" w:bidi="ar"/>
              </w:rPr>
              <w:t>传媒支出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99</w:t>
            </w:r>
            <w:r>
              <w:rPr>
                <w:rFonts w:hint="eastAsia" w:ascii="宋体" w:hAnsi="宋体" w:eastAsia="宋体" w:cs="宋体"/>
                <w:i w:val="0"/>
                <w:iCs w:val="0"/>
                <w:color w:val="000000"/>
                <w:kern w:val="0"/>
                <w:sz w:val="22"/>
                <w:szCs w:val="22"/>
                <w:u w:val="none"/>
                <w:lang w:val="en-US" w:eastAsia="zh-CN" w:bidi="ar"/>
              </w:rPr>
              <w:t>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文化旅游</w:t>
            </w:r>
            <w:r>
              <w:rPr>
                <w:rFonts w:hint="eastAsia" w:ascii="宋体" w:hAnsi="宋体" w:cs="宋体"/>
                <w:i w:val="0"/>
                <w:iCs w:val="0"/>
                <w:color w:val="000000"/>
                <w:kern w:val="0"/>
                <w:sz w:val="22"/>
                <w:szCs w:val="22"/>
                <w:u w:val="none"/>
                <w:lang w:val="en-US" w:eastAsia="zh-CN" w:bidi="ar"/>
              </w:rPr>
              <w:t>体育与</w:t>
            </w:r>
            <w:r>
              <w:rPr>
                <w:rFonts w:hint="eastAsia" w:ascii="宋体" w:hAnsi="宋体" w:eastAsia="宋体" w:cs="宋体"/>
                <w:i w:val="0"/>
                <w:iCs w:val="0"/>
                <w:color w:val="000000"/>
                <w:kern w:val="0"/>
                <w:sz w:val="22"/>
                <w:szCs w:val="22"/>
                <w:u w:val="none"/>
                <w:lang w:val="en-US" w:eastAsia="zh-CN" w:bidi="ar"/>
              </w:rPr>
              <w:t>传媒支出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72.63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72.63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抚恤</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0801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死亡抚恤</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社会福利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8.60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8.60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2081002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老年福利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社会福利事业单位</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财政对其他社会保险基金的补助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2082799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其他财政对社会保险基金的补助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退役军人管理事务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38.97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6.43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6.43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公共卫生</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9.67</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2100409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重大公共卫生服务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9.67</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计划生育服务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22.87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22.87</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2100717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计划生育事务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21.83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21.83</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其他计划生育事务支出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节能环保支出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自然生态保护</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2110402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农村环境保护</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28.32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28.32</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9.86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9.86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其他城乡社区支出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其他城乡社区支出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492.09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492.09</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23</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农村生产发展</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其他农业农村支出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15.40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15.40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防汛</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10.40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10.40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农村水利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5.00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5.00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213</w:t>
            </w:r>
            <w:r>
              <w:rPr>
                <w:rFonts w:hint="eastAsia" w:ascii="宋体" w:hAnsi="宋体" w:cs="宋体"/>
                <w:i w:val="0"/>
                <w:iCs w:val="0"/>
                <w:color w:val="000000"/>
                <w:kern w:val="0"/>
                <w:sz w:val="22"/>
                <w:szCs w:val="22"/>
                <w:u w:val="none"/>
                <w:lang w:val="en-US" w:eastAsia="zh-CN" w:bidi="ar"/>
              </w:rPr>
              <w:t>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农村综合改革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424.68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424.68</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213</w:t>
            </w:r>
            <w:r>
              <w:rPr>
                <w:rFonts w:hint="eastAsia" w:ascii="宋体" w:hAnsi="宋体" w:cs="宋体"/>
                <w:i w:val="0"/>
                <w:iCs w:val="0"/>
                <w:color w:val="000000"/>
                <w:kern w:val="0"/>
                <w:sz w:val="22"/>
                <w:szCs w:val="22"/>
                <w:u w:val="none"/>
                <w:lang w:val="en-US" w:eastAsia="zh-CN" w:bidi="ar"/>
              </w:rPr>
              <w:t>0701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对村级一事一议的补助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74</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349.07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349.07</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其他农村综合改革支出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1.61</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29.01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灾害防治及应急管理支出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自然灾害救灾及恢复重建支出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2240799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其他自然灾害救灾及恢复重建支出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08" w:type="dxa"/>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tbl>
      <w:tblPr>
        <w:tblStyle w:val="7"/>
        <w:tblW w:w="15614" w:type="dxa"/>
        <w:tblInd w:w="0" w:type="dxa"/>
        <w:shd w:val="clear" w:color="auto" w:fill="auto"/>
        <w:tblLayout w:type="fixed"/>
        <w:tblCellMar>
          <w:top w:w="0" w:type="dxa"/>
          <w:left w:w="108" w:type="dxa"/>
          <w:bottom w:w="0" w:type="dxa"/>
          <w:right w:w="108" w:type="dxa"/>
        </w:tblCellMar>
      </w:tblPr>
      <w:tblGrid>
        <w:gridCol w:w="3400"/>
        <w:gridCol w:w="534"/>
        <w:gridCol w:w="1499"/>
        <w:gridCol w:w="3857"/>
        <w:gridCol w:w="534"/>
        <w:gridCol w:w="1365"/>
        <w:gridCol w:w="1427"/>
        <w:gridCol w:w="1421"/>
        <w:gridCol w:w="1577"/>
      </w:tblGrid>
      <w:tr>
        <w:tblPrEx>
          <w:shd w:val="clear" w:color="auto" w:fill="auto"/>
          <w:tblCellMar>
            <w:top w:w="0" w:type="dxa"/>
            <w:left w:w="108" w:type="dxa"/>
            <w:bottom w:w="0" w:type="dxa"/>
            <w:right w:w="108" w:type="dxa"/>
          </w:tblCellMar>
        </w:tblPrEx>
        <w:trPr>
          <w:trHeight w:val="384" w:hRule="atLeast"/>
        </w:trPr>
        <w:tc>
          <w:tcPr>
            <w:tcW w:w="15614" w:type="dxa"/>
            <w:gridSpan w:val="9"/>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bookmarkStart w:id="0" w:name="RANGE_A1_I22"/>
            <w:bookmarkEnd w:id="0"/>
            <w:bookmarkStart w:id="1" w:name="RANGE_A1_F16"/>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shd w:val="clear" w:color="auto" w:fill="auto"/>
          <w:tblCellMar>
            <w:top w:w="0" w:type="dxa"/>
            <w:left w:w="108" w:type="dxa"/>
            <w:bottom w:w="0" w:type="dxa"/>
            <w:right w:w="108" w:type="dxa"/>
          </w:tblCellMar>
        </w:tblPrEx>
        <w:trPr>
          <w:trHeight w:val="264" w:hRule="atLeast"/>
        </w:trPr>
        <w:tc>
          <w:tcPr>
            <w:tcW w:w="34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2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2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577"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shd w:val="clear" w:color="auto" w:fill="auto"/>
          <w:tblCellMar>
            <w:top w:w="0" w:type="dxa"/>
            <w:left w:w="108" w:type="dxa"/>
            <w:bottom w:w="0" w:type="dxa"/>
            <w:right w:w="108" w:type="dxa"/>
          </w:tblCellMar>
        </w:tblPrEx>
        <w:trPr>
          <w:trHeight w:val="264" w:hRule="atLeast"/>
        </w:trPr>
        <w:tc>
          <w:tcPr>
            <w:tcW w:w="3400"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425" w:type="dxa"/>
            <w:gridSpan w:val="3"/>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5433"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0181"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shd w:val="clear" w:color="auto" w:fill="auto"/>
          <w:tblCellMar>
            <w:top w:w="0" w:type="dxa"/>
            <w:left w:w="108" w:type="dxa"/>
            <w:bottom w:w="0" w:type="dxa"/>
            <w:right w:w="108" w:type="dxa"/>
          </w:tblCellMar>
        </w:tblPrEx>
        <w:trPr>
          <w:trHeight w:val="292" w:hRule="atLeast"/>
        </w:trPr>
        <w:tc>
          <w:tcPr>
            <w:tcW w:w="3400"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49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85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65"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2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42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57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shd w:val="clear" w:color="auto" w:fill="auto"/>
          <w:tblCellMar>
            <w:top w:w="0" w:type="dxa"/>
            <w:left w:w="108" w:type="dxa"/>
            <w:bottom w:w="0" w:type="dxa"/>
            <w:right w:w="108" w:type="dxa"/>
          </w:tblCellMar>
        </w:tblPrEx>
        <w:trPr>
          <w:trHeight w:val="615" w:hRule="atLeast"/>
        </w:trPr>
        <w:tc>
          <w:tcPr>
            <w:tcW w:w="340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9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85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365"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7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3733.63</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3017.99</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3017.99</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2.46</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2.46</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18.74</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18.74</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21.52</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30.86</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30.86</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38.97</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38.97</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32.68</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28.32</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28.32</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492.09</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492.09</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bCs/>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3733.63</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3733.63</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3733.63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36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36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36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8"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3733.63</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3733.63</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3733.63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4037" w:type="dxa"/>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577" w:type="dxa"/>
            <w:tcBorders>
              <w:top w:val="nil"/>
              <w:left w:val="nil"/>
              <w:bottom w:val="nil"/>
              <w:right w:val="nil"/>
            </w:tcBorders>
            <w:shd w:val="clear" w:color="auto" w:fill="FFFFFF"/>
            <w:vAlign w:val="center"/>
          </w:tcPr>
          <w:p>
            <w:pPr>
              <w:jc w:val="left"/>
              <w:rPr>
                <w:rFonts w:hint="eastAsia" w:ascii="宋体" w:hAnsi="宋体" w:eastAsia="宋体" w:cs="宋体"/>
                <w:i w:val="0"/>
                <w:iCs w:val="0"/>
                <w:color w:val="000000"/>
                <w:sz w:val="20"/>
                <w:szCs w:val="20"/>
                <w:u w:val="none"/>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tbl>
      <w:tblPr>
        <w:tblStyle w:val="7"/>
        <w:tblW w:w="15614" w:type="dxa"/>
        <w:tblInd w:w="0" w:type="dxa"/>
        <w:shd w:val="clear" w:color="auto" w:fill="auto"/>
        <w:tblLayout w:type="fixed"/>
        <w:tblCellMar>
          <w:top w:w="0" w:type="dxa"/>
          <w:left w:w="108" w:type="dxa"/>
          <w:bottom w:w="0" w:type="dxa"/>
          <w:right w:w="108" w:type="dxa"/>
        </w:tblCellMar>
      </w:tblPr>
      <w:tblGrid>
        <w:gridCol w:w="3498"/>
        <w:gridCol w:w="256"/>
        <w:gridCol w:w="259"/>
        <w:gridCol w:w="5352"/>
        <w:gridCol w:w="1980"/>
        <w:gridCol w:w="1980"/>
        <w:gridCol w:w="2289"/>
      </w:tblGrid>
      <w:tr>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shd w:val="clear" w:color="auto" w:fill="auto"/>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5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89"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shd w:val="clear" w:color="auto" w:fill="auto"/>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2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5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89"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936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249"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shd w:val="clear" w:color="auto" w:fill="auto"/>
          <w:tblCellMar>
            <w:top w:w="0" w:type="dxa"/>
            <w:left w:w="108" w:type="dxa"/>
            <w:bottom w:w="0" w:type="dxa"/>
            <w:right w:w="108" w:type="dxa"/>
          </w:tblCellMar>
        </w:tblPrEx>
        <w:trPr>
          <w:trHeight w:val="308" w:hRule="atLeast"/>
        </w:trPr>
        <w:tc>
          <w:tcPr>
            <w:tcW w:w="4013"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5352"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98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98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8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shd w:val="clear" w:color="auto" w:fill="auto"/>
          <w:tblCellMar>
            <w:top w:w="0" w:type="dxa"/>
            <w:left w:w="108" w:type="dxa"/>
            <w:bottom w:w="0" w:type="dxa"/>
            <w:right w:w="108" w:type="dxa"/>
          </w:tblCellMar>
        </w:tblPrEx>
        <w:trPr>
          <w:trHeight w:val="277"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52"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28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52"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28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365"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shd w:val="clear" w:color="auto" w:fill="auto"/>
          <w:tblCellMar>
            <w:top w:w="0" w:type="dxa"/>
            <w:left w:w="108" w:type="dxa"/>
            <w:bottom w:w="0" w:type="dxa"/>
            <w:right w:w="108" w:type="dxa"/>
          </w:tblCellMar>
        </w:tblPrEx>
        <w:trPr>
          <w:trHeight w:val="308" w:hRule="atLeast"/>
        </w:trPr>
        <w:tc>
          <w:tcPr>
            <w:tcW w:w="9365"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3733.63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1474.27</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2259.36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3017.99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1463.96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1554.03</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2979.99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1445.12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1534.87</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1231.38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sz w:val="22"/>
                <w:szCs w:val="22"/>
                <w:u w:val="none"/>
                <w:lang w:val="en-US" w:eastAsia="zh-CN"/>
              </w:rPr>
              <w:t>1231.38</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一般行政管理事务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1534.87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1534.87</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173.73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173.73</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7.99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7.99</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2010499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7.99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7.99</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20106</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22.85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10.85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2010601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10.85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10.85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2010699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20133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宣传事务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2013399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其他宣传事务支出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7.15</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国防支出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20306</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国防动员</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2030601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兵役征集</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公共安全支出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18.74</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18.74</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公安</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2040219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信息化建设</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10.92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其他公共安全支出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7.82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2049999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其他公共安全支出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7.82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7.82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文化旅游</w:t>
            </w:r>
            <w:r>
              <w:rPr>
                <w:rFonts w:hint="eastAsia" w:ascii="宋体" w:hAnsi="宋体" w:cs="宋体"/>
                <w:i w:val="0"/>
                <w:iCs w:val="0"/>
                <w:color w:val="000000"/>
                <w:kern w:val="0"/>
                <w:sz w:val="22"/>
                <w:szCs w:val="22"/>
                <w:u w:val="none"/>
                <w:lang w:val="en-US" w:eastAsia="zh-CN" w:bidi="ar"/>
              </w:rPr>
              <w:t>体育与</w:t>
            </w:r>
            <w:r>
              <w:rPr>
                <w:rFonts w:hint="eastAsia" w:ascii="宋体" w:hAnsi="宋体" w:eastAsia="宋体" w:cs="宋体"/>
                <w:i w:val="0"/>
                <w:iCs w:val="0"/>
                <w:color w:val="000000"/>
                <w:kern w:val="0"/>
                <w:sz w:val="22"/>
                <w:szCs w:val="22"/>
                <w:u w:val="none"/>
                <w:lang w:val="en-US" w:eastAsia="zh-CN" w:bidi="ar"/>
              </w:rPr>
              <w:t>传媒支出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99</w:t>
            </w:r>
            <w:r>
              <w:rPr>
                <w:rFonts w:hint="eastAsia" w:ascii="宋体" w:hAnsi="宋体" w:eastAsia="宋体" w:cs="宋体"/>
                <w:i w:val="0"/>
                <w:iCs w:val="0"/>
                <w:color w:val="000000"/>
                <w:kern w:val="0"/>
                <w:sz w:val="22"/>
                <w:szCs w:val="22"/>
                <w:u w:val="none"/>
                <w:lang w:val="en-US" w:eastAsia="zh-CN" w:bidi="ar"/>
              </w:rPr>
              <w:t>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文化旅游</w:t>
            </w:r>
            <w:r>
              <w:rPr>
                <w:rFonts w:hint="eastAsia" w:ascii="宋体" w:hAnsi="宋体" w:cs="宋体"/>
                <w:i w:val="0"/>
                <w:iCs w:val="0"/>
                <w:color w:val="000000"/>
                <w:kern w:val="0"/>
                <w:sz w:val="22"/>
                <w:szCs w:val="22"/>
                <w:u w:val="none"/>
                <w:lang w:val="en-US" w:eastAsia="zh-CN" w:bidi="ar"/>
              </w:rPr>
              <w:t>体育与</w:t>
            </w:r>
            <w:r>
              <w:rPr>
                <w:rFonts w:hint="eastAsia" w:ascii="宋体" w:hAnsi="宋体" w:eastAsia="宋体" w:cs="宋体"/>
                <w:i w:val="0"/>
                <w:iCs w:val="0"/>
                <w:color w:val="000000"/>
                <w:kern w:val="0"/>
                <w:sz w:val="22"/>
                <w:szCs w:val="22"/>
                <w:u w:val="none"/>
                <w:lang w:val="en-US" w:eastAsia="zh-CN" w:bidi="ar"/>
              </w:rPr>
              <w:t>传媒支出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21.52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72.63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72.63</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抚恤</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0801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死亡抚恤</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10.31</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社会福利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8.60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8.60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2081002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老年福利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2081005</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社会福利事业单位</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财政对其他社会保险基金的补助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2082799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其他财政对社会保险基金的补助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9.75</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20828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退役军人管理事务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2082899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38.97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6.43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6.43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公共卫生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9.67</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2100409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重大公共卫生服务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9.67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9.67</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计划生育服务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22.87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22.87</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2100717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计划生育事务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21.83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21.83</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其他计划生育事务支出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1.04</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节能环保支出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自然生态保护</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2110402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农村环境保护</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32.68</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28.32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28.32</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2120104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10.46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21205</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2120501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9.86</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其他城乡社区支出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其他城乡社区支出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492.09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492.09</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农业农村</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23.00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23.00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农村生产发展</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其他农业农村支出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15.40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15.40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防汛</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10.40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10.40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2130316</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农村水利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5.00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 xml:space="preserve">              5.00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w:t>
            </w:r>
            <w:r>
              <w:rPr>
                <w:rFonts w:hint="eastAsia" w:ascii="宋体" w:hAnsi="宋体" w:cs="宋体"/>
                <w:i w:val="0"/>
                <w:iCs w:val="0"/>
                <w:color w:val="000000"/>
                <w:kern w:val="0"/>
                <w:sz w:val="22"/>
                <w:szCs w:val="22"/>
                <w:u w:val="none"/>
                <w:lang w:val="en-US" w:eastAsia="zh-CN" w:bidi="ar"/>
              </w:rPr>
              <w:t>07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农村综合改革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424.68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424.68</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w:t>
            </w:r>
            <w:r>
              <w:rPr>
                <w:rFonts w:hint="eastAsia" w:ascii="宋体" w:hAnsi="宋体" w:cs="宋体"/>
                <w:i w:val="0"/>
                <w:iCs w:val="0"/>
                <w:color w:val="000000"/>
                <w:kern w:val="0"/>
                <w:sz w:val="22"/>
                <w:szCs w:val="22"/>
                <w:u w:val="none"/>
                <w:lang w:val="en-US" w:eastAsia="zh-CN" w:bidi="ar"/>
              </w:rPr>
              <w:t>0701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对村级一事一议的补助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74.00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74.00</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2130705</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349.07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349.07</w:t>
            </w:r>
          </w:p>
        </w:tc>
      </w:tr>
      <w:tr>
        <w:tblPrEx>
          <w:shd w:val="clear" w:color="auto" w:fill="auto"/>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其他农村综合改革支出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1.61</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2139999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29.01</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灾害防治及应急管理支出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22407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自然灾害救灾及恢复重建支出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2240799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其他自然灾害救灾及恢复重建支出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308" w:hRule="atLeast"/>
        </w:trPr>
        <w:tc>
          <w:tcPr>
            <w:tcW w:w="15614" w:type="dxa"/>
            <w:gridSpan w:val="7"/>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pStyle w:val="2"/>
        <w:rPr>
          <w:rFonts w:ascii="Times New Roman" w:hAnsi="Times New Roman" w:eastAsia="仿宋_GB2312" w:cs="Times New Roman"/>
          <w:kern w:val="0"/>
        </w:rPr>
      </w:pPr>
    </w:p>
    <w:p>
      <w:pPr>
        <w:pStyle w:val="2"/>
        <w:rPr>
          <w:rFonts w:ascii="Times New Roman" w:hAnsi="Times New Roman" w:eastAsia="仿宋_GB2312" w:cs="Times New Roman"/>
          <w:kern w:val="0"/>
        </w:rPr>
      </w:pPr>
    </w:p>
    <w:p>
      <w:pPr>
        <w:pStyle w:val="2"/>
        <w:rPr>
          <w:rFonts w:ascii="Times New Roman" w:hAnsi="Times New Roman" w:eastAsia="仿宋_GB2312" w:cs="Times New Roman"/>
          <w:kern w:val="0"/>
        </w:rPr>
      </w:pPr>
    </w:p>
    <w:tbl>
      <w:tblPr>
        <w:tblStyle w:val="7"/>
        <w:tblW w:w="15614" w:type="dxa"/>
        <w:tblInd w:w="0" w:type="dxa"/>
        <w:shd w:val="clear" w:color="auto" w:fill="auto"/>
        <w:tblLayout w:type="fixed"/>
        <w:tblCellMar>
          <w:top w:w="0" w:type="dxa"/>
          <w:left w:w="108" w:type="dxa"/>
          <w:bottom w:w="0" w:type="dxa"/>
          <w:right w:w="108" w:type="dxa"/>
        </w:tblCellMar>
      </w:tblPr>
      <w:tblGrid>
        <w:gridCol w:w="1099"/>
        <w:gridCol w:w="2856"/>
        <w:gridCol w:w="1392"/>
        <w:gridCol w:w="1200"/>
        <w:gridCol w:w="2220"/>
        <w:gridCol w:w="1056"/>
        <w:gridCol w:w="1200"/>
        <w:gridCol w:w="3320"/>
        <w:gridCol w:w="1271"/>
      </w:tblGrid>
      <w:tr>
        <w:tblPrEx>
          <w:tblCellMar>
            <w:top w:w="0" w:type="dxa"/>
            <w:left w:w="108" w:type="dxa"/>
            <w:bottom w:w="0" w:type="dxa"/>
            <w:right w:w="108" w:type="dxa"/>
          </w:tblCellMar>
        </w:tblPrEx>
        <w:trPr>
          <w:trHeight w:val="384" w:hRule="atLeast"/>
        </w:trPr>
        <w:tc>
          <w:tcPr>
            <w:tcW w:w="14343" w:type="dxa"/>
            <w:gridSpan w:val="8"/>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一般公共预算财政拨款基本支出决算表</w:t>
            </w:r>
          </w:p>
        </w:tc>
        <w:tc>
          <w:tcPr>
            <w:tcW w:w="127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264" w:hRule="atLeast"/>
        </w:trPr>
        <w:tc>
          <w:tcPr>
            <w:tcW w:w="109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8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39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tblPrEx>
          <w:shd w:val="clear" w:color="auto" w:fill="auto"/>
          <w:tblCellMar>
            <w:top w:w="0" w:type="dxa"/>
            <w:left w:w="108" w:type="dxa"/>
            <w:bottom w:w="0" w:type="dxa"/>
            <w:right w:w="108" w:type="dxa"/>
          </w:tblCellMar>
        </w:tblPrEx>
        <w:trPr>
          <w:trHeight w:val="264" w:hRule="atLeast"/>
        </w:trPr>
        <w:tc>
          <w:tcPr>
            <w:tcW w:w="3955" w:type="dxa"/>
            <w:gridSpan w:val="2"/>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139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534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267"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shd w:val="clear" w:color="auto" w:fill="auto"/>
          <w:tblCellMar>
            <w:top w:w="0" w:type="dxa"/>
            <w:left w:w="108" w:type="dxa"/>
            <w:bottom w:w="0" w:type="dxa"/>
            <w:right w:w="108" w:type="dxa"/>
          </w:tblCellMar>
        </w:tblPrEx>
        <w:trPr>
          <w:trHeight w:val="308" w:hRule="atLeast"/>
        </w:trPr>
        <w:tc>
          <w:tcPr>
            <w:tcW w:w="1099"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85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92"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2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5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3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shd w:val="clear" w:color="auto" w:fill="auto"/>
          <w:tblCellMar>
            <w:top w:w="0" w:type="dxa"/>
            <w:left w:w="108" w:type="dxa"/>
            <w:bottom w:w="0" w:type="dxa"/>
            <w:right w:w="108" w:type="dxa"/>
          </w:tblCellMar>
        </w:tblPrEx>
        <w:trPr>
          <w:trHeight w:val="312" w:hRule="atLeast"/>
        </w:trPr>
        <w:tc>
          <w:tcPr>
            <w:tcW w:w="1099"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85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392"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2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05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3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27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1134.45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216.28</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516.08</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33.63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2.92</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97.57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77.84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2.08</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110.95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18.30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0.84</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69.59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44.38</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23.4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21.14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161.01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19.82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120.62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2.91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10.31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58.66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51.19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0.46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53.72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82.54</w:t>
            </w:r>
          </w:p>
        </w:tc>
        <w:tc>
          <w:tcPr>
            <w:tcW w:w="120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856"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392"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955" w:type="dxa"/>
            <w:gridSpan w:val="2"/>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1255.07</w:t>
            </w:r>
          </w:p>
        </w:tc>
        <w:tc>
          <w:tcPr>
            <w:tcW w:w="8996" w:type="dxa"/>
            <w:gridSpan w:val="5"/>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219.20</w:t>
            </w:r>
          </w:p>
        </w:tc>
      </w:tr>
      <w:tr>
        <w:tblPrEx>
          <w:shd w:val="clear" w:color="auto" w:fill="auto"/>
          <w:tblCellMar>
            <w:top w:w="0" w:type="dxa"/>
            <w:left w:w="108" w:type="dxa"/>
            <w:bottom w:w="0" w:type="dxa"/>
            <w:right w:w="108" w:type="dxa"/>
          </w:tblCellMar>
        </w:tblPrEx>
        <w:trPr>
          <w:trHeight w:val="308" w:hRule="atLeast"/>
        </w:trPr>
        <w:tc>
          <w:tcPr>
            <w:tcW w:w="15614" w:type="dxa"/>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pStyle w:val="2"/>
        <w:rPr>
          <w:rFonts w:hint="eastAsia" w:ascii="Times New Roman" w:hAnsi="Times New Roman" w:eastAsia="方正小标宋_GBK" w:cs="方正小标宋_GBK"/>
          <w:color w:val="000000"/>
          <w:kern w:val="0"/>
          <w:sz w:val="36"/>
          <w:szCs w:val="36"/>
        </w:rPr>
      </w:pPr>
    </w:p>
    <w:p>
      <w:pPr>
        <w:pStyle w:val="2"/>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tbl>
      <w:tblPr>
        <w:tblStyle w:val="7"/>
        <w:tblW w:w="15611" w:type="dxa"/>
        <w:tblInd w:w="0" w:type="dxa"/>
        <w:shd w:val="clear" w:color="auto" w:fill="auto"/>
        <w:tblLayout w:type="fixed"/>
        <w:tblCellMar>
          <w:top w:w="0" w:type="dxa"/>
          <w:left w:w="108" w:type="dxa"/>
          <w:bottom w:w="0" w:type="dxa"/>
          <w:right w:w="108" w:type="dxa"/>
        </w:tblCellMar>
      </w:tblPr>
      <w:tblGrid>
        <w:gridCol w:w="1745"/>
        <w:gridCol w:w="1823"/>
        <w:gridCol w:w="1149"/>
        <w:gridCol w:w="1149"/>
        <w:gridCol w:w="1158"/>
        <w:gridCol w:w="1186"/>
        <w:gridCol w:w="1149"/>
        <w:gridCol w:w="1149"/>
        <w:gridCol w:w="1149"/>
        <w:gridCol w:w="1183"/>
        <w:gridCol w:w="1150"/>
        <w:gridCol w:w="1621"/>
      </w:tblGrid>
      <w:tr>
        <w:tblPrEx>
          <w:shd w:val="clear" w:color="auto" w:fill="auto"/>
          <w:tblCellMar>
            <w:top w:w="0" w:type="dxa"/>
            <w:left w:w="108" w:type="dxa"/>
            <w:bottom w:w="0" w:type="dxa"/>
            <w:right w:w="108" w:type="dxa"/>
          </w:tblCellMar>
        </w:tblPrEx>
        <w:trPr>
          <w:trHeight w:val="564" w:hRule="atLeast"/>
        </w:trPr>
        <w:tc>
          <w:tcPr>
            <w:tcW w:w="15611" w:type="dxa"/>
            <w:gridSpan w:val="12"/>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shd w:val="clear" w:color="auto" w:fill="auto"/>
          <w:tblCellMar>
            <w:top w:w="0" w:type="dxa"/>
            <w:left w:w="108" w:type="dxa"/>
            <w:bottom w:w="0" w:type="dxa"/>
            <w:right w:w="108" w:type="dxa"/>
          </w:tblCellMar>
        </w:tblPrEx>
        <w:trPr>
          <w:trHeight w:val="264" w:hRule="atLeast"/>
        </w:trPr>
        <w:tc>
          <w:tcPr>
            <w:tcW w:w="174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82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58"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8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5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shd w:val="clear" w:color="auto" w:fill="auto"/>
          <w:tblCellMar>
            <w:top w:w="0" w:type="dxa"/>
            <w:left w:w="108" w:type="dxa"/>
            <w:bottom w:w="0" w:type="dxa"/>
            <w:right w:w="108" w:type="dxa"/>
          </w:tblCellMar>
        </w:tblPrEx>
        <w:trPr>
          <w:trHeight w:val="264" w:hRule="atLeast"/>
        </w:trPr>
        <w:tc>
          <w:tcPr>
            <w:tcW w:w="12840" w:type="dxa"/>
            <w:gridSpan w:val="10"/>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115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8210"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401"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shd w:val="clear" w:color="auto" w:fill="auto"/>
          <w:tblCellMar>
            <w:top w:w="0" w:type="dxa"/>
            <w:left w:w="108" w:type="dxa"/>
            <w:bottom w:w="0" w:type="dxa"/>
            <w:right w:w="108" w:type="dxa"/>
          </w:tblCellMar>
        </w:tblPrEx>
        <w:trPr>
          <w:trHeight w:val="308" w:hRule="atLeast"/>
        </w:trPr>
        <w:tc>
          <w:tcPr>
            <w:tcW w:w="1745"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23"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56" w:type="dxa"/>
            <w:gridSpan w:val="3"/>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18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14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4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82" w:type="dxa"/>
            <w:gridSpan w:val="3"/>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62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shd w:val="clear" w:color="auto" w:fill="auto"/>
          <w:tblCellMar>
            <w:top w:w="0" w:type="dxa"/>
            <w:left w:w="108" w:type="dxa"/>
            <w:bottom w:w="0" w:type="dxa"/>
            <w:right w:w="108" w:type="dxa"/>
          </w:tblCellMar>
        </w:tblPrEx>
        <w:trPr>
          <w:trHeight w:val="615" w:hRule="atLeast"/>
        </w:trPr>
        <w:tc>
          <w:tcPr>
            <w:tcW w:w="1745"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823"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18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62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2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shd w:val="clear" w:color="auto" w:fill="auto"/>
          <w:tblCellMar>
            <w:top w:w="0" w:type="dxa"/>
            <w:left w:w="108" w:type="dxa"/>
            <w:bottom w:w="0" w:type="dxa"/>
            <w:right w:w="108" w:type="dxa"/>
          </w:tblCellMar>
        </w:tblPrEx>
        <w:trPr>
          <w:trHeight w:val="308"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w:t>
            </w:r>
          </w:p>
        </w:tc>
        <w:tc>
          <w:tcPr>
            <w:tcW w:w="182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2.91</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2.91</w:t>
            </w:r>
          </w:p>
        </w:tc>
      </w:tr>
      <w:tr>
        <w:tblPrEx>
          <w:shd w:val="clear" w:color="auto" w:fill="auto"/>
          <w:tblCellMar>
            <w:top w:w="0" w:type="dxa"/>
            <w:left w:w="108" w:type="dxa"/>
            <w:bottom w:w="0" w:type="dxa"/>
            <w:right w:w="108" w:type="dxa"/>
          </w:tblCellMar>
        </w:tblPrEx>
        <w:trPr>
          <w:trHeight w:val="615" w:hRule="atLeast"/>
        </w:trPr>
        <w:tc>
          <w:tcPr>
            <w:tcW w:w="15611" w:type="dxa"/>
            <w:gridSpan w:val="12"/>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widowControl/>
        <w:jc w:val="left"/>
        <w:rPr>
          <w:rFonts w:ascii="黑体" w:hAnsi="黑体" w:eastAsia="黑体" w:cs="Times New Roman"/>
        </w:rPr>
      </w:pPr>
    </w:p>
    <w:tbl>
      <w:tblPr>
        <w:tblStyle w:val="7"/>
        <w:tblW w:w="15518" w:type="dxa"/>
        <w:tblInd w:w="96" w:type="dxa"/>
        <w:shd w:val="clear" w:color="auto" w:fill="auto"/>
        <w:tblLayout w:type="fixed"/>
        <w:tblCellMar>
          <w:top w:w="0" w:type="dxa"/>
          <w:left w:w="108" w:type="dxa"/>
          <w:bottom w:w="0" w:type="dxa"/>
          <w:right w:w="108" w:type="dxa"/>
        </w:tblCellMar>
      </w:tblPr>
      <w:tblGrid>
        <w:gridCol w:w="3763"/>
        <w:gridCol w:w="680"/>
        <w:gridCol w:w="332"/>
        <w:gridCol w:w="2163"/>
        <w:gridCol w:w="1197"/>
        <w:gridCol w:w="1197"/>
        <w:gridCol w:w="1197"/>
        <w:gridCol w:w="1197"/>
        <w:gridCol w:w="1197"/>
        <w:gridCol w:w="2595"/>
      </w:tblGrid>
      <w:tr>
        <w:tblPrEx>
          <w:shd w:val="clear" w:color="auto" w:fill="auto"/>
          <w:tblCellMar>
            <w:top w:w="0" w:type="dxa"/>
            <w:left w:w="108" w:type="dxa"/>
            <w:bottom w:w="0" w:type="dxa"/>
            <w:right w:w="108" w:type="dxa"/>
          </w:tblCellMar>
        </w:tblPrEx>
        <w:trPr>
          <w:trHeight w:val="384" w:hRule="atLeast"/>
        </w:trPr>
        <w:tc>
          <w:tcPr>
            <w:tcW w:w="15518" w:type="dxa"/>
            <w:gridSpan w:val="10"/>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shd w:val="clear" w:color="auto" w:fill="auto"/>
          <w:tblCellMar>
            <w:top w:w="0" w:type="dxa"/>
            <w:left w:w="108" w:type="dxa"/>
            <w:bottom w:w="0" w:type="dxa"/>
            <w:right w:w="108" w:type="dxa"/>
          </w:tblCellMar>
        </w:tblPrEx>
        <w:trPr>
          <w:trHeight w:val="264" w:hRule="atLeast"/>
        </w:trPr>
        <w:tc>
          <w:tcPr>
            <w:tcW w:w="376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6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16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shd w:val="clear" w:color="auto" w:fill="auto"/>
          <w:tblCellMar>
            <w:top w:w="0" w:type="dxa"/>
            <w:left w:w="108" w:type="dxa"/>
            <w:bottom w:w="0" w:type="dxa"/>
            <w:right w:w="108" w:type="dxa"/>
          </w:tblCellMar>
        </w:tblPrEx>
        <w:trPr>
          <w:trHeight w:val="264" w:hRule="atLeast"/>
        </w:trPr>
        <w:tc>
          <w:tcPr>
            <w:tcW w:w="3763"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6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16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6938"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3591"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2595"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shd w:val="clear" w:color="auto" w:fill="auto"/>
          <w:tblCellMar>
            <w:top w:w="0" w:type="dxa"/>
            <w:left w:w="108" w:type="dxa"/>
            <w:bottom w:w="0" w:type="dxa"/>
            <w:right w:w="108" w:type="dxa"/>
          </w:tblCellMar>
        </w:tblPrEx>
        <w:trPr>
          <w:trHeight w:val="308" w:hRule="atLeast"/>
        </w:trPr>
        <w:tc>
          <w:tcPr>
            <w:tcW w:w="4775"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163"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775"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163"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163"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6938"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6938"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本表无数据</w:t>
            </w: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5518" w:type="dxa"/>
            <w:gridSpan w:val="10"/>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tbl>
      <w:tblPr>
        <w:tblStyle w:val="7"/>
        <w:tblW w:w="15614" w:type="dxa"/>
        <w:tblInd w:w="0" w:type="dxa"/>
        <w:shd w:val="clear" w:color="auto" w:fill="auto"/>
        <w:tblLayout w:type="fixed"/>
        <w:tblCellMar>
          <w:top w:w="0" w:type="dxa"/>
          <w:left w:w="108" w:type="dxa"/>
          <w:bottom w:w="0" w:type="dxa"/>
          <w:right w:w="108" w:type="dxa"/>
        </w:tblCellMar>
      </w:tblPr>
      <w:tblGrid>
        <w:gridCol w:w="5609"/>
        <w:gridCol w:w="412"/>
        <w:gridCol w:w="415"/>
        <w:gridCol w:w="2036"/>
        <w:gridCol w:w="2011"/>
        <w:gridCol w:w="2011"/>
        <w:gridCol w:w="3120"/>
      </w:tblGrid>
      <w:tr>
        <w:tblPrEx>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shd w:val="clear" w:color="auto" w:fill="auto"/>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1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shd w:val="clear" w:color="auto" w:fill="auto"/>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w:t>
            </w:r>
            <w:r>
              <w:rPr>
                <w:rFonts w:hint="eastAsia" w:ascii="宋体" w:hAnsi="宋体" w:cs="宋体"/>
                <w:i w:val="0"/>
                <w:iCs w:val="0"/>
                <w:color w:val="000000"/>
                <w:kern w:val="0"/>
                <w:sz w:val="20"/>
                <w:szCs w:val="20"/>
                <w:u w:val="none"/>
                <w:lang w:val="en-US" w:eastAsia="zh-CN" w:bidi="ar"/>
              </w:rPr>
              <w:t>河口</w:t>
            </w:r>
            <w:r>
              <w:rPr>
                <w:rFonts w:hint="eastAsia" w:ascii="宋体" w:hAnsi="宋体" w:eastAsia="宋体" w:cs="宋体"/>
                <w:i w:val="0"/>
                <w:iCs w:val="0"/>
                <w:color w:val="000000"/>
                <w:kern w:val="0"/>
                <w:sz w:val="20"/>
                <w:szCs w:val="20"/>
                <w:u w:val="none"/>
                <w:lang w:val="en-US" w:eastAsia="zh-CN" w:bidi="ar"/>
              </w:rPr>
              <w:t>镇人民政府</w:t>
            </w:r>
          </w:p>
        </w:tc>
        <w:tc>
          <w:tcPr>
            <w:tcW w:w="41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847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142"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shd w:val="clear" w:color="auto" w:fill="auto"/>
          <w:tblCellMar>
            <w:top w:w="0" w:type="dxa"/>
            <w:left w:w="108" w:type="dxa"/>
            <w:bottom w:w="0" w:type="dxa"/>
            <w:right w:w="108" w:type="dxa"/>
          </w:tblCellMar>
        </w:tblPrEx>
        <w:trPr>
          <w:trHeight w:val="308" w:hRule="atLeast"/>
        </w:trPr>
        <w:tc>
          <w:tcPr>
            <w:tcW w:w="6436"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03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1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1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shd w:val="clear" w:color="auto" w:fill="auto"/>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eastAsia="zh-CN"/>
              </w:rPr>
              <w:t>本表无数据</w:t>
            </w: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5614"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pPr>
        <w:pStyle w:val="12"/>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2"/>
        <w:ind w:firstLine="2520" w:firstLineChars="350"/>
        <w:rPr>
          <w:rFonts w:cs="Times New Roman"/>
          <w:sz w:val="72"/>
          <w:szCs w:val="72"/>
        </w:rPr>
      </w:pPr>
    </w:p>
    <w:p>
      <w:pPr>
        <w:pStyle w:val="12"/>
        <w:ind w:firstLine="2520" w:firstLineChars="350"/>
        <w:rPr>
          <w:rFonts w:cs="Times New Roman"/>
          <w:sz w:val="72"/>
          <w:szCs w:val="72"/>
        </w:rPr>
      </w:pPr>
    </w:p>
    <w:p>
      <w:pPr>
        <w:pStyle w:val="12"/>
        <w:ind w:firstLine="2520" w:firstLineChars="350"/>
        <w:rPr>
          <w:rFonts w:cs="Times New Roman"/>
          <w:sz w:val="72"/>
          <w:szCs w:val="72"/>
        </w:rPr>
      </w:pPr>
    </w:p>
    <w:p>
      <w:pPr>
        <w:pStyle w:val="12"/>
        <w:ind w:firstLine="2520" w:firstLineChars="350"/>
        <w:rPr>
          <w:rFonts w:cs="Times New Roman"/>
          <w:sz w:val="72"/>
          <w:szCs w:val="72"/>
        </w:rPr>
      </w:pPr>
    </w:p>
    <w:p>
      <w:pPr>
        <w:pStyle w:val="12"/>
        <w:ind w:firstLine="2520" w:firstLineChars="350"/>
        <w:rPr>
          <w:rFonts w:hint="eastAsia" w:ascii="宋体" w:hAnsi="宋体" w:eastAsia="宋体" w:cs="宋体"/>
          <w:sz w:val="72"/>
          <w:szCs w:val="72"/>
        </w:rPr>
      </w:pPr>
    </w:p>
    <w:p>
      <w:pPr>
        <w:pStyle w:val="12"/>
        <w:ind w:firstLine="3240" w:firstLineChars="450"/>
        <w:rPr>
          <w:rFonts w:hint="eastAsia" w:ascii="宋体" w:hAnsi="宋体" w:eastAsia="宋体" w:cs="宋体"/>
          <w:sz w:val="72"/>
          <w:szCs w:val="72"/>
        </w:rPr>
      </w:pPr>
      <w:r>
        <w:rPr>
          <w:rFonts w:hint="eastAsia" w:ascii="宋体" w:hAnsi="宋体" w:eastAsia="宋体" w:cs="宋体"/>
          <w:sz w:val="72"/>
          <w:szCs w:val="72"/>
        </w:rPr>
        <w:t>第三部分</w:t>
      </w: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pPr>
        <w:pStyle w:val="12"/>
        <w:rPr>
          <w:rFonts w:hAnsi="黑体" w:cs="Times New Roman"/>
          <w:b/>
          <w:bCs/>
          <w:sz w:val="32"/>
          <w:szCs w:val="32"/>
        </w:rPr>
      </w:pPr>
      <w:r>
        <w:rPr>
          <w:rFonts w:hint="eastAsia" w:hAnsi="黑体"/>
          <w:b/>
          <w:bCs/>
          <w:sz w:val="32"/>
          <w:szCs w:val="32"/>
        </w:rPr>
        <w:t>一、收入支出决算总体情况说明</w:t>
      </w:r>
    </w:p>
    <w:p>
      <w:pPr>
        <w:pStyle w:val="12"/>
        <w:rPr>
          <w:rFonts w:hint="eastAsia" w:ascii="宋体" w:hAnsi="宋体" w:eastAsia="宋体" w:cs="Times New Roman"/>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4758.79</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717.29</w:t>
      </w:r>
      <w:r>
        <w:rPr>
          <w:rFonts w:hint="eastAsia" w:ascii="宋体" w:hAnsi="宋体" w:eastAsia="宋体" w:cs="宋体"/>
          <w:color w:val="auto"/>
          <w:sz w:val="32"/>
          <w:szCs w:val="32"/>
        </w:rPr>
        <w:t>万元，减少</w:t>
      </w:r>
      <w:r>
        <w:rPr>
          <w:rFonts w:hint="eastAsia" w:ascii="宋体" w:hAnsi="宋体" w:eastAsia="宋体" w:cs="宋体"/>
          <w:color w:val="auto"/>
          <w:sz w:val="32"/>
          <w:szCs w:val="32"/>
          <w:lang w:val="en-US" w:eastAsia="zh-CN"/>
        </w:rPr>
        <w:t>15.07</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val="en-US" w:eastAsia="zh-CN"/>
        </w:rPr>
        <w:t>进一步压缩一般性预算支出，取得明显成效</w:t>
      </w:r>
      <w:r>
        <w:rPr>
          <w:rFonts w:hint="eastAsia" w:ascii="宋体" w:hAnsi="宋体" w:eastAsia="宋体" w:cs="宋体"/>
          <w:color w:val="auto"/>
          <w:sz w:val="32"/>
          <w:szCs w:val="32"/>
          <w:lang w:eastAsia="zh-CN"/>
        </w:rPr>
        <w:t>。</w:t>
      </w:r>
    </w:p>
    <w:p>
      <w:pPr>
        <w:pStyle w:val="12"/>
        <w:rPr>
          <w:rFonts w:hAnsi="黑体" w:cs="Times New Roman"/>
          <w:b/>
          <w:bCs/>
          <w:sz w:val="32"/>
          <w:szCs w:val="32"/>
        </w:rPr>
      </w:pPr>
      <w:r>
        <w:rPr>
          <w:rFonts w:hint="eastAsia" w:hAnsi="黑体"/>
          <w:b/>
          <w:bCs/>
          <w:sz w:val="32"/>
          <w:szCs w:val="32"/>
        </w:rPr>
        <w:t>二、收入决算情况说明</w:t>
      </w:r>
    </w:p>
    <w:p>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4758.79</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3733.63</w:t>
      </w:r>
      <w:r>
        <w:rPr>
          <w:rFonts w:hint="eastAsia" w:ascii="宋体" w:hAnsi="宋体" w:eastAsia="宋体" w:cs="宋体"/>
          <w:sz w:val="32"/>
          <w:szCs w:val="32"/>
        </w:rPr>
        <w:t>万元，占</w:t>
      </w:r>
      <w:r>
        <w:rPr>
          <w:rFonts w:hint="eastAsia" w:ascii="宋体" w:hAnsi="宋体" w:eastAsia="宋体" w:cs="宋体"/>
          <w:sz w:val="32"/>
          <w:szCs w:val="32"/>
          <w:lang w:val="en-US" w:eastAsia="zh-CN"/>
        </w:rPr>
        <w:t>78.46</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1025.16</w:t>
      </w:r>
      <w:r>
        <w:rPr>
          <w:rFonts w:hint="eastAsia" w:ascii="宋体" w:hAnsi="宋体" w:eastAsia="宋体" w:cs="宋体"/>
          <w:sz w:val="32"/>
          <w:szCs w:val="32"/>
        </w:rPr>
        <w:t>元，占</w:t>
      </w:r>
      <w:r>
        <w:rPr>
          <w:rFonts w:hint="eastAsia" w:ascii="宋体" w:hAnsi="宋体" w:eastAsia="宋体" w:cs="宋体"/>
          <w:sz w:val="32"/>
          <w:szCs w:val="32"/>
          <w:lang w:val="en-US" w:eastAsia="zh-CN"/>
        </w:rPr>
        <w:t>21.54</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三、支出决算情况说明</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4758.79</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2499.43</w:t>
      </w:r>
      <w:r>
        <w:rPr>
          <w:rFonts w:hint="eastAsia" w:ascii="宋体" w:hAnsi="宋体" w:eastAsia="宋体" w:cs="宋体"/>
          <w:sz w:val="32"/>
          <w:szCs w:val="32"/>
        </w:rPr>
        <w:t>万元，占</w:t>
      </w:r>
      <w:r>
        <w:rPr>
          <w:rFonts w:hint="eastAsia" w:ascii="宋体" w:hAnsi="宋体" w:eastAsia="宋体" w:cs="宋体"/>
          <w:sz w:val="32"/>
          <w:szCs w:val="32"/>
          <w:lang w:val="en-US" w:eastAsia="zh-CN"/>
        </w:rPr>
        <w:t>52.52</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2259.36</w:t>
      </w:r>
      <w:r>
        <w:rPr>
          <w:rFonts w:hint="eastAsia" w:ascii="宋体" w:hAnsi="宋体" w:eastAsia="宋体" w:cs="宋体"/>
          <w:sz w:val="32"/>
          <w:szCs w:val="32"/>
        </w:rPr>
        <w:t>万元，占</w:t>
      </w:r>
      <w:r>
        <w:rPr>
          <w:rFonts w:hint="eastAsia" w:ascii="宋体" w:hAnsi="宋体" w:eastAsia="宋体" w:cs="宋体"/>
          <w:sz w:val="32"/>
          <w:szCs w:val="32"/>
          <w:lang w:val="en-US" w:eastAsia="zh-CN"/>
        </w:rPr>
        <w:t>47.48</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四、财政拨款收入支出决算总体情况说明</w:t>
      </w:r>
    </w:p>
    <w:p>
      <w:pPr>
        <w:pStyle w:val="12"/>
        <w:rPr>
          <w:rFonts w:hint="eastAsia" w:ascii="宋体" w:hAnsi="宋体" w:eastAsia="宋体" w:cs="Times New Roman"/>
          <w:color w:val="FF0000"/>
          <w:sz w:val="32"/>
          <w:szCs w:val="32"/>
          <w:lang w:eastAsia="zh-CN"/>
        </w:rPr>
      </w:pPr>
      <w:r>
        <w:rPr>
          <w:rFonts w:ascii="宋体" w:hAnsi="宋体" w:eastAsia="宋体" w:cs="宋体"/>
          <w:sz w:val="32"/>
          <w:szCs w:val="32"/>
        </w:rPr>
        <w:t xml:space="preserve">    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3733.63</w:t>
      </w:r>
      <w:r>
        <w:rPr>
          <w:rFonts w:hint="eastAsia" w:ascii="宋体" w:hAnsi="宋体" w:eastAsia="宋体" w:cs="宋体"/>
          <w:sz w:val="32"/>
          <w:szCs w:val="32"/>
        </w:rPr>
        <w:t>万元，与上年相比</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738.89</w:t>
      </w:r>
      <w:r>
        <w:rPr>
          <w:rFonts w:hint="eastAsia" w:ascii="宋体" w:hAnsi="宋体" w:eastAsia="宋体" w:cs="宋体"/>
          <w:color w:val="auto"/>
          <w:sz w:val="32"/>
          <w:szCs w:val="32"/>
        </w:rPr>
        <w:t>万元</w:t>
      </w:r>
      <w:r>
        <w:rPr>
          <w:rFonts w:ascii="宋体" w:hAnsi="宋体" w:eastAsia="宋体" w:cs="宋体"/>
          <w:color w:val="auto"/>
          <w:sz w:val="32"/>
          <w:szCs w:val="32"/>
        </w:rPr>
        <w:t>,</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19.79</w:t>
      </w:r>
      <w:r>
        <w:rPr>
          <w:rFonts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2"/>
        <w:rPr>
          <w:rFonts w:hAnsi="黑体" w:cs="Times New Roman"/>
          <w:b/>
          <w:bCs/>
          <w:sz w:val="32"/>
          <w:szCs w:val="32"/>
        </w:rPr>
      </w:pPr>
      <w:r>
        <w:rPr>
          <w:rFonts w:hint="eastAsia" w:hAnsi="黑体"/>
          <w:b/>
          <w:bCs/>
          <w:sz w:val="32"/>
          <w:szCs w:val="32"/>
        </w:rPr>
        <w:t>五、一般公共预算财政拨款支出决算情况说明</w:t>
      </w:r>
    </w:p>
    <w:p>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2"/>
        <w:rPr>
          <w:rFonts w:hint="eastAsia"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3733.63</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78.46</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eastAsia="zh-CN"/>
        </w:rPr>
        <w:t>增加</w:t>
      </w:r>
      <w:r>
        <w:rPr>
          <w:rFonts w:hint="eastAsia" w:ascii="宋体" w:hAnsi="宋体" w:eastAsia="宋体" w:cs="宋体"/>
          <w:color w:val="auto"/>
          <w:sz w:val="32"/>
          <w:szCs w:val="32"/>
          <w:lang w:val="en-US" w:eastAsia="zh-CN"/>
        </w:rPr>
        <w:t>738.89</w:t>
      </w:r>
      <w:r>
        <w:rPr>
          <w:rFonts w:hint="eastAsia" w:ascii="宋体" w:hAnsi="宋体" w:eastAsia="宋体" w:cs="宋体"/>
          <w:sz w:val="32"/>
          <w:szCs w:val="32"/>
        </w:rPr>
        <w:t>万元，</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19.79</w:t>
      </w:r>
      <w:r>
        <w:rPr>
          <w:rFonts w:ascii="宋体" w:hAnsi="宋体" w:eastAsia="宋体" w:cs="宋体"/>
          <w:sz w:val="32"/>
          <w:szCs w:val="32"/>
        </w:rPr>
        <w:t>%</w:t>
      </w:r>
      <w:r>
        <w:rPr>
          <w:rFonts w:hint="eastAsia" w:ascii="宋体" w:hAnsi="宋体" w:eastAsia="宋体" w:cs="宋体"/>
          <w:color w:val="auto"/>
          <w:sz w:val="32"/>
          <w:szCs w:val="32"/>
          <w:lang w:eastAsia="zh-CN"/>
        </w:rPr>
        <w:t>。</w:t>
      </w:r>
    </w:p>
    <w:p>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2"/>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3733.63</w:t>
      </w:r>
      <w:r>
        <w:rPr>
          <w:rFonts w:hint="eastAsia" w:ascii="宋体" w:hAnsi="宋体" w:eastAsia="宋体" w:cs="宋体"/>
          <w:sz w:val="32"/>
          <w:szCs w:val="32"/>
        </w:rPr>
        <w:t>万元，主要用于以下方面：一般公共服务支出</w:t>
      </w:r>
      <w:r>
        <w:rPr>
          <w:rFonts w:hint="eastAsia" w:ascii="宋体" w:hAnsi="宋体" w:eastAsia="宋体" w:cs="宋体"/>
          <w:sz w:val="32"/>
          <w:szCs w:val="32"/>
          <w:lang w:val="en-US" w:eastAsia="zh-CN"/>
        </w:rPr>
        <w:t>3017.99</w:t>
      </w:r>
      <w:r>
        <w:rPr>
          <w:rFonts w:hint="eastAsia" w:ascii="宋体" w:hAnsi="宋体" w:eastAsia="宋体" w:cs="宋体"/>
          <w:sz w:val="32"/>
          <w:szCs w:val="32"/>
        </w:rPr>
        <w:t>万元，占</w:t>
      </w:r>
      <w:r>
        <w:rPr>
          <w:rFonts w:hint="eastAsia" w:ascii="宋体" w:hAnsi="宋体" w:eastAsia="宋体" w:cs="宋体"/>
          <w:sz w:val="32"/>
          <w:szCs w:val="32"/>
          <w:lang w:val="en-US" w:eastAsia="zh-CN"/>
        </w:rPr>
        <w:t>80.83%</w:t>
      </w:r>
      <w:r>
        <w:rPr>
          <w:rFonts w:hint="eastAsia" w:ascii="宋体" w:hAnsi="宋体" w:eastAsia="宋体" w:cs="宋体"/>
          <w:sz w:val="32"/>
          <w:szCs w:val="32"/>
        </w:rPr>
        <w:t>；</w:t>
      </w:r>
      <w:r>
        <w:rPr>
          <w:rFonts w:hint="eastAsia" w:ascii="宋体" w:hAnsi="宋体" w:eastAsia="宋体" w:cs="宋体"/>
          <w:sz w:val="32"/>
          <w:szCs w:val="32"/>
          <w:lang w:eastAsia="zh-CN"/>
        </w:rPr>
        <w:t>国防支出</w:t>
      </w:r>
      <w:r>
        <w:rPr>
          <w:rFonts w:hint="eastAsia" w:ascii="宋体" w:hAnsi="宋体" w:eastAsia="宋体" w:cs="宋体"/>
          <w:sz w:val="32"/>
          <w:szCs w:val="32"/>
          <w:lang w:val="en-US" w:eastAsia="zh-CN"/>
        </w:rPr>
        <w:t>2.45万元，占0.07</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公共安全支出</w:t>
      </w:r>
      <w:r>
        <w:rPr>
          <w:rFonts w:hint="eastAsia" w:ascii="宋体" w:hAnsi="宋体" w:eastAsia="宋体" w:cs="宋体"/>
          <w:sz w:val="32"/>
          <w:szCs w:val="32"/>
          <w:lang w:val="en-US" w:eastAsia="zh-CN"/>
        </w:rPr>
        <w:t>18.74万元，占0.5%</w:t>
      </w:r>
      <w:r>
        <w:rPr>
          <w:rFonts w:hint="eastAsia" w:ascii="宋体" w:hAnsi="宋体" w:eastAsia="宋体" w:cs="宋体"/>
          <w:sz w:val="32"/>
          <w:szCs w:val="32"/>
          <w:lang w:eastAsia="zh-CN"/>
        </w:rPr>
        <w:t>；文化旅游体育与传媒支出</w:t>
      </w:r>
      <w:r>
        <w:rPr>
          <w:rFonts w:hint="eastAsia" w:ascii="宋体" w:hAnsi="宋体" w:eastAsia="宋体" w:cs="宋体"/>
          <w:sz w:val="32"/>
          <w:szCs w:val="32"/>
          <w:lang w:val="en-US" w:eastAsia="zh-CN"/>
        </w:rPr>
        <w:t>21.52万元，占0.58%；</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30.86</w:t>
      </w:r>
      <w:r>
        <w:rPr>
          <w:rFonts w:hint="eastAsia" w:ascii="宋体" w:hAnsi="宋体" w:eastAsia="宋体" w:cs="宋体"/>
          <w:sz w:val="32"/>
          <w:szCs w:val="32"/>
        </w:rPr>
        <w:t>万元，占</w:t>
      </w:r>
      <w:r>
        <w:rPr>
          <w:rFonts w:hint="eastAsia" w:ascii="宋体" w:hAnsi="宋体" w:eastAsia="宋体" w:cs="宋体"/>
          <w:sz w:val="32"/>
          <w:szCs w:val="32"/>
          <w:lang w:val="en-US" w:eastAsia="zh-CN"/>
        </w:rPr>
        <w:t>0.82%；</w:t>
      </w:r>
      <w:r>
        <w:rPr>
          <w:rFonts w:hint="eastAsia" w:ascii="宋体" w:hAnsi="宋体" w:eastAsia="宋体" w:cs="宋体"/>
          <w:sz w:val="32"/>
          <w:szCs w:val="32"/>
        </w:rPr>
        <w:t>卫生健康支出</w:t>
      </w:r>
      <w:r>
        <w:rPr>
          <w:rFonts w:hint="eastAsia" w:ascii="宋体" w:hAnsi="宋体" w:eastAsia="宋体" w:cs="宋体"/>
          <w:sz w:val="32"/>
          <w:szCs w:val="32"/>
          <w:lang w:val="en-US" w:eastAsia="zh-CN"/>
        </w:rPr>
        <w:t>38.97</w:t>
      </w:r>
      <w:r>
        <w:rPr>
          <w:rFonts w:hint="eastAsia" w:ascii="宋体" w:hAnsi="宋体" w:eastAsia="宋体" w:cs="宋体"/>
          <w:sz w:val="32"/>
          <w:szCs w:val="32"/>
        </w:rPr>
        <w:t>万元，占</w:t>
      </w:r>
      <w:r>
        <w:rPr>
          <w:rFonts w:hint="eastAsia" w:ascii="宋体" w:hAnsi="宋体" w:eastAsia="宋体" w:cs="宋体"/>
          <w:sz w:val="32"/>
          <w:szCs w:val="32"/>
          <w:lang w:val="en-US" w:eastAsia="zh-CN"/>
        </w:rPr>
        <w:t>1.04</w:t>
      </w:r>
      <w:r>
        <w:rPr>
          <w:rFonts w:ascii="宋体" w:hAnsi="宋体" w:eastAsia="宋体" w:cs="宋体"/>
          <w:sz w:val="32"/>
          <w:szCs w:val="32"/>
        </w:rPr>
        <w:t>%</w:t>
      </w:r>
      <w:r>
        <w:rPr>
          <w:rFonts w:hint="eastAsia" w:ascii="宋体" w:hAnsi="宋体" w:eastAsia="宋体" w:cs="宋体"/>
          <w:sz w:val="32"/>
          <w:szCs w:val="32"/>
          <w:lang w:eastAsia="zh-CN"/>
        </w:rPr>
        <w:t>；节能环保</w:t>
      </w:r>
      <w:r>
        <w:rPr>
          <w:rFonts w:hint="eastAsia" w:ascii="宋体" w:hAnsi="宋体" w:eastAsia="宋体" w:cs="宋体"/>
          <w:sz w:val="32"/>
          <w:szCs w:val="32"/>
        </w:rPr>
        <w:t>支出</w:t>
      </w:r>
      <w:r>
        <w:rPr>
          <w:rFonts w:hint="eastAsia" w:ascii="宋体" w:hAnsi="宋体" w:eastAsia="宋体" w:cs="宋体"/>
          <w:sz w:val="32"/>
          <w:szCs w:val="32"/>
          <w:lang w:val="en-US" w:eastAsia="zh-CN"/>
        </w:rPr>
        <w:t>32.68</w:t>
      </w:r>
      <w:r>
        <w:rPr>
          <w:rFonts w:hint="eastAsia" w:ascii="宋体" w:hAnsi="宋体" w:eastAsia="宋体" w:cs="宋体"/>
          <w:sz w:val="32"/>
          <w:szCs w:val="32"/>
        </w:rPr>
        <w:t>万元，占</w:t>
      </w:r>
      <w:r>
        <w:rPr>
          <w:rFonts w:hint="eastAsia" w:ascii="宋体" w:hAnsi="宋体" w:eastAsia="宋体" w:cs="宋体"/>
          <w:sz w:val="32"/>
          <w:szCs w:val="32"/>
          <w:lang w:val="en-US" w:eastAsia="zh-CN"/>
        </w:rPr>
        <w:t>0.88</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城乡社区支出</w:t>
      </w:r>
      <w:r>
        <w:rPr>
          <w:rFonts w:hint="eastAsia" w:ascii="宋体" w:hAnsi="宋体" w:eastAsia="宋体" w:cs="宋体"/>
          <w:sz w:val="32"/>
          <w:szCs w:val="32"/>
          <w:lang w:val="en-US" w:eastAsia="zh-CN"/>
        </w:rPr>
        <w:t>28.32</w:t>
      </w:r>
      <w:r>
        <w:rPr>
          <w:rFonts w:hint="eastAsia" w:ascii="宋体" w:hAnsi="宋体" w:eastAsia="宋体" w:cs="宋体"/>
          <w:sz w:val="32"/>
          <w:szCs w:val="32"/>
        </w:rPr>
        <w:t>万元，占</w:t>
      </w:r>
      <w:r>
        <w:rPr>
          <w:rFonts w:hint="eastAsia" w:ascii="宋体" w:hAnsi="宋体" w:eastAsia="宋体" w:cs="宋体"/>
          <w:sz w:val="32"/>
          <w:szCs w:val="32"/>
          <w:lang w:val="en-US" w:eastAsia="zh-CN"/>
        </w:rPr>
        <w:t>0.76</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农林水支出</w:t>
      </w:r>
      <w:r>
        <w:rPr>
          <w:rFonts w:hint="eastAsia" w:ascii="宋体" w:hAnsi="宋体" w:eastAsia="宋体" w:cs="宋体"/>
          <w:sz w:val="32"/>
          <w:szCs w:val="32"/>
          <w:lang w:val="en-US" w:eastAsia="zh-CN"/>
        </w:rPr>
        <w:t>492.09</w:t>
      </w:r>
      <w:r>
        <w:rPr>
          <w:rFonts w:hint="eastAsia" w:ascii="宋体" w:hAnsi="宋体" w:eastAsia="宋体" w:cs="宋体"/>
          <w:sz w:val="32"/>
          <w:szCs w:val="32"/>
        </w:rPr>
        <w:t>万元，占</w:t>
      </w:r>
      <w:r>
        <w:rPr>
          <w:rFonts w:hint="eastAsia" w:ascii="宋体" w:hAnsi="宋体" w:eastAsia="宋体" w:cs="宋体"/>
          <w:sz w:val="32"/>
          <w:szCs w:val="32"/>
          <w:lang w:val="en-US" w:eastAsia="zh-CN"/>
        </w:rPr>
        <w:t>13.18</w:t>
      </w:r>
      <w:r>
        <w:rPr>
          <w:rFonts w:ascii="宋体" w:hAnsi="宋体" w:eastAsia="宋体" w:cs="宋体"/>
          <w:sz w:val="32"/>
          <w:szCs w:val="32"/>
        </w:rPr>
        <w:t>%</w:t>
      </w:r>
      <w:r>
        <w:rPr>
          <w:rFonts w:hint="eastAsia" w:ascii="宋体" w:hAnsi="宋体" w:eastAsia="宋体" w:cs="宋体"/>
          <w:sz w:val="32"/>
          <w:szCs w:val="32"/>
          <w:lang w:eastAsia="zh-CN"/>
        </w:rPr>
        <w:t>；灾害防治及应急管理支出</w:t>
      </w:r>
      <w:r>
        <w:rPr>
          <w:rFonts w:hint="eastAsia" w:ascii="宋体" w:hAnsi="宋体" w:eastAsia="宋体" w:cs="宋体"/>
          <w:sz w:val="32"/>
          <w:szCs w:val="32"/>
          <w:lang w:val="en-US" w:eastAsia="zh-CN"/>
        </w:rPr>
        <w:t>50万元</w:t>
      </w:r>
      <w:r>
        <w:rPr>
          <w:rFonts w:hint="eastAsia" w:ascii="宋体" w:hAnsi="宋体" w:eastAsia="宋体" w:cs="宋体"/>
          <w:sz w:val="32"/>
          <w:szCs w:val="32"/>
        </w:rPr>
        <w:t>占</w:t>
      </w:r>
      <w:r>
        <w:rPr>
          <w:rFonts w:hint="eastAsia" w:ascii="宋体" w:hAnsi="宋体" w:eastAsia="宋体" w:cs="宋体"/>
          <w:sz w:val="32"/>
          <w:szCs w:val="32"/>
          <w:lang w:val="en-US" w:eastAsia="zh-CN"/>
        </w:rPr>
        <w:t>1.34</w:t>
      </w:r>
      <w:r>
        <w:rPr>
          <w:rFonts w:ascii="宋体" w:hAnsi="宋体" w:eastAsia="宋体" w:cs="宋体"/>
          <w:sz w:val="32"/>
          <w:szCs w:val="32"/>
        </w:rPr>
        <w:t>%</w:t>
      </w:r>
      <w:r>
        <w:rPr>
          <w:rFonts w:hint="eastAsia" w:ascii="宋体" w:hAnsi="宋体" w:eastAsia="宋体" w:cs="宋体"/>
          <w:sz w:val="32"/>
          <w:szCs w:val="32"/>
          <w:lang w:val="en-US" w:eastAsia="zh-CN"/>
        </w:rPr>
        <w:t>，</w:t>
      </w:r>
      <w:r>
        <w:rPr>
          <w:rFonts w:hint="eastAsia" w:ascii="宋体" w:hAnsi="宋体" w:eastAsia="宋体" w:cs="宋体"/>
          <w:sz w:val="32"/>
          <w:szCs w:val="32"/>
          <w:lang w:eastAsia="zh-CN"/>
        </w:rPr>
        <w:t>。</w:t>
      </w:r>
    </w:p>
    <w:p>
      <w:pPr>
        <w:pStyle w:val="12"/>
        <w:ind w:firstLine="800" w:firstLineChars="25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2"/>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年度财政拨款支出年初预算数为</w:t>
      </w:r>
      <w:r>
        <w:rPr>
          <w:rFonts w:hint="eastAsia" w:ascii="宋体" w:hAnsi="宋体" w:eastAsia="宋体" w:cs="宋体"/>
          <w:sz w:val="32"/>
          <w:szCs w:val="32"/>
          <w:lang w:val="en-US" w:eastAsia="zh-CN"/>
        </w:rPr>
        <w:t>5371.78</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3733.63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69.5</w:t>
      </w:r>
      <w:r>
        <w:rPr>
          <w:rFonts w:ascii="宋体" w:hAnsi="宋体" w:eastAsia="宋体" w:cs="宋体"/>
          <w:sz w:val="32"/>
          <w:szCs w:val="32"/>
        </w:rPr>
        <w:t>%</w:t>
      </w:r>
      <w:r>
        <w:rPr>
          <w:rFonts w:hint="eastAsia" w:ascii="宋体" w:hAnsi="宋体" w:eastAsia="宋体" w:cs="宋体"/>
          <w:sz w:val="32"/>
          <w:szCs w:val="32"/>
        </w:rPr>
        <w:t>，其中：</w:t>
      </w:r>
    </w:p>
    <w:p>
      <w:pPr>
        <w:pStyle w:val="12"/>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政府办公厅（室）及相关机构事务（款）</w:t>
      </w:r>
      <w:r>
        <w:rPr>
          <w:rFonts w:hint="eastAsia" w:ascii="宋体" w:hAnsi="宋体" w:eastAsia="宋体" w:cs="宋体"/>
          <w:sz w:val="32"/>
          <w:szCs w:val="32"/>
          <w:lang w:val="en-US" w:eastAsia="zh-CN"/>
        </w:rPr>
        <w:t xml:space="preserve"> 行政运行（项）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2267.78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1231.38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54.3</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政府办公厅（室）及相关机构事务（款）一般行政管理事务</w:t>
      </w:r>
      <w:r>
        <w:rPr>
          <w:rFonts w:hint="eastAsia" w:ascii="宋体" w:hAnsi="宋体" w:eastAsia="宋体" w:cs="宋体"/>
          <w:sz w:val="32"/>
          <w:szCs w:val="32"/>
          <w:lang w:val="en-US" w:eastAsia="zh-CN"/>
        </w:rPr>
        <w:t>（项）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w:t>
      </w:r>
      <w:r>
        <w:rPr>
          <w:rFonts w:hint="eastAsia" w:ascii="宋体" w:hAnsi="宋体" w:eastAsia="宋体" w:cs="宋体"/>
          <w:sz w:val="32"/>
          <w:szCs w:val="32"/>
          <w:lang w:eastAsia="zh-CN"/>
        </w:rPr>
        <w:t>为</w:t>
      </w:r>
      <w:r>
        <w:rPr>
          <w:rFonts w:hint="eastAsia" w:ascii="宋体" w:hAnsi="宋体" w:eastAsia="宋体" w:cs="宋体"/>
          <w:sz w:val="32"/>
          <w:szCs w:val="32"/>
          <w:lang w:val="en-US" w:eastAsia="zh-CN"/>
        </w:rPr>
        <w:t>1989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1534.87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77.17</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政府办公厅（室）及相关机构事务（款）信访事务</w:t>
      </w:r>
      <w:r>
        <w:rPr>
          <w:rFonts w:hint="eastAsia" w:ascii="宋体" w:hAnsi="宋体" w:eastAsia="宋体" w:cs="宋体"/>
          <w:sz w:val="32"/>
          <w:szCs w:val="32"/>
          <w:lang w:val="en-US" w:eastAsia="zh-CN"/>
        </w:rPr>
        <w:t>（项）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80</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政府办公厅（室）及相关机构事务（款）其他政府办公厅（室）及相关机构事务支出</w:t>
      </w:r>
      <w:r>
        <w:rPr>
          <w:rFonts w:hint="eastAsia" w:ascii="宋体" w:hAnsi="宋体" w:eastAsia="宋体" w:cs="宋体"/>
          <w:sz w:val="32"/>
          <w:szCs w:val="32"/>
          <w:lang w:val="en-US" w:eastAsia="zh-CN"/>
        </w:rPr>
        <w:t>（项）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173.73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86.87</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发展与改革事务（款）</w:t>
      </w:r>
      <w:r>
        <w:rPr>
          <w:rFonts w:hint="eastAsia" w:ascii="宋体" w:hAnsi="宋体" w:eastAsia="宋体" w:cs="宋体"/>
          <w:sz w:val="32"/>
          <w:szCs w:val="32"/>
          <w:lang w:val="en-US" w:eastAsia="zh-CN"/>
        </w:rPr>
        <w:t xml:space="preserve"> 其他发展与改革事务支出（项）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7.99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88.78</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财政事务（款）</w:t>
      </w:r>
      <w:r>
        <w:rPr>
          <w:rFonts w:hint="eastAsia" w:ascii="宋体" w:hAnsi="宋体" w:eastAsia="宋体" w:cs="宋体"/>
          <w:sz w:val="32"/>
          <w:szCs w:val="32"/>
          <w:lang w:val="en-US" w:eastAsia="zh-CN"/>
        </w:rPr>
        <w:t xml:space="preserve"> 行政运行（项）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10.85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90.42</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财政事务（款）</w:t>
      </w:r>
      <w:r>
        <w:rPr>
          <w:rFonts w:hint="eastAsia" w:ascii="宋体" w:hAnsi="宋体" w:eastAsia="宋体" w:cs="宋体"/>
          <w:sz w:val="32"/>
          <w:szCs w:val="32"/>
          <w:lang w:val="en-US" w:eastAsia="zh-CN"/>
        </w:rPr>
        <w:t xml:space="preserve"> 其他财政事务支出（项）</w:t>
      </w:r>
      <w:r>
        <w:rPr>
          <w:rFonts w:hint="eastAsia" w:ascii="宋体" w:hAnsi="宋体" w:eastAsia="宋体" w:cs="宋体"/>
          <w:sz w:val="32"/>
          <w:szCs w:val="32"/>
        </w:rPr>
        <w:t>。</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80</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8、</w:t>
      </w:r>
      <w:r>
        <w:rPr>
          <w:rFonts w:hint="eastAsia" w:ascii="宋体" w:hAnsi="宋体" w:eastAsia="宋体" w:cs="宋体"/>
          <w:sz w:val="32"/>
          <w:szCs w:val="32"/>
        </w:rPr>
        <w:t>一般公共服务</w:t>
      </w:r>
      <w:r>
        <w:rPr>
          <w:rFonts w:hint="eastAsia" w:ascii="宋体" w:hAnsi="宋体" w:eastAsia="宋体" w:cs="宋体"/>
          <w:sz w:val="32"/>
          <w:szCs w:val="32"/>
          <w:lang w:eastAsia="zh-CN"/>
        </w:rPr>
        <w:t>（类）宣传事务（款）其他宣传事务支出（项）。</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7.15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89.38</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9、国防支出（类）国防动员（款）兵役征集（项）。</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年初预算为</w:t>
      </w:r>
      <w:r>
        <w:rPr>
          <w:rFonts w:hint="eastAsia" w:ascii="宋体" w:hAnsi="宋体" w:eastAsia="宋体" w:cs="宋体"/>
          <w:sz w:val="32"/>
          <w:szCs w:val="32"/>
          <w:lang w:val="en-US" w:eastAsia="zh-CN"/>
        </w:rPr>
        <w:t>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2.46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82</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10、</w:t>
      </w:r>
      <w:r>
        <w:rPr>
          <w:rFonts w:hint="eastAsia" w:ascii="宋体" w:hAnsi="宋体" w:eastAsia="宋体" w:cs="宋体"/>
          <w:sz w:val="32"/>
          <w:szCs w:val="32"/>
          <w:lang w:eastAsia="zh-CN"/>
        </w:rPr>
        <w:t>公共安全支出（类）公安（款）信息化建设（项）。</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10.92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91</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leftChars="300"/>
        <w:rPr>
          <w:rFonts w:hint="default" w:ascii="宋体" w:hAnsi="宋体" w:eastAsia="宋体" w:cs="宋体"/>
          <w:sz w:val="32"/>
          <w:szCs w:val="32"/>
          <w:lang w:val="en-US" w:eastAsia="zh-CN"/>
        </w:rPr>
      </w:pPr>
    </w:p>
    <w:p>
      <w:pPr>
        <w:pStyle w:val="12"/>
        <w:numPr>
          <w:ilvl w:val="0"/>
          <w:numId w:val="0"/>
        </w:num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11、</w:t>
      </w:r>
      <w:r>
        <w:rPr>
          <w:rFonts w:hint="eastAsia" w:ascii="宋体" w:hAnsi="宋体" w:eastAsia="宋体" w:cs="宋体"/>
          <w:sz w:val="32"/>
          <w:szCs w:val="32"/>
          <w:lang w:eastAsia="zh-CN"/>
        </w:rPr>
        <w:t>公共安全支出（类）其他公共安全支出（款）其他公共安全支出（项）。</w:t>
      </w:r>
    </w:p>
    <w:p>
      <w:pPr>
        <w:pStyle w:val="12"/>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7.82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86.89</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12</w:t>
      </w:r>
      <w:r>
        <w:rPr>
          <w:rFonts w:hint="eastAsia" w:ascii="宋体" w:hAnsi="宋体" w:eastAsia="宋体" w:cs="宋体"/>
          <w:sz w:val="32"/>
          <w:szCs w:val="32"/>
        </w:rPr>
        <w:t>、</w:t>
      </w:r>
      <w:r>
        <w:rPr>
          <w:rFonts w:hint="eastAsia" w:ascii="宋体" w:hAnsi="宋体" w:eastAsia="宋体" w:cs="宋体"/>
          <w:color w:val="auto"/>
          <w:sz w:val="32"/>
          <w:szCs w:val="32"/>
        </w:rPr>
        <w:t>文化旅游体育与传媒</w:t>
      </w:r>
      <w:r>
        <w:rPr>
          <w:rFonts w:hint="eastAsia" w:ascii="宋体" w:hAnsi="宋体" w:eastAsia="宋体" w:cs="宋体"/>
          <w:color w:val="auto"/>
          <w:sz w:val="32"/>
          <w:szCs w:val="32"/>
          <w:lang w:eastAsia="zh-CN"/>
        </w:rPr>
        <w:t>支出</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其他</w:t>
      </w:r>
      <w:r>
        <w:rPr>
          <w:rFonts w:hint="eastAsia" w:ascii="宋体" w:hAnsi="宋体" w:eastAsia="宋体" w:cs="宋体"/>
          <w:color w:val="auto"/>
          <w:sz w:val="32"/>
          <w:szCs w:val="32"/>
        </w:rPr>
        <w:t>文化旅游体育与传媒</w:t>
      </w:r>
      <w:r>
        <w:rPr>
          <w:rFonts w:hint="eastAsia" w:ascii="宋体" w:hAnsi="宋体" w:eastAsia="宋体" w:cs="宋体"/>
          <w:color w:val="auto"/>
          <w:sz w:val="32"/>
          <w:szCs w:val="32"/>
          <w:lang w:eastAsia="zh-CN"/>
        </w:rPr>
        <w:t>支出</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 xml:space="preserve"> 其他</w:t>
      </w:r>
      <w:r>
        <w:rPr>
          <w:rFonts w:hint="eastAsia" w:ascii="宋体" w:hAnsi="宋体" w:eastAsia="宋体" w:cs="宋体"/>
          <w:color w:val="auto"/>
          <w:sz w:val="32"/>
          <w:szCs w:val="32"/>
        </w:rPr>
        <w:t>文化旅游体育与传媒</w:t>
      </w:r>
      <w:r>
        <w:rPr>
          <w:rFonts w:hint="eastAsia" w:ascii="宋体" w:hAnsi="宋体" w:eastAsia="宋体" w:cs="宋体"/>
          <w:color w:val="auto"/>
          <w:sz w:val="32"/>
          <w:szCs w:val="32"/>
          <w:lang w:eastAsia="zh-CN"/>
        </w:rPr>
        <w:t>支出</w:t>
      </w:r>
      <w:r>
        <w:rPr>
          <w:rFonts w:hint="eastAsia" w:ascii="宋体" w:hAnsi="宋体" w:eastAsia="宋体" w:cs="宋体"/>
          <w:sz w:val="32"/>
          <w:szCs w:val="32"/>
          <w:lang w:val="en-US" w:eastAsia="zh-CN"/>
        </w:rPr>
        <w:t>（项）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24</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21.52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89.67</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13、</w:t>
      </w:r>
      <w:r>
        <w:rPr>
          <w:rFonts w:hint="eastAsia" w:ascii="宋体" w:hAnsi="宋体" w:eastAsia="宋体" w:cs="宋体"/>
          <w:sz w:val="32"/>
          <w:szCs w:val="32"/>
        </w:rPr>
        <w:t>社会保障和就业</w:t>
      </w:r>
      <w:r>
        <w:rPr>
          <w:rFonts w:hint="eastAsia" w:ascii="宋体" w:hAnsi="宋体" w:eastAsia="宋体" w:cs="宋体"/>
          <w:sz w:val="32"/>
          <w:szCs w:val="32"/>
          <w:lang w:eastAsia="zh-CN"/>
        </w:rPr>
        <w:t>支出（类）</w:t>
      </w:r>
      <w:r>
        <w:rPr>
          <w:rFonts w:hint="eastAsia" w:ascii="宋体" w:hAnsi="宋体" w:eastAsia="宋体" w:cs="宋体"/>
          <w:sz w:val="32"/>
          <w:szCs w:val="32"/>
          <w:lang w:val="en-US" w:eastAsia="zh-CN"/>
        </w:rPr>
        <w:t>抚恤</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 xml:space="preserve"> 死亡抚恤（项）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10.31</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85.92</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14、</w:t>
      </w:r>
      <w:r>
        <w:rPr>
          <w:rFonts w:hint="eastAsia" w:ascii="宋体" w:hAnsi="宋体" w:eastAsia="宋体" w:cs="宋体"/>
          <w:sz w:val="32"/>
          <w:szCs w:val="32"/>
        </w:rPr>
        <w:t>社会保障和就业</w:t>
      </w:r>
      <w:r>
        <w:rPr>
          <w:rFonts w:hint="eastAsia" w:ascii="宋体" w:hAnsi="宋体" w:eastAsia="宋体" w:cs="宋体"/>
          <w:sz w:val="32"/>
          <w:szCs w:val="32"/>
          <w:lang w:eastAsia="zh-CN"/>
        </w:rPr>
        <w:t>支出（类）</w:t>
      </w:r>
      <w:r>
        <w:rPr>
          <w:rFonts w:hint="eastAsia" w:ascii="宋体" w:hAnsi="宋体" w:eastAsia="宋体" w:cs="宋体"/>
          <w:sz w:val="32"/>
          <w:szCs w:val="32"/>
          <w:lang w:val="en-US" w:eastAsia="zh-CN"/>
        </w:rPr>
        <w:t>社会福利</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老年福利（项）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60</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15、</w:t>
      </w:r>
      <w:r>
        <w:rPr>
          <w:rFonts w:hint="eastAsia" w:ascii="宋体" w:hAnsi="宋体" w:eastAsia="宋体" w:cs="宋体"/>
          <w:sz w:val="32"/>
          <w:szCs w:val="32"/>
        </w:rPr>
        <w:t>社会保障和就业</w:t>
      </w:r>
      <w:r>
        <w:rPr>
          <w:rFonts w:hint="eastAsia" w:ascii="宋体" w:hAnsi="宋体" w:eastAsia="宋体" w:cs="宋体"/>
          <w:sz w:val="32"/>
          <w:szCs w:val="32"/>
          <w:lang w:eastAsia="zh-CN"/>
        </w:rPr>
        <w:t>支出（类）</w:t>
      </w:r>
      <w:r>
        <w:rPr>
          <w:rFonts w:hint="eastAsia" w:ascii="宋体" w:hAnsi="宋体" w:eastAsia="宋体" w:cs="宋体"/>
          <w:sz w:val="32"/>
          <w:szCs w:val="32"/>
          <w:lang w:val="en-US" w:eastAsia="zh-CN"/>
        </w:rPr>
        <w:t>社会福利</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社会福利事业单位（项）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83.33</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16、</w:t>
      </w:r>
      <w:r>
        <w:rPr>
          <w:rFonts w:hint="eastAsia" w:ascii="宋体" w:hAnsi="宋体" w:eastAsia="宋体" w:cs="宋体"/>
          <w:sz w:val="32"/>
          <w:szCs w:val="32"/>
        </w:rPr>
        <w:t>社会保障和就业</w:t>
      </w:r>
      <w:r>
        <w:rPr>
          <w:rFonts w:hint="eastAsia" w:ascii="宋体" w:hAnsi="宋体" w:eastAsia="宋体" w:cs="宋体"/>
          <w:sz w:val="32"/>
          <w:szCs w:val="32"/>
          <w:lang w:eastAsia="zh-CN"/>
        </w:rPr>
        <w:t>支出（类）</w:t>
      </w:r>
      <w:r>
        <w:rPr>
          <w:rFonts w:hint="eastAsia" w:ascii="宋体" w:hAnsi="宋体" w:eastAsia="宋体" w:cs="宋体"/>
          <w:sz w:val="32"/>
          <w:szCs w:val="32"/>
          <w:lang w:val="en-US" w:eastAsia="zh-CN"/>
        </w:rPr>
        <w:t>财政对其他社会保险基金的补助</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其他财政对社会保险基金的补助（项）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9.75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88.64</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960" w:firstLineChars="300"/>
        <w:rPr>
          <w:rFonts w:ascii="宋体" w:hAnsi="宋体" w:eastAsia="宋体" w:cs="Times New Roman"/>
          <w:sz w:val="32"/>
          <w:szCs w:val="32"/>
        </w:rPr>
      </w:pPr>
      <w:r>
        <w:rPr>
          <w:rFonts w:hint="eastAsia" w:ascii="宋体" w:hAnsi="宋体" w:eastAsia="宋体" w:cs="宋体"/>
          <w:sz w:val="32"/>
          <w:szCs w:val="32"/>
          <w:lang w:val="en-US" w:eastAsia="zh-CN"/>
        </w:rPr>
        <w:t>17、</w:t>
      </w:r>
      <w:r>
        <w:rPr>
          <w:rFonts w:hint="eastAsia" w:ascii="宋体" w:hAnsi="宋体" w:eastAsia="宋体" w:cs="宋体"/>
          <w:sz w:val="32"/>
          <w:szCs w:val="32"/>
        </w:rPr>
        <w:t>社会保障和就业</w:t>
      </w:r>
      <w:r>
        <w:rPr>
          <w:rFonts w:hint="eastAsia" w:ascii="宋体" w:hAnsi="宋体" w:eastAsia="宋体" w:cs="宋体"/>
          <w:sz w:val="32"/>
          <w:szCs w:val="32"/>
          <w:lang w:eastAsia="zh-CN"/>
        </w:rPr>
        <w:t>支出（类）</w:t>
      </w:r>
      <w:r>
        <w:rPr>
          <w:rFonts w:hint="eastAsia" w:ascii="宋体" w:hAnsi="宋体" w:eastAsia="宋体" w:cs="宋体"/>
          <w:sz w:val="32"/>
          <w:szCs w:val="32"/>
          <w:lang w:val="en-US" w:eastAsia="zh-CN"/>
        </w:rPr>
        <w:t xml:space="preserve"> 退役军人管理事务</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 xml:space="preserve"> 其他退役军人事务管理支出（项）</w:t>
      </w:r>
      <w:r>
        <w:rPr>
          <w:rFonts w:hint="eastAsia" w:ascii="宋体" w:hAnsi="宋体" w:eastAsia="宋体" w:cs="宋体"/>
          <w:sz w:val="32"/>
          <w:szCs w:val="32"/>
        </w:rPr>
        <w:t>。</w:t>
      </w:r>
    </w:p>
    <w:p>
      <w:pPr>
        <w:pStyle w:val="12"/>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44</w:t>
      </w:r>
      <w:r>
        <w:rPr>
          <w:rFonts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960" w:firstLineChars="300"/>
        <w:rPr>
          <w:rFonts w:hint="eastAsia" w:ascii="宋体" w:hAnsi="宋体" w:eastAsia="宋体" w:cs="宋体"/>
          <w:color w:val="auto"/>
          <w:sz w:val="32"/>
          <w:szCs w:val="32"/>
          <w:lang w:eastAsia="zh-CN"/>
        </w:rPr>
      </w:pPr>
      <w:r>
        <w:rPr>
          <w:rFonts w:hint="eastAsia" w:ascii="宋体" w:hAnsi="宋体" w:eastAsia="宋体" w:cs="宋体"/>
          <w:color w:val="auto"/>
          <w:sz w:val="32"/>
          <w:szCs w:val="32"/>
          <w:lang w:val="en-US" w:eastAsia="zh-CN"/>
        </w:rPr>
        <w:t>18、</w:t>
      </w:r>
      <w:r>
        <w:rPr>
          <w:rFonts w:hint="eastAsia" w:ascii="宋体" w:hAnsi="宋体" w:eastAsia="宋体" w:cs="宋体"/>
          <w:color w:val="auto"/>
          <w:sz w:val="32"/>
          <w:szCs w:val="32"/>
        </w:rPr>
        <w:t>卫生健康</w:t>
      </w:r>
      <w:r>
        <w:rPr>
          <w:rFonts w:hint="eastAsia" w:ascii="宋体" w:hAnsi="宋体" w:eastAsia="宋体" w:cs="宋体"/>
          <w:color w:val="auto"/>
          <w:sz w:val="32"/>
          <w:szCs w:val="32"/>
          <w:lang w:eastAsia="zh-CN"/>
        </w:rPr>
        <w:t>支出（类）</w:t>
      </w:r>
      <w:r>
        <w:rPr>
          <w:rFonts w:hint="eastAsia" w:ascii="宋体" w:hAnsi="宋体" w:eastAsia="宋体" w:cs="宋体"/>
          <w:color w:val="auto"/>
          <w:sz w:val="32"/>
          <w:szCs w:val="32"/>
          <w:lang w:val="en-US" w:eastAsia="zh-CN"/>
        </w:rPr>
        <w:t xml:space="preserve"> 卫生健康管理事务（款） 其他卫生健康管理事务支出（项）</w:t>
      </w:r>
      <w:r>
        <w:rPr>
          <w:rFonts w:hint="eastAsia" w:ascii="宋体" w:hAnsi="宋体" w:eastAsia="宋体" w:cs="宋体"/>
          <w:color w:val="auto"/>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6.43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64.3</w:t>
      </w:r>
      <w:r>
        <w:rPr>
          <w:rFonts w:hint="eastAsia"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960" w:firstLineChars="300"/>
        <w:rPr>
          <w:rFonts w:hint="eastAsia" w:ascii="宋体" w:hAnsi="宋体" w:eastAsia="宋体" w:cs="宋体"/>
          <w:color w:val="auto"/>
          <w:sz w:val="32"/>
          <w:szCs w:val="32"/>
          <w:lang w:eastAsia="zh-CN"/>
        </w:rPr>
      </w:pPr>
      <w:r>
        <w:rPr>
          <w:rFonts w:hint="eastAsia" w:ascii="宋体" w:hAnsi="宋体" w:eastAsia="宋体" w:cs="宋体"/>
          <w:sz w:val="32"/>
          <w:szCs w:val="32"/>
          <w:lang w:val="en-US" w:eastAsia="zh-CN"/>
        </w:rPr>
        <w:t>19、</w:t>
      </w:r>
      <w:r>
        <w:rPr>
          <w:rFonts w:hint="eastAsia" w:ascii="宋体" w:hAnsi="宋体" w:eastAsia="宋体" w:cs="宋体"/>
          <w:color w:val="auto"/>
          <w:sz w:val="32"/>
          <w:szCs w:val="32"/>
        </w:rPr>
        <w:t>卫生健康</w:t>
      </w:r>
      <w:r>
        <w:rPr>
          <w:rFonts w:hint="eastAsia" w:ascii="宋体" w:hAnsi="宋体" w:eastAsia="宋体" w:cs="宋体"/>
          <w:color w:val="auto"/>
          <w:sz w:val="32"/>
          <w:szCs w:val="32"/>
          <w:lang w:eastAsia="zh-CN"/>
        </w:rPr>
        <w:t>支出（类）</w:t>
      </w:r>
      <w:r>
        <w:rPr>
          <w:rFonts w:hint="eastAsia" w:ascii="宋体" w:hAnsi="宋体" w:eastAsia="宋体" w:cs="宋体"/>
          <w:color w:val="auto"/>
          <w:sz w:val="32"/>
          <w:szCs w:val="32"/>
          <w:lang w:val="en-US" w:eastAsia="zh-CN"/>
        </w:rPr>
        <w:t xml:space="preserve"> 公共卫生（款） 重大公共卫生服务（项）</w:t>
      </w:r>
      <w:r>
        <w:rPr>
          <w:rFonts w:hint="eastAsia" w:ascii="宋体" w:hAnsi="宋体" w:eastAsia="宋体" w:cs="宋体"/>
          <w:color w:val="auto"/>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9.67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87.91</w:t>
      </w:r>
      <w:r>
        <w:rPr>
          <w:rFonts w:hint="eastAsia"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960" w:firstLineChars="300"/>
        <w:rPr>
          <w:rFonts w:hint="eastAsia" w:ascii="宋体" w:hAnsi="宋体" w:eastAsia="宋体" w:cs="宋体"/>
          <w:color w:val="auto"/>
          <w:sz w:val="32"/>
          <w:szCs w:val="32"/>
          <w:lang w:eastAsia="zh-CN"/>
        </w:rPr>
      </w:pPr>
      <w:r>
        <w:rPr>
          <w:rFonts w:hint="eastAsia" w:ascii="宋体" w:hAnsi="宋体" w:eastAsia="宋体" w:cs="宋体"/>
          <w:sz w:val="32"/>
          <w:szCs w:val="32"/>
          <w:lang w:val="en-US" w:eastAsia="zh-CN"/>
        </w:rPr>
        <w:t>20、</w:t>
      </w:r>
      <w:r>
        <w:rPr>
          <w:rFonts w:hint="eastAsia" w:ascii="宋体" w:hAnsi="宋体" w:eastAsia="宋体" w:cs="宋体"/>
          <w:color w:val="auto"/>
          <w:sz w:val="32"/>
          <w:szCs w:val="32"/>
        </w:rPr>
        <w:t>卫生健康</w:t>
      </w:r>
      <w:r>
        <w:rPr>
          <w:rFonts w:hint="eastAsia" w:ascii="宋体" w:hAnsi="宋体" w:eastAsia="宋体" w:cs="宋体"/>
          <w:color w:val="auto"/>
          <w:sz w:val="32"/>
          <w:szCs w:val="32"/>
          <w:lang w:eastAsia="zh-CN"/>
        </w:rPr>
        <w:t>支出（类）</w:t>
      </w:r>
      <w:r>
        <w:rPr>
          <w:rFonts w:hint="eastAsia" w:ascii="宋体" w:hAnsi="宋体" w:eastAsia="宋体" w:cs="宋体"/>
          <w:color w:val="auto"/>
          <w:sz w:val="32"/>
          <w:szCs w:val="32"/>
          <w:lang w:val="en-US" w:eastAsia="zh-CN"/>
        </w:rPr>
        <w:t xml:space="preserve"> 计划生育服务（款） 计划生育服务（项）</w:t>
      </w:r>
      <w:r>
        <w:rPr>
          <w:rFonts w:hint="eastAsia" w:ascii="宋体" w:hAnsi="宋体" w:eastAsia="宋体" w:cs="宋体"/>
          <w:color w:val="auto"/>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21.83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99.23</w:t>
      </w:r>
      <w:r>
        <w:rPr>
          <w:rFonts w:hint="eastAsia"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960" w:firstLineChars="300"/>
        <w:rPr>
          <w:rFonts w:hint="eastAsia" w:ascii="宋体" w:hAnsi="宋体" w:eastAsia="宋体" w:cs="宋体"/>
          <w:color w:val="auto"/>
          <w:sz w:val="32"/>
          <w:szCs w:val="32"/>
          <w:lang w:eastAsia="zh-CN"/>
        </w:rPr>
      </w:pPr>
      <w:r>
        <w:rPr>
          <w:rFonts w:hint="eastAsia" w:ascii="宋体" w:hAnsi="宋体" w:eastAsia="宋体" w:cs="宋体"/>
          <w:sz w:val="32"/>
          <w:szCs w:val="32"/>
          <w:lang w:val="en-US" w:eastAsia="zh-CN"/>
        </w:rPr>
        <w:t>21、</w:t>
      </w:r>
      <w:r>
        <w:rPr>
          <w:rFonts w:hint="eastAsia" w:ascii="宋体" w:hAnsi="宋体" w:eastAsia="宋体" w:cs="宋体"/>
          <w:color w:val="auto"/>
          <w:sz w:val="32"/>
          <w:szCs w:val="32"/>
        </w:rPr>
        <w:t>卫生健康</w:t>
      </w:r>
      <w:r>
        <w:rPr>
          <w:rFonts w:hint="eastAsia" w:ascii="宋体" w:hAnsi="宋体" w:eastAsia="宋体" w:cs="宋体"/>
          <w:color w:val="auto"/>
          <w:sz w:val="32"/>
          <w:szCs w:val="32"/>
          <w:lang w:eastAsia="zh-CN"/>
        </w:rPr>
        <w:t>支出（类）</w:t>
      </w:r>
      <w:r>
        <w:rPr>
          <w:rFonts w:hint="eastAsia" w:ascii="宋体" w:hAnsi="宋体" w:eastAsia="宋体" w:cs="宋体"/>
          <w:color w:val="auto"/>
          <w:sz w:val="32"/>
          <w:szCs w:val="32"/>
          <w:lang w:val="en-US" w:eastAsia="zh-CN"/>
        </w:rPr>
        <w:t xml:space="preserve"> 计划生育服务（款）其他计划生育事务支出（项）</w:t>
      </w:r>
      <w:r>
        <w:rPr>
          <w:rFonts w:hint="eastAsia" w:ascii="宋体" w:hAnsi="宋体" w:eastAsia="宋体" w:cs="宋体"/>
          <w:color w:val="auto"/>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34.67</w:t>
      </w:r>
      <w:r>
        <w:rPr>
          <w:rFonts w:hint="eastAsia"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22、节能环保支出（类）自然生态保护（款）农村环境保护（项）。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32.68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86</w:t>
      </w:r>
      <w:r>
        <w:rPr>
          <w:rFonts w:hint="eastAsia" w:ascii="宋体" w:hAnsi="宋体" w:eastAsia="宋体" w:cs="宋体"/>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960" w:firstLineChars="30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23、</w:t>
      </w:r>
      <w:r>
        <w:rPr>
          <w:rFonts w:hint="eastAsia" w:ascii="宋体" w:hAnsi="宋体" w:eastAsia="宋体" w:cs="宋体"/>
          <w:color w:val="auto"/>
          <w:sz w:val="32"/>
          <w:szCs w:val="32"/>
          <w:lang w:eastAsia="zh-CN"/>
        </w:rPr>
        <w:t>城乡社区支出（类）</w:t>
      </w:r>
      <w:r>
        <w:rPr>
          <w:rFonts w:hint="eastAsia" w:ascii="宋体" w:hAnsi="宋体" w:eastAsia="宋体" w:cs="宋体"/>
          <w:color w:val="auto"/>
          <w:sz w:val="32"/>
          <w:szCs w:val="32"/>
          <w:lang w:val="en-US" w:eastAsia="zh-CN"/>
        </w:rPr>
        <w:t xml:space="preserve"> 城乡社区管理事务（款）城管执法（项）</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13</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10.46</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80.46</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24</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城乡社区支出（类）</w:t>
      </w:r>
      <w:r>
        <w:rPr>
          <w:rFonts w:hint="eastAsia" w:ascii="宋体" w:hAnsi="宋体" w:eastAsia="宋体" w:cs="宋体"/>
          <w:color w:val="auto"/>
          <w:sz w:val="32"/>
          <w:szCs w:val="32"/>
          <w:lang w:val="en-US" w:eastAsia="zh-CN"/>
        </w:rPr>
        <w:t xml:space="preserve"> 城乡社区环境卫生（款）城乡社区环境卫生（项）</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10</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9.86</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98.65</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25、</w:t>
      </w:r>
      <w:r>
        <w:rPr>
          <w:rFonts w:hint="eastAsia" w:ascii="宋体" w:hAnsi="宋体" w:eastAsia="宋体" w:cs="宋体"/>
          <w:color w:val="auto"/>
          <w:sz w:val="32"/>
          <w:szCs w:val="32"/>
          <w:lang w:eastAsia="zh-CN"/>
        </w:rPr>
        <w:t>城乡社区支出（类）</w:t>
      </w:r>
      <w:r>
        <w:rPr>
          <w:rFonts w:hint="eastAsia" w:ascii="宋体" w:hAnsi="宋体" w:eastAsia="宋体" w:cs="宋体"/>
          <w:color w:val="auto"/>
          <w:sz w:val="32"/>
          <w:szCs w:val="32"/>
          <w:lang w:val="en-US" w:eastAsia="zh-CN"/>
        </w:rPr>
        <w:t xml:space="preserve"> 其他城乡社区支出（款）其他城乡社区支出（项）</w:t>
      </w:r>
      <w:r>
        <w:rPr>
          <w:rFonts w:hint="eastAsia" w:ascii="宋体" w:hAnsi="宋体" w:eastAsia="宋体" w:cs="宋体"/>
          <w:color w:val="auto"/>
          <w:sz w:val="32"/>
          <w:szCs w:val="32"/>
        </w:rPr>
        <w:t>。</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9</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8</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88.89</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26</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农业农村（款） 农村生产发展（项）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5</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60</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27、</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农业农村（款） 其他农业农村支出（项）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24</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20</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83.33</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28、</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水利（款） 防汛（项）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12</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10.4</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86.67</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29、</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水利（款） 农村水利（项）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6</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5</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83.33</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30、</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农业综合改革（款）对村一事一议的补助（项）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86</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74</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86.05</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31</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农业综合改革（款） 对村民委员会和村党支部的补助（项）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390</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349.07</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89.51</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32、</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农业综合改革（款） 其他农村综合改革支出（项）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1.61</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80.5</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ind w:firstLine="800" w:firstLineChars="250"/>
        <w:rPr>
          <w:rFonts w:hint="eastAsia" w:ascii="宋体" w:hAnsi="宋体" w:eastAsia="宋体" w:cs="宋体"/>
          <w:color w:val="auto"/>
          <w:sz w:val="32"/>
          <w:szCs w:val="32"/>
        </w:rPr>
      </w:pPr>
      <w:r>
        <w:rPr>
          <w:rFonts w:hint="eastAsia" w:ascii="宋体" w:hAnsi="宋体" w:eastAsia="宋体" w:cs="宋体"/>
          <w:sz w:val="32"/>
          <w:szCs w:val="32"/>
          <w:lang w:val="en-US" w:eastAsia="zh-CN"/>
        </w:rPr>
        <w:t>33、</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其他农林水支出（款） 其他农林水支出（项） </w:t>
      </w:r>
      <w:r>
        <w:rPr>
          <w:rFonts w:hint="eastAsia" w:ascii="宋体" w:hAnsi="宋体" w:eastAsia="宋体" w:cs="宋体"/>
          <w:color w:val="auto"/>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32</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29.01</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90.66</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numPr>
          <w:ilvl w:val="0"/>
          <w:numId w:val="0"/>
        </w:numPr>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34、灾害防治及应急管理支出（类）自然灾害救灾及恢复重建支出（款）其他自然灾害救灾及恢复重建支出（项）。</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60</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50</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83.33</w:t>
      </w:r>
      <w:r>
        <w:rPr>
          <w:rFonts w:hint="eastAsia" w:ascii="宋体" w:hAnsi="宋体" w:eastAsia="宋体" w:cs="宋体"/>
          <w:color w:val="auto"/>
          <w:sz w:val="32"/>
          <w:szCs w:val="32"/>
        </w:rPr>
        <w:t>%</w:t>
      </w:r>
      <w:r>
        <w:rPr>
          <w:rFonts w:hint="eastAsia" w:ascii="宋体" w:hAnsi="宋体" w:eastAsia="宋体" w:cs="宋体"/>
          <w:sz w:val="32"/>
          <w:szCs w:val="32"/>
          <w:lang w:eastAsia="zh-CN"/>
        </w:rPr>
        <w:t>，决算数小于年初预算数的主要原因是：进一步压缩一般性预算支出，取得明显成效。</w:t>
      </w:r>
    </w:p>
    <w:p>
      <w:pPr>
        <w:pStyle w:val="12"/>
        <w:rPr>
          <w:rFonts w:hAnsi="黑体" w:cs="Times New Roman"/>
          <w:b/>
          <w:bCs/>
          <w:sz w:val="32"/>
          <w:szCs w:val="32"/>
        </w:rPr>
      </w:pPr>
      <w:r>
        <w:rPr>
          <w:rFonts w:hint="eastAsia" w:hAnsi="黑体"/>
          <w:b/>
          <w:bCs/>
          <w:sz w:val="32"/>
          <w:szCs w:val="32"/>
        </w:rPr>
        <w:t>六、一般公共预算财政拨款基本支出决算情况说明</w:t>
      </w:r>
    </w:p>
    <w:p>
      <w:pPr>
        <w:pStyle w:val="1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1474.27</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1255.07</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85.13</w:t>
      </w:r>
      <w:r>
        <w:rPr>
          <w:rFonts w:ascii="宋体" w:hAnsi="宋体" w:eastAsia="宋体" w:cs="宋体"/>
          <w:sz w:val="32"/>
          <w:szCs w:val="32"/>
        </w:rPr>
        <w:t>%,</w:t>
      </w:r>
      <w:r>
        <w:rPr>
          <w:rFonts w:hint="eastAsia" w:ascii="宋体" w:hAnsi="宋体" w:eastAsia="宋体" w:cs="宋体"/>
          <w:sz w:val="32"/>
          <w:szCs w:val="32"/>
        </w:rPr>
        <w:t>主要包括基本工资、津贴补贴、伙食补助费</w:t>
      </w:r>
      <w:r>
        <w:rPr>
          <w:rFonts w:hint="eastAsia" w:ascii="宋体" w:hAnsi="宋体" w:eastAsia="宋体" w:cs="宋体"/>
          <w:sz w:val="32"/>
          <w:szCs w:val="32"/>
          <w:lang w:eastAsia="zh-CN"/>
        </w:rPr>
        <w:t>、绩效工资、</w:t>
      </w:r>
      <w:r>
        <w:rPr>
          <w:rFonts w:hint="eastAsia" w:ascii="宋体" w:hAnsi="宋体" w:eastAsia="宋体" w:cs="宋体"/>
          <w:sz w:val="32"/>
          <w:szCs w:val="32"/>
          <w:lang w:val="en-US" w:eastAsia="zh-CN"/>
        </w:rPr>
        <w:t>机关事业单位基本养老保险缴费、职业年金缴费、职工基本医疗保险缴费、公务员医疗补助缴费、住房公积金</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对个人和家庭的补助等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219.20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14.87</w:t>
      </w:r>
      <w:r>
        <w:rPr>
          <w:rFonts w:ascii="宋体" w:hAnsi="宋体" w:eastAsia="宋体" w:cs="宋体"/>
          <w:sz w:val="32"/>
          <w:szCs w:val="32"/>
        </w:rPr>
        <w:t>%</w:t>
      </w:r>
      <w:r>
        <w:rPr>
          <w:rFonts w:hint="eastAsia" w:ascii="宋体" w:hAnsi="宋体" w:eastAsia="宋体" w:cs="宋体"/>
          <w:sz w:val="32"/>
          <w:szCs w:val="32"/>
        </w:rPr>
        <w:t>，主要包括</w:t>
      </w:r>
      <w:r>
        <w:rPr>
          <w:rFonts w:hint="eastAsia" w:ascii="宋体" w:hAnsi="宋体" w:eastAsia="宋体" w:cs="宋体"/>
          <w:sz w:val="32"/>
          <w:szCs w:val="32"/>
          <w:lang w:val="en-US" w:eastAsia="zh-CN"/>
        </w:rPr>
        <w:t>水</w:t>
      </w:r>
      <w:r>
        <w:rPr>
          <w:rFonts w:hint="eastAsia" w:ascii="宋体" w:hAnsi="宋体" w:eastAsia="宋体" w:cs="宋体"/>
          <w:sz w:val="32"/>
          <w:szCs w:val="32"/>
        </w:rPr>
        <w:t>费</w:t>
      </w:r>
      <w:r>
        <w:rPr>
          <w:rFonts w:hint="eastAsia" w:ascii="宋体" w:hAnsi="宋体" w:eastAsia="宋体" w:cs="宋体"/>
          <w:sz w:val="32"/>
          <w:szCs w:val="32"/>
          <w:lang w:eastAsia="zh-CN"/>
        </w:rPr>
        <w:t>、电费、物业管理费、</w:t>
      </w:r>
      <w:r>
        <w:rPr>
          <w:rFonts w:hint="eastAsia" w:ascii="宋体" w:hAnsi="宋体" w:eastAsia="宋体" w:cs="宋体"/>
          <w:sz w:val="32"/>
          <w:szCs w:val="32"/>
          <w:lang w:val="en-US" w:eastAsia="zh-CN"/>
        </w:rPr>
        <w:t>租赁费、会议费、培训费、公务接待费、工会经费、其他交通费用、办公设备购置、专用设备购置</w:t>
      </w:r>
      <w:r>
        <w:rPr>
          <w:rFonts w:hint="eastAsia" w:ascii="宋体" w:hAnsi="宋体" w:eastAsia="宋体" w:cs="宋体"/>
          <w:sz w:val="32"/>
          <w:szCs w:val="32"/>
          <w:lang w:eastAsia="zh-CN"/>
        </w:rPr>
        <w:t>等</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七、一般公共预算财政拨款三公经费支出决算情况说明</w:t>
      </w:r>
    </w:p>
    <w:p>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12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2.91</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24.25</w:t>
      </w:r>
      <w:r>
        <w:rPr>
          <w:rFonts w:ascii="宋体" w:hAnsi="宋体" w:eastAsia="宋体" w:cs="宋体"/>
          <w:sz w:val="32"/>
          <w:szCs w:val="32"/>
        </w:rPr>
        <w:t>%</w:t>
      </w:r>
      <w:r>
        <w:rPr>
          <w:rFonts w:hint="eastAsia" w:ascii="宋体" w:hAnsi="宋体" w:eastAsia="宋体" w:cs="宋体"/>
          <w:sz w:val="32"/>
          <w:szCs w:val="32"/>
        </w:rPr>
        <w:t>，其中：</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2"/>
        <w:ind w:firstLine="800" w:firstLineChars="250"/>
        <w:rPr>
          <w:rFonts w:ascii="宋体" w:hAnsi="宋体" w:eastAsia="宋体" w:cs="Times New Roman"/>
          <w:sz w:val="32"/>
          <w:szCs w:val="32"/>
        </w:rPr>
      </w:pPr>
      <w:r>
        <w:rPr>
          <w:rFonts w:hint="eastAsia" w:ascii="宋体" w:hAnsi="宋体" w:eastAsia="宋体" w:cs="Times New Roman"/>
          <w:sz w:val="32"/>
          <w:szCs w:val="32"/>
        </w:rPr>
        <w:t>公务接待费支出预算为</w:t>
      </w:r>
      <w:r>
        <w:rPr>
          <w:rFonts w:hint="eastAsia" w:ascii="宋体" w:hAnsi="宋体" w:eastAsia="宋体" w:cs="Times New Roman"/>
          <w:sz w:val="32"/>
          <w:szCs w:val="32"/>
          <w:lang w:val="en-US" w:eastAsia="zh-CN"/>
        </w:rPr>
        <w:t>12</w:t>
      </w:r>
      <w:r>
        <w:rPr>
          <w:rFonts w:hint="eastAsia" w:ascii="宋体" w:hAnsi="宋体" w:eastAsia="宋体" w:cs="Times New Roman"/>
          <w:sz w:val="32"/>
          <w:szCs w:val="32"/>
        </w:rPr>
        <w:t>万元，支出决算为</w:t>
      </w:r>
      <w:r>
        <w:rPr>
          <w:rFonts w:hint="eastAsia" w:ascii="宋体" w:hAnsi="宋体" w:eastAsia="宋体" w:cs="Times New Roman"/>
          <w:sz w:val="32"/>
          <w:szCs w:val="32"/>
          <w:lang w:val="en-US" w:eastAsia="zh-CN"/>
        </w:rPr>
        <w:t>2.91</w:t>
      </w:r>
      <w:r>
        <w:rPr>
          <w:rFonts w:hint="eastAsia" w:ascii="宋体" w:hAnsi="宋体" w:eastAsia="宋体" w:cs="Times New Roman"/>
          <w:sz w:val="32"/>
          <w:szCs w:val="32"/>
        </w:rPr>
        <w:t>万元，完成预算的</w:t>
      </w:r>
      <w:r>
        <w:rPr>
          <w:rFonts w:hint="eastAsia" w:ascii="宋体" w:hAnsi="宋体" w:eastAsia="宋体" w:cs="宋体"/>
          <w:sz w:val="32"/>
          <w:szCs w:val="32"/>
          <w:lang w:val="en-US" w:eastAsia="zh-CN"/>
        </w:rPr>
        <w:t>24.25</w:t>
      </w:r>
      <w:r>
        <w:rPr>
          <w:rFonts w:ascii="宋体" w:hAnsi="宋体" w:eastAsia="宋体" w:cs="宋体"/>
          <w:sz w:val="32"/>
          <w:szCs w:val="32"/>
        </w:rPr>
        <w:t>%</w:t>
      </w:r>
      <w:r>
        <w:rPr>
          <w:rFonts w:hint="eastAsia" w:ascii="宋体" w:hAnsi="宋体" w:eastAsia="宋体" w:cs="Times New Roman"/>
          <w:sz w:val="32"/>
          <w:szCs w:val="32"/>
        </w:rPr>
        <w:t>，决算数小于年初预算数的主要原因是</w:t>
      </w:r>
      <w:r>
        <w:rPr>
          <w:rFonts w:hint="eastAsia" w:ascii="宋体" w:hAnsi="宋体" w:eastAsia="宋体" w:cs="Times New Roman"/>
          <w:sz w:val="32"/>
          <w:szCs w:val="32"/>
          <w:lang w:eastAsia="zh-CN"/>
        </w:rPr>
        <w:t>严格执行上级公务接待的相关要求，控制效果明显</w:t>
      </w:r>
      <w:r>
        <w:rPr>
          <w:rFonts w:hint="eastAsia" w:ascii="宋体" w:hAnsi="宋体" w:eastAsia="宋体" w:cs="Times New Roman"/>
          <w:sz w:val="32"/>
          <w:szCs w:val="32"/>
        </w:rPr>
        <w:t>，</w:t>
      </w:r>
      <w:r>
        <w:rPr>
          <w:rFonts w:hint="eastAsia" w:ascii="宋体" w:hAnsi="宋体" w:eastAsia="宋体" w:cs="Times New Roman"/>
          <w:sz w:val="32"/>
          <w:szCs w:val="32"/>
          <w:lang w:val="en-US" w:eastAsia="zh-CN"/>
        </w:rPr>
        <w:t>严格压缩“三公”消费支出，并严格审批“三公”消费支出的申报，确定执行有效果</w:t>
      </w:r>
      <w:r>
        <w:rPr>
          <w:rFonts w:hint="eastAsia" w:ascii="宋体" w:hAnsi="宋体" w:eastAsia="宋体" w:cs="Times New Roman"/>
          <w:sz w:val="32"/>
          <w:szCs w:val="32"/>
        </w:rPr>
        <w:t>。</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年度“三公”经费财政拨款支出决算中，公务接待费支出决算</w:t>
      </w:r>
      <w:r>
        <w:rPr>
          <w:rFonts w:hint="eastAsia" w:ascii="宋体" w:hAnsi="宋体" w:eastAsia="宋体" w:cs="Times New Roman"/>
          <w:sz w:val="32"/>
          <w:szCs w:val="32"/>
          <w:lang w:val="en-US" w:eastAsia="zh-CN"/>
        </w:rPr>
        <w:t>2.91</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pPr>
        <w:pStyle w:val="12"/>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2"/>
        <w:ind w:firstLine="640" w:firstLineChars="200"/>
        <w:rPr>
          <w:rFonts w:hint="eastAsia" w:ascii="宋体" w:hAnsi="宋体" w:eastAsia="宋体" w:cs="宋体"/>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2.91</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40</w:t>
      </w:r>
      <w:r>
        <w:rPr>
          <w:rFonts w:hint="eastAsia" w:ascii="宋体" w:hAnsi="宋体" w:eastAsia="宋体" w:cs="宋体"/>
          <w:sz w:val="32"/>
          <w:szCs w:val="32"/>
        </w:rPr>
        <w:t>个、来宾</w:t>
      </w:r>
      <w:r>
        <w:rPr>
          <w:rFonts w:hint="eastAsia" w:ascii="宋体" w:hAnsi="宋体" w:eastAsia="宋体" w:cs="宋体"/>
          <w:sz w:val="32"/>
          <w:szCs w:val="32"/>
          <w:lang w:val="en-US" w:eastAsia="zh-CN"/>
        </w:rPr>
        <w:t>485</w:t>
      </w:r>
      <w:r>
        <w:rPr>
          <w:rFonts w:hint="eastAsia" w:ascii="宋体" w:hAnsi="宋体" w:eastAsia="宋体" w:cs="宋体"/>
          <w:sz w:val="32"/>
          <w:szCs w:val="32"/>
        </w:rPr>
        <w:t>人次，主要是</w:t>
      </w:r>
      <w:r>
        <w:rPr>
          <w:rFonts w:hint="eastAsia" w:ascii="宋体" w:hAnsi="宋体" w:eastAsia="宋体" w:cs="宋体"/>
          <w:sz w:val="32"/>
          <w:szCs w:val="32"/>
          <w:lang w:eastAsia="zh-CN"/>
        </w:rPr>
        <w:t>园区招商引资、上级公务接待等</w:t>
      </w:r>
      <w:r>
        <w:rPr>
          <w:rFonts w:hint="eastAsia" w:ascii="宋体" w:hAnsi="宋体" w:eastAsia="宋体" w:cs="宋体"/>
          <w:sz w:val="32"/>
          <w:szCs w:val="32"/>
        </w:rPr>
        <w:t>发生的接待支出</w:t>
      </w:r>
      <w:r>
        <w:rPr>
          <w:rFonts w:hint="eastAsia" w:ascii="宋体" w:hAnsi="宋体" w:eastAsia="宋体" w:cs="宋体"/>
          <w:sz w:val="32"/>
          <w:szCs w:val="32"/>
          <w:lang w:eastAsia="zh-CN"/>
        </w:rPr>
        <w:t>。</w:t>
      </w:r>
    </w:p>
    <w:p>
      <w:pPr>
        <w:pStyle w:val="12"/>
        <w:ind w:firstLine="640" w:firstLineChars="200"/>
        <w:rPr>
          <w:rFonts w:hint="eastAsia" w:ascii="宋体" w:hAnsi="宋体" w:eastAsia="宋体" w:cs="宋体"/>
          <w:sz w:val="32"/>
          <w:szCs w:val="32"/>
          <w:lang w:val="en-US" w:eastAsia="zh-CN"/>
        </w:rPr>
      </w:pPr>
      <w:r>
        <w:rPr>
          <w:rFonts w:ascii="宋体" w:hAnsi="宋体" w:eastAsia="宋体" w:cs="宋体"/>
          <w:sz w:val="32"/>
          <w:szCs w:val="32"/>
        </w:rPr>
        <w:t>3</w:t>
      </w:r>
      <w:r>
        <w:rPr>
          <w:rFonts w:hint="eastAsia" w:ascii="宋体" w:hAnsi="宋体" w:eastAsia="宋体" w:cs="宋体"/>
          <w:sz w:val="32"/>
          <w:szCs w:val="32"/>
        </w:rPr>
        <w:t>、公务用车购置费及运行维护费支出决算为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r>
        <w:rPr>
          <w:rFonts w:hint="eastAsia" w:ascii="宋体" w:hAnsi="宋体" w:eastAsia="宋体" w:cs="宋体"/>
          <w:sz w:val="32"/>
          <w:szCs w:val="32"/>
          <w:lang w:val="en-US" w:eastAsia="zh-CN"/>
        </w:rPr>
        <w:t>公务用车购置费0万元，更新公务用车0 辆，公务用车运行维护费0万元。截止2021年12月31日，我单位开支财政拨款的公务用车保有量为0辆。</w:t>
      </w:r>
    </w:p>
    <w:p>
      <w:pPr>
        <w:pStyle w:val="12"/>
        <w:rPr>
          <w:rFonts w:hint="eastAsia" w:hAnsi="黑体"/>
          <w:b/>
          <w:bCs/>
          <w:sz w:val="32"/>
          <w:szCs w:val="32"/>
        </w:rPr>
      </w:pPr>
      <w:r>
        <w:rPr>
          <w:rFonts w:hint="eastAsia" w:hAnsi="黑体"/>
          <w:b/>
          <w:bCs/>
          <w:sz w:val="32"/>
          <w:szCs w:val="32"/>
        </w:rPr>
        <w:t>八、政府性基金预算收入支出决算情况</w:t>
      </w:r>
    </w:p>
    <w:p>
      <w:pPr>
        <w:pStyle w:val="12"/>
        <w:ind w:firstLine="640" w:firstLineChars="200"/>
        <w:rPr>
          <w:rFonts w:hint="eastAsia" w:ascii="仿宋" w:hAnsi="仿宋" w:eastAsia="仿宋" w:cs="仿宋"/>
          <w:kern w:val="0"/>
          <w:sz w:val="32"/>
          <w:szCs w:val="32"/>
          <w:lang w:val="en-US" w:eastAsia="zh-CN" w:bidi="ar-SA"/>
        </w:rPr>
      </w:pPr>
      <w:r>
        <w:rPr>
          <w:rFonts w:hint="eastAsia" w:ascii="宋体" w:hAnsi="宋体" w:eastAsia="宋体" w:cs="宋体"/>
          <w:color w:val="000000"/>
          <w:kern w:val="0"/>
          <w:sz w:val="32"/>
          <w:szCs w:val="32"/>
          <w:lang w:val="en-US" w:eastAsia="zh-CN" w:bidi="ar-SA"/>
        </w:rPr>
        <w:t>本年度无政府性基金收支。</w:t>
      </w:r>
    </w:p>
    <w:p>
      <w:pPr>
        <w:pStyle w:val="12"/>
        <w:rPr>
          <w:rFonts w:hAnsi="黑体" w:cs="Times New Roman"/>
          <w:b/>
          <w:bCs/>
          <w:sz w:val="32"/>
          <w:szCs w:val="32"/>
        </w:rPr>
      </w:pPr>
      <w:r>
        <w:rPr>
          <w:rFonts w:hint="eastAsia" w:hAnsi="黑体"/>
          <w:b/>
          <w:bCs/>
          <w:sz w:val="32"/>
          <w:szCs w:val="32"/>
        </w:rPr>
        <w:t>九、关于机关运行经费支出说明</w:t>
      </w:r>
    </w:p>
    <w:p>
      <w:pPr>
        <w:pStyle w:val="12"/>
        <w:ind w:firstLine="640" w:firstLineChars="200"/>
        <w:rPr>
          <w:rFonts w:hint="eastAsia" w:ascii="宋体" w:hAnsi="宋体" w:eastAsia="宋体" w:cs="宋体"/>
          <w:sz w:val="32"/>
          <w:szCs w:val="32"/>
        </w:rPr>
      </w:pPr>
      <w:r>
        <w:rPr>
          <w:rFonts w:hint="eastAsia" w:ascii="宋体" w:hAnsi="宋体" w:eastAsia="宋体" w:cs="宋体"/>
          <w:sz w:val="32"/>
          <w:szCs w:val="32"/>
        </w:rPr>
        <w:t>本部门202</w:t>
      </w:r>
      <w:r>
        <w:rPr>
          <w:rFonts w:hint="eastAsia" w:ascii="宋体" w:hAnsi="宋体" w:eastAsia="宋体" w:cs="宋体"/>
          <w:sz w:val="32"/>
          <w:szCs w:val="32"/>
          <w:lang w:val="en-US" w:eastAsia="zh-CN"/>
        </w:rPr>
        <w:t>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219.21</w:t>
      </w:r>
      <w:r>
        <w:rPr>
          <w:rFonts w:hint="eastAsia" w:ascii="宋体" w:hAnsi="宋体" w:eastAsia="宋体" w:cs="宋体"/>
          <w:sz w:val="32"/>
          <w:szCs w:val="32"/>
        </w:rPr>
        <w:t>万元</w:t>
      </w:r>
      <w:r>
        <w:rPr>
          <w:rFonts w:hint="eastAsia" w:ascii="宋体" w:hAnsi="宋体" w:eastAsia="宋体" w:cs="宋体"/>
          <w:sz w:val="32"/>
          <w:szCs w:val="32"/>
          <w:lang w:val="en-US" w:eastAsia="zh-CN"/>
        </w:rPr>
        <w:t>,</w:t>
      </w:r>
      <w:r>
        <w:rPr>
          <w:rFonts w:hint="eastAsia" w:ascii="宋体" w:hAnsi="宋体" w:eastAsia="宋体" w:cs="宋体"/>
          <w:sz w:val="32"/>
          <w:szCs w:val="32"/>
        </w:rPr>
        <w:t>比</w:t>
      </w:r>
      <w:r>
        <w:rPr>
          <w:rFonts w:hint="eastAsia" w:ascii="宋体" w:hAnsi="宋体" w:eastAsia="宋体" w:cs="宋体"/>
          <w:sz w:val="32"/>
          <w:szCs w:val="32"/>
          <w:lang w:eastAsia="zh-CN"/>
        </w:rPr>
        <w:t>年初预算数</w:t>
      </w:r>
      <w:r>
        <w:rPr>
          <w:rFonts w:hint="eastAsia" w:ascii="宋体" w:hAnsi="宋体" w:eastAsia="宋体" w:cs="宋体"/>
          <w:sz w:val="32"/>
          <w:szCs w:val="32"/>
        </w:rPr>
        <w:t>减少</w:t>
      </w:r>
      <w:r>
        <w:rPr>
          <w:rFonts w:hint="eastAsia" w:ascii="宋体" w:hAnsi="宋体" w:eastAsia="宋体" w:cs="宋体"/>
          <w:sz w:val="32"/>
          <w:szCs w:val="32"/>
          <w:lang w:val="en-US" w:eastAsia="zh-CN"/>
        </w:rPr>
        <w:t>378.79</w:t>
      </w:r>
      <w:r>
        <w:rPr>
          <w:rFonts w:hint="eastAsia" w:ascii="宋体" w:hAnsi="宋体" w:eastAsia="宋体" w:cs="宋体"/>
          <w:sz w:val="32"/>
          <w:szCs w:val="32"/>
        </w:rPr>
        <w:t>万元，降低</w:t>
      </w:r>
      <w:r>
        <w:rPr>
          <w:rFonts w:hint="eastAsia" w:ascii="宋体" w:hAnsi="宋体" w:eastAsia="宋体" w:cs="宋体"/>
          <w:sz w:val="32"/>
          <w:szCs w:val="32"/>
          <w:lang w:val="en-US" w:eastAsia="zh-CN"/>
        </w:rPr>
        <w:t>63.13</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严格控制各项非生产性开支。</w:t>
      </w:r>
    </w:p>
    <w:p>
      <w:pPr>
        <w:pStyle w:val="12"/>
        <w:rPr>
          <w:rFonts w:hAnsi="黑体" w:cs="Times New Roman"/>
          <w:b/>
          <w:bCs/>
          <w:sz w:val="32"/>
          <w:szCs w:val="32"/>
        </w:rPr>
      </w:pPr>
      <w:r>
        <w:rPr>
          <w:rFonts w:hint="eastAsia" w:hAnsi="黑体"/>
          <w:b/>
          <w:bCs/>
          <w:sz w:val="32"/>
          <w:szCs w:val="32"/>
        </w:rPr>
        <w:t>十、一般性支出情况</w:t>
      </w:r>
    </w:p>
    <w:p>
      <w:pPr>
        <w:pStyle w:val="12"/>
        <w:ind w:firstLine="800" w:firstLineChars="250"/>
        <w:rPr>
          <w:rFonts w:hint="eastAsia" w:ascii="宋体" w:hAnsi="宋体" w:eastAsia="宋体" w:cs="宋体"/>
          <w:color w:val="auto"/>
          <w:sz w:val="32"/>
          <w:szCs w:val="32"/>
          <w:lang w:eastAsia="zh-CN"/>
        </w:rPr>
      </w:pPr>
      <w:r>
        <w:rPr>
          <w:rFonts w:hint="eastAsia" w:ascii="宋体" w:hAnsi="宋体" w:eastAsia="宋体" w:cs="宋体"/>
          <w:sz w:val="32"/>
          <w:szCs w:val="32"/>
        </w:rPr>
        <w:t>20</w:t>
      </w:r>
      <w:r>
        <w:rPr>
          <w:rFonts w:hint="eastAsia" w:ascii="宋体" w:hAnsi="宋体" w:eastAsia="宋体" w:cs="宋体"/>
          <w:sz w:val="32"/>
          <w:szCs w:val="32"/>
          <w:lang w:val="en-US" w:eastAsia="zh-CN"/>
        </w:rPr>
        <w:t>21</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9.39</w:t>
      </w:r>
      <w:r>
        <w:rPr>
          <w:rFonts w:hint="eastAsia" w:ascii="宋体" w:hAnsi="宋体" w:eastAsia="宋体" w:cs="宋体"/>
          <w:sz w:val="32"/>
          <w:szCs w:val="32"/>
        </w:rPr>
        <w:t>万元，用于召开</w:t>
      </w:r>
      <w:r>
        <w:rPr>
          <w:rFonts w:hint="eastAsia" w:ascii="宋体" w:hAnsi="宋体" w:eastAsia="宋体" w:cs="宋体"/>
          <w:sz w:val="32"/>
          <w:szCs w:val="32"/>
          <w:lang w:eastAsia="zh-CN"/>
        </w:rPr>
        <w:t>镇村干部</w:t>
      </w:r>
      <w:r>
        <w:rPr>
          <w:rFonts w:hint="eastAsia" w:ascii="宋体" w:hAnsi="宋体" w:eastAsia="宋体" w:cs="宋体"/>
          <w:sz w:val="32"/>
          <w:szCs w:val="32"/>
        </w:rPr>
        <w:t>会议</w:t>
      </w:r>
      <w:r>
        <w:rPr>
          <w:rFonts w:hint="eastAsia" w:ascii="宋体" w:hAnsi="宋体" w:eastAsia="宋体" w:cs="宋体"/>
          <w:sz w:val="32"/>
          <w:szCs w:val="32"/>
          <w:lang w:eastAsia="zh-CN"/>
        </w:rPr>
        <w:t>、人大会、工作部署会议等，人数</w:t>
      </w:r>
      <w:r>
        <w:rPr>
          <w:rFonts w:hint="eastAsia" w:ascii="宋体" w:hAnsi="宋体" w:eastAsia="宋体" w:cs="宋体"/>
          <w:sz w:val="32"/>
          <w:szCs w:val="32"/>
          <w:lang w:val="en-US" w:eastAsia="zh-CN"/>
        </w:rPr>
        <w:t>3165余人，内容为扫黑除恶专项斗争、禁毒工作安排部署会、环境整治工作、厕所革命工作、森林防火工作部署会、新冠疫苗接种工作安排部署会等</w:t>
      </w:r>
      <w:r>
        <w:rPr>
          <w:rFonts w:hint="eastAsia" w:ascii="宋体" w:hAnsi="宋体" w:eastAsia="宋体" w:cs="宋体"/>
          <w:sz w:val="32"/>
          <w:szCs w:val="32"/>
          <w:lang w:eastAsia="zh-CN"/>
        </w:rPr>
        <w:t>。</w:t>
      </w:r>
      <w:r>
        <w:rPr>
          <w:rFonts w:hint="eastAsia" w:ascii="宋体" w:hAnsi="宋体" w:eastAsia="宋体" w:cs="宋体"/>
          <w:sz w:val="32"/>
          <w:szCs w:val="32"/>
        </w:rPr>
        <w:t>会议费</w:t>
      </w:r>
      <w:r>
        <w:rPr>
          <w:rFonts w:hint="eastAsia" w:ascii="宋体" w:hAnsi="宋体" w:eastAsia="宋体" w:cs="宋体"/>
          <w:color w:val="auto"/>
          <w:sz w:val="32"/>
          <w:szCs w:val="32"/>
        </w:rPr>
        <w:t>年初预算为</w:t>
      </w:r>
      <w:r>
        <w:rPr>
          <w:rFonts w:hint="eastAsia" w:ascii="宋体" w:hAnsi="宋体" w:eastAsia="宋体" w:cs="宋体"/>
          <w:sz w:val="32"/>
          <w:szCs w:val="32"/>
          <w:lang w:val="en-US" w:eastAsia="zh-CN"/>
        </w:rPr>
        <w:t>9.39</w:t>
      </w:r>
      <w:r>
        <w:rPr>
          <w:rFonts w:hint="eastAsia" w:ascii="宋体" w:hAnsi="宋体" w:eastAsia="宋体" w:cs="宋体"/>
          <w:color w:val="auto"/>
          <w:sz w:val="32"/>
          <w:szCs w:val="32"/>
        </w:rPr>
        <w:t>万元，支出决算为</w:t>
      </w:r>
      <w:r>
        <w:rPr>
          <w:rFonts w:hint="eastAsia" w:ascii="宋体" w:hAnsi="宋体" w:eastAsia="宋体" w:cs="宋体"/>
          <w:sz w:val="32"/>
          <w:szCs w:val="32"/>
          <w:lang w:val="en-US" w:eastAsia="zh-CN"/>
        </w:rPr>
        <w:t>9.39</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r>
        <w:rPr>
          <w:rFonts w:hint="eastAsia" w:ascii="宋体" w:hAnsi="宋体" w:eastAsia="宋体" w:cs="宋体"/>
          <w:sz w:val="32"/>
          <w:szCs w:val="32"/>
          <w:lang w:eastAsia="zh-CN"/>
        </w:rPr>
        <w:t>开支培训费</w:t>
      </w:r>
      <w:r>
        <w:rPr>
          <w:rFonts w:hint="eastAsia" w:ascii="宋体" w:hAnsi="宋体" w:eastAsia="宋体" w:cs="宋体"/>
          <w:sz w:val="32"/>
          <w:szCs w:val="32"/>
          <w:lang w:val="en-US" w:eastAsia="zh-CN"/>
        </w:rPr>
        <w:t>5.01万元，用于镇村干部培训会议等，人员3896余人，内容为基层党建业务培训会、意识形态工作学习培训会、财务培训会等。</w:t>
      </w:r>
      <w:r>
        <w:rPr>
          <w:rFonts w:hint="eastAsia" w:ascii="宋体" w:hAnsi="宋体" w:eastAsia="宋体" w:cs="宋体"/>
          <w:sz w:val="32"/>
          <w:szCs w:val="32"/>
          <w:lang w:eastAsia="zh-CN"/>
        </w:rPr>
        <w:t>培训</w:t>
      </w:r>
      <w:r>
        <w:rPr>
          <w:rFonts w:hint="eastAsia" w:ascii="宋体" w:hAnsi="宋体" w:eastAsia="宋体" w:cs="宋体"/>
          <w:sz w:val="32"/>
          <w:szCs w:val="32"/>
        </w:rPr>
        <w:t>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5.01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5.01</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。本年无</w:t>
      </w:r>
      <w:r>
        <w:rPr>
          <w:rFonts w:hint="eastAsia" w:ascii="宋体" w:hAnsi="宋体" w:eastAsia="宋体" w:cs="宋体"/>
          <w:color w:val="auto"/>
          <w:sz w:val="32"/>
          <w:szCs w:val="32"/>
        </w:rPr>
        <w:t>节庆、晚会、论坛、赛事活动</w:t>
      </w:r>
      <w:r>
        <w:rPr>
          <w:rFonts w:hint="eastAsia" w:ascii="宋体" w:hAnsi="宋体" w:eastAsia="宋体" w:cs="宋体"/>
          <w:color w:val="auto"/>
          <w:sz w:val="32"/>
          <w:szCs w:val="32"/>
          <w:lang w:eastAsia="zh-CN"/>
        </w:rPr>
        <w:t>开支。</w:t>
      </w:r>
    </w:p>
    <w:p>
      <w:pPr>
        <w:pStyle w:val="12"/>
        <w:ind w:firstLine="800" w:firstLineChars="250"/>
        <w:rPr>
          <w:rFonts w:hAnsi="黑体" w:cs="Times New Roman"/>
          <w:b/>
          <w:bCs/>
          <w:sz w:val="32"/>
          <w:szCs w:val="32"/>
        </w:rPr>
      </w:pPr>
      <w:r>
        <w:rPr>
          <w:rFonts w:hint="eastAsia" w:hAnsi="黑体"/>
          <w:b/>
          <w:bCs/>
          <w:sz w:val="32"/>
          <w:szCs w:val="32"/>
        </w:rPr>
        <w:t>十一、关于政府采购支出说明</w:t>
      </w:r>
    </w:p>
    <w:p>
      <w:pPr>
        <w:spacing w:line="600" w:lineRule="exact"/>
        <w:ind w:firstLine="640" w:firstLineChars="200"/>
        <w:rPr>
          <w:rFonts w:eastAsia="仿宋_GB2312"/>
          <w:kern w:val="0"/>
          <w:sz w:val="32"/>
          <w:szCs w:val="32"/>
        </w:rPr>
      </w:pPr>
      <w:r>
        <w:rPr>
          <w:rFonts w:hint="eastAsia" w:ascii="宋体" w:hAnsi="宋体" w:eastAsia="宋体" w:cs="宋体"/>
          <w:color w:val="auto"/>
          <w:sz w:val="32"/>
          <w:szCs w:val="32"/>
        </w:rPr>
        <w:t>本部门202</w:t>
      </w:r>
      <w:r>
        <w:rPr>
          <w:rFonts w:hint="eastAsia" w:ascii="宋体" w:hAnsi="宋体" w:cs="宋体"/>
          <w:color w:val="auto"/>
          <w:sz w:val="32"/>
          <w:szCs w:val="32"/>
          <w:lang w:val="en-US" w:eastAsia="zh-CN"/>
        </w:rPr>
        <w:t>1</w:t>
      </w:r>
      <w:r>
        <w:rPr>
          <w:rFonts w:hint="eastAsia" w:ascii="宋体" w:hAnsi="宋体" w:eastAsia="宋体" w:cs="宋体"/>
          <w:color w:val="auto"/>
          <w:sz w:val="32"/>
          <w:szCs w:val="32"/>
        </w:rPr>
        <w:t>年度政府采购支出总额</w:t>
      </w:r>
      <w:r>
        <w:rPr>
          <w:rFonts w:hint="eastAsia" w:ascii="宋体" w:hAnsi="宋体" w:cs="宋体"/>
          <w:color w:val="auto"/>
          <w:sz w:val="32"/>
          <w:szCs w:val="32"/>
          <w:lang w:val="en-US" w:eastAsia="zh-CN"/>
        </w:rPr>
        <w:t>1886.93</w:t>
      </w:r>
      <w:r>
        <w:rPr>
          <w:rFonts w:hint="eastAsia" w:ascii="宋体" w:hAnsi="宋体" w:eastAsia="宋体" w:cs="宋体"/>
          <w:color w:val="auto"/>
          <w:sz w:val="32"/>
          <w:szCs w:val="32"/>
        </w:rPr>
        <w:t>万元，其中：政府采购货物支出</w:t>
      </w:r>
      <w:r>
        <w:rPr>
          <w:rFonts w:hint="eastAsia" w:ascii="宋体" w:hAnsi="宋体" w:cs="宋体"/>
          <w:color w:val="auto"/>
          <w:sz w:val="32"/>
          <w:szCs w:val="32"/>
          <w:lang w:val="en-US" w:eastAsia="zh-CN"/>
        </w:rPr>
        <w:t>765.82</w:t>
      </w:r>
      <w:r>
        <w:rPr>
          <w:rFonts w:hint="eastAsia" w:ascii="宋体" w:hAnsi="宋体" w:eastAsia="宋体" w:cs="宋体"/>
          <w:color w:val="auto"/>
          <w:sz w:val="32"/>
          <w:szCs w:val="32"/>
        </w:rPr>
        <w:t xml:space="preserve"> 万元、政府采购工程支出</w:t>
      </w:r>
      <w:r>
        <w:rPr>
          <w:rFonts w:hint="eastAsia" w:ascii="宋体" w:hAnsi="宋体" w:cs="宋体"/>
          <w:color w:val="auto"/>
          <w:sz w:val="32"/>
          <w:szCs w:val="32"/>
          <w:lang w:val="en-US" w:eastAsia="zh-CN"/>
        </w:rPr>
        <w:t>101</w:t>
      </w:r>
      <w:r>
        <w:rPr>
          <w:rFonts w:hint="eastAsia" w:ascii="宋体" w:hAnsi="宋体" w:eastAsia="宋体" w:cs="宋体"/>
          <w:color w:val="auto"/>
          <w:sz w:val="32"/>
          <w:szCs w:val="32"/>
        </w:rPr>
        <w:t>万元、政府采购服务支出</w:t>
      </w:r>
      <w:r>
        <w:rPr>
          <w:rFonts w:hint="eastAsia" w:ascii="宋体" w:hAnsi="宋体" w:cs="宋体"/>
          <w:color w:val="auto"/>
          <w:sz w:val="32"/>
          <w:szCs w:val="32"/>
          <w:lang w:val="en-US" w:eastAsia="zh-CN"/>
        </w:rPr>
        <w:t>1020.11</w:t>
      </w:r>
      <w:r>
        <w:rPr>
          <w:rFonts w:hint="eastAsia" w:ascii="宋体" w:hAnsi="宋体" w:eastAsia="宋体" w:cs="宋体"/>
          <w:color w:val="auto"/>
          <w:sz w:val="32"/>
          <w:szCs w:val="32"/>
        </w:rPr>
        <w:t>万元。授予中小企业合同金额</w:t>
      </w:r>
      <w:r>
        <w:rPr>
          <w:rFonts w:hint="eastAsia" w:ascii="宋体" w:hAnsi="宋体" w:cs="宋体"/>
          <w:color w:val="auto"/>
          <w:sz w:val="32"/>
          <w:szCs w:val="32"/>
          <w:lang w:val="en-US" w:eastAsia="zh-CN"/>
        </w:rPr>
        <w:t>101</w:t>
      </w:r>
      <w:r>
        <w:rPr>
          <w:rFonts w:hint="eastAsia" w:ascii="宋体" w:hAnsi="宋体" w:eastAsia="宋体" w:cs="宋体"/>
          <w:color w:val="auto"/>
          <w:sz w:val="32"/>
          <w:szCs w:val="32"/>
        </w:rPr>
        <w:t>万元，占政府采购支出总额的</w:t>
      </w:r>
      <w:r>
        <w:rPr>
          <w:rFonts w:hint="eastAsia" w:ascii="宋体" w:hAnsi="宋体" w:cs="宋体"/>
          <w:color w:val="auto"/>
          <w:sz w:val="32"/>
          <w:szCs w:val="32"/>
          <w:lang w:val="en-US" w:eastAsia="zh-CN"/>
        </w:rPr>
        <w:t>5.35</w:t>
      </w:r>
      <w:r>
        <w:rPr>
          <w:rFonts w:hint="eastAsia" w:ascii="宋体" w:hAnsi="宋体" w:eastAsia="宋体" w:cs="宋体"/>
          <w:color w:val="auto"/>
          <w:sz w:val="32"/>
          <w:szCs w:val="32"/>
        </w:rPr>
        <w:t xml:space="preserve"> %，其中：授予小微企业合同金额</w:t>
      </w:r>
      <w:r>
        <w:rPr>
          <w:rFonts w:hint="eastAsia" w:ascii="宋体" w:hAnsi="宋体" w:cs="宋体"/>
          <w:color w:val="auto"/>
          <w:sz w:val="32"/>
          <w:szCs w:val="32"/>
          <w:lang w:val="en-US" w:eastAsia="zh-CN"/>
        </w:rPr>
        <w:t>1785.93</w:t>
      </w:r>
      <w:r>
        <w:rPr>
          <w:rFonts w:hint="eastAsia" w:ascii="宋体" w:hAnsi="宋体" w:eastAsia="宋体" w:cs="宋体"/>
          <w:color w:val="auto"/>
          <w:sz w:val="32"/>
          <w:szCs w:val="32"/>
        </w:rPr>
        <w:t>万元，占政府采购支出总额的</w:t>
      </w:r>
      <w:r>
        <w:rPr>
          <w:rFonts w:hint="eastAsia" w:ascii="宋体" w:hAnsi="宋体" w:cs="宋体"/>
          <w:color w:val="auto"/>
          <w:sz w:val="32"/>
          <w:szCs w:val="32"/>
          <w:lang w:val="en-US" w:eastAsia="zh-CN"/>
        </w:rPr>
        <w:t>94.65</w:t>
      </w:r>
      <w:r>
        <w:rPr>
          <w:rFonts w:hint="eastAsia" w:ascii="宋体" w:hAnsi="宋体" w:eastAsia="宋体" w:cs="宋体"/>
          <w:color w:val="auto"/>
          <w:sz w:val="32"/>
          <w:szCs w:val="32"/>
        </w:rPr>
        <w:t>%。</w:t>
      </w:r>
    </w:p>
    <w:p>
      <w:pPr>
        <w:pStyle w:val="12"/>
        <w:ind w:firstLine="640" w:firstLineChars="200"/>
        <w:rPr>
          <w:rFonts w:hint="eastAsia" w:ascii="宋体" w:hAnsi="宋体" w:eastAsia="宋体" w:cs="Times New Roman"/>
          <w:color w:val="auto"/>
          <w:sz w:val="32"/>
          <w:szCs w:val="32"/>
          <w:lang w:eastAsia="zh-CN"/>
        </w:rPr>
      </w:pPr>
    </w:p>
    <w:p>
      <w:pPr>
        <w:pStyle w:val="12"/>
        <w:rPr>
          <w:rFonts w:hAnsi="黑体" w:cs="Times New Roman"/>
          <w:b/>
          <w:bCs/>
          <w:sz w:val="32"/>
          <w:szCs w:val="32"/>
        </w:rPr>
      </w:pPr>
      <w:r>
        <w:rPr>
          <w:rFonts w:hint="eastAsia" w:hAnsi="黑体"/>
          <w:b/>
          <w:bCs/>
          <w:sz w:val="32"/>
          <w:szCs w:val="32"/>
        </w:rPr>
        <w:t>十二、关于国有资产占用情况说明</w:t>
      </w:r>
    </w:p>
    <w:p>
      <w:pPr>
        <w:pStyle w:val="12"/>
        <w:ind w:firstLine="640" w:firstLineChars="200"/>
        <w:rPr>
          <w:rFonts w:hint="eastAsia" w:ascii="宋体" w:hAnsi="宋体" w:eastAsia="宋体" w:cs="宋体"/>
          <w:sz w:val="32"/>
          <w:szCs w:val="32"/>
        </w:rPr>
      </w:pPr>
      <w:r>
        <w:rPr>
          <w:rFonts w:hint="eastAsia" w:ascii="宋体" w:hAnsi="宋体" w:eastAsia="宋体" w:cs="宋体"/>
          <w:sz w:val="32"/>
          <w:szCs w:val="32"/>
        </w:rPr>
        <w:t>截至202</w:t>
      </w:r>
      <w:r>
        <w:rPr>
          <w:rFonts w:hint="eastAsia" w:ascii="宋体" w:hAnsi="宋体" w:eastAsia="宋体" w:cs="宋体"/>
          <w:sz w:val="32"/>
          <w:szCs w:val="32"/>
          <w:lang w:val="en-US" w:eastAsia="zh-CN"/>
        </w:rPr>
        <w:t>1</w:t>
      </w:r>
      <w:r>
        <w:rPr>
          <w:rFonts w:hint="eastAsia" w:ascii="宋体" w:hAnsi="宋体" w:eastAsia="宋体" w:cs="宋体"/>
          <w:sz w:val="32"/>
          <w:szCs w:val="32"/>
        </w:rPr>
        <w:t>年12月31日，本单位共有车辆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辆；单位价值50万元以上通用设备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台；单位价值100万元以上专用设备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w:t>
      </w:r>
    </w:p>
    <w:p>
      <w:pPr>
        <w:pStyle w:val="12"/>
        <w:numPr>
          <w:ilvl w:val="0"/>
          <w:numId w:val="2"/>
        </w:numPr>
        <w:ind w:firstLine="0" w:firstLineChars="0"/>
        <w:rPr>
          <w:rFonts w:hint="eastAsia" w:hAnsi="黑体"/>
          <w:b/>
          <w:bCs/>
          <w:sz w:val="32"/>
          <w:szCs w:val="32"/>
        </w:rPr>
      </w:pPr>
      <w:r>
        <w:rPr>
          <w:rFonts w:hint="eastAsia" w:hAnsi="黑体"/>
          <w:b/>
          <w:bCs/>
          <w:sz w:val="32"/>
          <w:szCs w:val="32"/>
          <w:lang w:eastAsia="zh-CN"/>
        </w:rPr>
        <w:t>国有资本经营预算财政拨款支出决算</w:t>
      </w:r>
      <w:r>
        <w:rPr>
          <w:rFonts w:hint="eastAsia" w:hAnsi="黑体"/>
          <w:b/>
          <w:bCs/>
          <w:sz w:val="32"/>
          <w:szCs w:val="32"/>
        </w:rPr>
        <w:t>情况</w:t>
      </w:r>
    </w:p>
    <w:p>
      <w:pPr>
        <w:pStyle w:val="12"/>
        <w:numPr>
          <w:ilvl w:val="0"/>
          <w:numId w:val="0"/>
        </w:numPr>
        <w:rPr>
          <w:rFonts w:hint="eastAsia" w:hAnsi="黑体" w:eastAsia="宋体"/>
          <w:b/>
          <w:bCs/>
          <w:sz w:val="32"/>
          <w:szCs w:val="32"/>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本</w:t>
      </w:r>
      <w:r>
        <w:rPr>
          <w:rFonts w:hint="eastAsia" w:ascii="宋体" w:hAnsi="宋体" w:eastAsia="宋体" w:cs="宋体"/>
          <w:sz w:val="32"/>
          <w:szCs w:val="32"/>
          <w:lang w:eastAsia="zh-CN"/>
        </w:rPr>
        <w:t>单位无国有资本经营预算支出。</w:t>
      </w:r>
    </w:p>
    <w:p>
      <w:pPr>
        <w:pStyle w:val="12"/>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w:t>
      </w:r>
      <w:r>
        <w:rPr>
          <w:rFonts w:hint="eastAsia" w:hAnsi="黑体"/>
          <w:b/>
          <w:bCs/>
          <w:sz w:val="32"/>
          <w:szCs w:val="32"/>
          <w:lang w:val="en-US" w:eastAsia="zh-CN"/>
        </w:rPr>
        <w:t>1</w:t>
      </w:r>
      <w:bookmarkStart w:id="2" w:name="_GoBack"/>
      <w:bookmarkEnd w:id="2"/>
      <w:r>
        <w:rPr>
          <w:rFonts w:hint="eastAsia" w:hAnsi="黑体"/>
          <w:b/>
          <w:bCs/>
          <w:sz w:val="32"/>
          <w:szCs w:val="32"/>
        </w:rPr>
        <w:t>年度预算绩效情况的说明</w:t>
      </w:r>
    </w:p>
    <w:p>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lang w:eastAsia="zh-CN"/>
        </w:rPr>
        <w:t>本年度无重点绩效评价，</w:t>
      </w:r>
      <w:r>
        <w:rPr>
          <w:rFonts w:hint="eastAsia" w:ascii="宋体" w:hAnsi="宋体" w:eastAsia="宋体" w:cs="宋体"/>
          <w:sz w:val="32"/>
          <w:szCs w:val="32"/>
        </w:rPr>
        <w:t>本部门预算绩效管理开展情况</w:t>
      </w:r>
      <w:r>
        <w:rPr>
          <w:rFonts w:hint="eastAsia" w:ascii="宋体" w:hAnsi="宋体" w:eastAsia="宋体" w:cs="宋体"/>
          <w:sz w:val="32"/>
          <w:szCs w:val="32"/>
          <w:lang w:val="en-US" w:eastAsia="zh-CN"/>
        </w:rPr>
        <w:t>于2022年5月份开始开展，其中</w:t>
      </w:r>
      <w:r>
        <w:rPr>
          <w:rFonts w:hint="eastAsia" w:ascii="宋体" w:hAnsi="宋体" w:eastAsia="宋体" w:cs="宋体"/>
          <w:sz w:val="32"/>
          <w:szCs w:val="32"/>
        </w:rPr>
        <w:t>绩效目标和绩效评价报告等</w:t>
      </w:r>
      <w:r>
        <w:rPr>
          <w:rFonts w:hint="eastAsia" w:ascii="宋体" w:hAnsi="宋体" w:eastAsia="宋体" w:cs="宋体"/>
          <w:sz w:val="32"/>
          <w:szCs w:val="32"/>
          <w:lang w:val="en-US" w:eastAsia="zh-CN"/>
        </w:rPr>
        <w:t>严格按照上级业务部门的要求进行相关业务处理，2021年度部门整体支出绩效评价自评得分87分（详情见附件2021年度部门整体支出绩效评价自评报告）。</w:t>
      </w:r>
    </w:p>
    <w:p>
      <w:pPr>
        <w:spacing w:line="560" w:lineRule="exact"/>
        <w:ind w:firstLine="640" w:firstLineChars="200"/>
        <w:rPr>
          <w:sz w:val="72"/>
          <w:szCs w:val="72"/>
        </w:rPr>
      </w:pPr>
      <w:r>
        <w:rPr>
          <w:rFonts w:hint="eastAsia" w:cs="黑体" w:asciiTheme="minorEastAsia" w:hAnsiTheme="minorEastAsia"/>
          <w:color w:val="000000"/>
          <w:kern w:val="0"/>
          <w:sz w:val="32"/>
          <w:szCs w:val="32"/>
        </w:rPr>
        <w:t>202</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年部门整体支出绩效情况：202</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年部门整体支出</w:t>
      </w:r>
      <w:r>
        <w:rPr>
          <w:rFonts w:hint="eastAsia" w:cs="黑体" w:asciiTheme="minorEastAsia" w:hAnsiTheme="minorEastAsia"/>
          <w:color w:val="000000"/>
          <w:kern w:val="0"/>
          <w:sz w:val="32"/>
          <w:szCs w:val="32"/>
          <w:lang w:val="en-US" w:eastAsia="zh-CN"/>
        </w:rPr>
        <w:t>4758.8</w:t>
      </w:r>
      <w:r>
        <w:rPr>
          <w:rFonts w:hint="eastAsia" w:cs="黑体" w:asciiTheme="minorEastAsia" w:hAnsiTheme="minorEastAsia"/>
          <w:color w:val="000000"/>
          <w:kern w:val="0"/>
          <w:sz w:val="32"/>
          <w:szCs w:val="32"/>
        </w:rPr>
        <w:t>万元，本年度发生基本支出</w:t>
      </w:r>
      <w:r>
        <w:rPr>
          <w:rFonts w:hint="eastAsia" w:cs="黑体" w:asciiTheme="minorEastAsia" w:hAnsiTheme="minorEastAsia"/>
          <w:color w:val="000000"/>
          <w:kern w:val="0"/>
          <w:sz w:val="32"/>
          <w:szCs w:val="32"/>
          <w:lang w:val="en-US" w:eastAsia="zh-CN"/>
        </w:rPr>
        <w:t>2499.4</w:t>
      </w:r>
      <w:r>
        <w:rPr>
          <w:rFonts w:hint="eastAsia" w:cs="黑体" w:asciiTheme="minorEastAsia" w:hAnsiTheme="minorEastAsia"/>
          <w:color w:val="000000"/>
          <w:kern w:val="0"/>
          <w:sz w:val="32"/>
          <w:szCs w:val="32"/>
        </w:rPr>
        <w:t>万元，及时足额支付人员工资、福利、五险一金，人员经费到位；项目支出</w:t>
      </w:r>
      <w:r>
        <w:rPr>
          <w:rFonts w:hint="eastAsia" w:cs="黑体" w:asciiTheme="minorEastAsia" w:hAnsiTheme="minorEastAsia"/>
          <w:color w:val="000000"/>
          <w:kern w:val="0"/>
          <w:sz w:val="32"/>
          <w:szCs w:val="32"/>
          <w:lang w:val="en-US" w:eastAsia="zh-CN"/>
        </w:rPr>
        <w:t>2259.4</w:t>
      </w:r>
      <w:r>
        <w:rPr>
          <w:rFonts w:hint="eastAsia" w:cs="黑体" w:asciiTheme="minorEastAsia" w:hAnsiTheme="minorEastAsia"/>
          <w:color w:val="000000"/>
          <w:kern w:val="0"/>
          <w:sz w:val="32"/>
          <w:szCs w:val="32"/>
        </w:rPr>
        <w:t>万元，确保项目资金专款专用，使工作做得有声有色。适应乡镇工作特点和便民服务需要，进一步理顺县直部门和乡镇权责关系，促进条的管理与块的治理协同融合；整合审批、服务、执法等方面的职能和力量，在机构限额内，调整优化乡镇党政机构和事业单位设置，实行扁平化和网格化管理。加强党的建设、加强公共服务、加强社会管理和公共安全、促进地方经济社会发展上来。同时做到资金管理规范，分配合理，按年初预算执行，三公经费控制在标准范围内。</w:t>
      </w:r>
      <w:r>
        <w:rPr>
          <w:sz w:val="72"/>
          <w:szCs w:val="72"/>
        </w:rPr>
        <w:br w:type="page"/>
      </w:r>
    </w:p>
    <w:p>
      <w:pPr>
        <w:pStyle w:val="12"/>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widowControl/>
        <w:ind w:firstLine="3500" w:firstLineChars="500"/>
        <w:jc w:val="left"/>
        <w:rPr>
          <w:rFonts w:ascii="黑体" w:eastAsia="黑体" w:cs="黑体"/>
          <w:color w:val="000000"/>
          <w:kern w:val="0"/>
          <w:sz w:val="70"/>
          <w:szCs w:val="70"/>
        </w:rPr>
      </w:pPr>
      <w:r>
        <w:rPr>
          <w:rFonts w:hint="eastAsia" w:ascii="黑体" w:eastAsia="黑体" w:cs="黑体"/>
          <w:color w:val="000000"/>
          <w:kern w:val="0"/>
          <w:sz w:val="70"/>
          <w:szCs w:val="70"/>
        </w:rPr>
        <w:t>名词解释</w:t>
      </w:r>
    </w:p>
    <w:p>
      <w:pPr>
        <w:ind w:firstLine="640" w:firstLineChars="200"/>
        <w:jc w:val="left"/>
        <w:rPr>
          <w:rFonts w:cs="黑体" w:asciiTheme="minorEastAsia" w:hAnsiTheme="minorEastAsia"/>
          <w:color w:val="000000"/>
          <w:kern w:val="0"/>
          <w:sz w:val="32"/>
          <w:szCs w:val="32"/>
        </w:rPr>
      </w:pP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1、机关运行经费：是指各部门的公用经费，包括办公费、印刷费、邮电费、差旅费、会议费、福利费、水电费、日常维修费、一般设备购置费、办公用房物理管理费、公务用车运行维护费及其他费用。</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4、项目支出：是指在基本支出之外为完成特定行政任务和事业发展目标所发生的支出。</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tabs>
          <w:tab w:val="left" w:pos="6480"/>
        </w:tabs>
        <w:spacing w:line="600" w:lineRule="exact"/>
        <w:jc w:val="center"/>
        <w:rPr>
          <w:rFonts w:ascii="仿宋" w:hAnsi="仿宋" w:eastAsia="仿宋" w:cs="方正小标宋_GBK"/>
          <w:b/>
          <w:sz w:val="44"/>
          <w:szCs w:val="44"/>
        </w:rPr>
      </w:pPr>
      <w:r>
        <w:rPr>
          <w:rFonts w:hint="eastAsia" w:ascii="仿宋" w:hAnsi="仿宋" w:eastAsia="仿宋" w:cs="方正小标宋_GBK"/>
          <w:b/>
          <w:bCs/>
          <w:sz w:val="44"/>
          <w:szCs w:val="44"/>
        </w:rPr>
        <w:t>部门整体支出绩效评价报告</w:t>
      </w:r>
    </w:p>
    <w:p>
      <w:pPr>
        <w:tabs>
          <w:tab w:val="left" w:pos="6480"/>
        </w:tabs>
        <w:spacing w:line="600" w:lineRule="exact"/>
        <w:jc w:val="center"/>
        <w:rPr>
          <w:rFonts w:ascii="仿宋" w:hAnsi="仿宋" w:eastAsia="仿宋" w:cs="方正小标宋_GBK"/>
          <w:b/>
          <w:sz w:val="36"/>
          <w:szCs w:val="36"/>
        </w:rPr>
      </w:pPr>
      <w:r>
        <w:rPr>
          <w:rFonts w:hint="eastAsia" w:ascii="仿宋" w:hAnsi="仿宋" w:eastAsia="仿宋" w:cs="方正小标宋_GBK"/>
          <w:b/>
          <w:sz w:val="36"/>
          <w:szCs w:val="36"/>
        </w:rPr>
        <w:t>（湘潭县河口镇人民政府）</w:t>
      </w:r>
    </w:p>
    <w:p>
      <w:pPr>
        <w:tabs>
          <w:tab w:val="left" w:pos="6480"/>
        </w:tabs>
        <w:spacing w:line="600" w:lineRule="exact"/>
        <w:jc w:val="center"/>
        <w:rPr>
          <w:rFonts w:ascii="仿宋" w:hAnsi="仿宋" w:eastAsia="仿宋" w:cs="方正小标宋_GBK"/>
          <w:b/>
          <w:sz w:val="36"/>
          <w:szCs w:val="36"/>
        </w:rPr>
      </w:pPr>
    </w:p>
    <w:tbl>
      <w:tblPr>
        <w:tblStyle w:val="7"/>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部门概况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单位名称</w:t>
            </w:r>
          </w:p>
        </w:tc>
        <w:tc>
          <w:tcPr>
            <w:tcW w:w="6666" w:type="dxa"/>
            <w:vAlign w:val="center"/>
          </w:tcPr>
          <w:p>
            <w:pPr>
              <w:spacing w:line="576" w:lineRule="exact"/>
              <w:ind w:right="879" w:rightChars="419"/>
              <w:jc w:val="center"/>
              <w:rPr>
                <w:rFonts w:ascii="仿宋" w:hAnsi="仿宋" w:eastAsia="仿宋" w:cs="宋体"/>
                <w:sz w:val="24"/>
              </w:rPr>
            </w:pPr>
            <w:r>
              <w:rPr>
                <w:rFonts w:hint="eastAsia" w:ascii="仿宋" w:hAnsi="仿宋" w:eastAsia="仿宋" w:cs="宋体"/>
                <w:sz w:val="24"/>
              </w:rPr>
              <w:t>湘潭县河口镇人民政府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年度预算金额</w:t>
            </w:r>
          </w:p>
        </w:tc>
        <w:tc>
          <w:tcPr>
            <w:tcW w:w="6666" w:type="dxa"/>
            <w:vAlign w:val="center"/>
          </w:tcPr>
          <w:p>
            <w:pPr>
              <w:spacing w:line="576" w:lineRule="exact"/>
              <w:ind w:right="879" w:rightChars="419"/>
              <w:jc w:val="center"/>
              <w:rPr>
                <w:rFonts w:ascii="仿宋" w:hAnsi="仿宋" w:eastAsia="仿宋" w:cs="宋体"/>
                <w:sz w:val="24"/>
              </w:rPr>
            </w:pPr>
            <w:r>
              <w:rPr>
                <w:rFonts w:ascii="仿宋" w:hAnsi="仿宋" w:eastAsia="仿宋" w:cs="宋体"/>
                <w:sz w:val="24"/>
              </w:rPr>
              <w:t>4758.79</w:t>
            </w: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主管部门</w:t>
            </w:r>
          </w:p>
        </w:tc>
        <w:tc>
          <w:tcPr>
            <w:tcW w:w="6666" w:type="dxa"/>
            <w:vAlign w:val="center"/>
          </w:tcPr>
          <w:p>
            <w:pPr>
              <w:spacing w:line="576" w:lineRule="exact"/>
              <w:ind w:right="879" w:rightChars="419"/>
              <w:jc w:val="center"/>
              <w:rPr>
                <w:rFonts w:ascii="仿宋" w:hAnsi="仿宋" w:eastAsia="仿宋" w:cs="宋体"/>
                <w:sz w:val="24"/>
              </w:rPr>
            </w:pPr>
            <w:r>
              <w:rPr>
                <w:rFonts w:hint="eastAsia" w:ascii="仿宋" w:hAnsi="仿宋" w:eastAsia="仿宋"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单位基本职能</w:t>
            </w:r>
          </w:p>
        </w:tc>
        <w:tc>
          <w:tcPr>
            <w:tcW w:w="6666" w:type="dxa"/>
            <w:vAlign w:val="center"/>
          </w:tcPr>
          <w:p>
            <w:pPr>
              <w:spacing w:line="360" w:lineRule="auto"/>
              <w:jc w:val="left"/>
              <w:rPr>
                <w:rFonts w:ascii="仿宋" w:hAnsi="仿宋" w:eastAsia="仿宋" w:cs="宋体"/>
                <w:sz w:val="24"/>
              </w:rPr>
            </w:pPr>
            <w:r>
              <w:rPr>
                <w:rFonts w:hint="eastAsia" w:ascii="仿宋" w:hAnsi="仿宋" w:eastAsia="仿宋" w:cs="宋体"/>
                <w:sz w:val="24"/>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"https://www.baidu.com/s?wd=%E5%95%86%E5%93%81%E6%B5%81%E9%80%9A&amp;tn=SE_PcZhidaonwhc_ngpagmjz&amp;rsv_dl=gh_pc_zhidao" \t "_blank" </w:instrText>
            </w:r>
            <w:r>
              <w:fldChar w:fldCharType="separate"/>
            </w:r>
            <w:r>
              <w:rPr>
                <w:rStyle w:val="9"/>
                <w:rFonts w:hint="eastAsia" w:ascii="仿宋" w:hAnsi="仿宋" w:eastAsia="仿宋" w:cs="宋体"/>
                <w:color w:val="auto"/>
                <w:sz w:val="24"/>
                <w:u w:val="none"/>
              </w:rPr>
              <w:t>商品流通</w:t>
            </w:r>
            <w:r>
              <w:rPr>
                <w:rStyle w:val="9"/>
                <w:rFonts w:hint="eastAsia" w:ascii="仿宋" w:hAnsi="仿宋" w:eastAsia="仿宋" w:cs="宋体"/>
                <w:color w:val="auto"/>
                <w:sz w:val="24"/>
                <w:u w:val="none"/>
              </w:rPr>
              <w:fldChar w:fldCharType="end"/>
            </w:r>
            <w:r>
              <w:rPr>
                <w:rFonts w:hint="eastAsia" w:ascii="仿宋" w:hAnsi="仿宋" w:eastAsia="仿宋" w:cs="宋体"/>
                <w:sz w:val="24"/>
              </w:rPr>
              <w:t>，协调好本乡与外地区的经济交流与合作，抓好招商引资，</w:t>
            </w:r>
            <w:r>
              <w:fldChar w:fldCharType="begin"/>
            </w:r>
            <w:r>
              <w:instrText xml:space="preserve"> HYPERLINK "https://www.baidu.com/s?wd=%E4%BA%BA%E6%89%8D%E5%BC%95%E8%BF%9B&amp;tn=SE_PcZhidaonwhc_ngpagmjz&amp;rsv_dl=gh_pc_zhidao" \t "_blank" </w:instrText>
            </w:r>
            <w:r>
              <w:fldChar w:fldCharType="separate"/>
            </w:r>
            <w:r>
              <w:rPr>
                <w:rStyle w:val="9"/>
                <w:rFonts w:hint="eastAsia" w:ascii="仿宋" w:hAnsi="仿宋" w:eastAsia="仿宋" w:cs="宋体"/>
                <w:color w:val="auto"/>
                <w:sz w:val="24"/>
                <w:u w:val="none"/>
              </w:rPr>
              <w:t>人才引进</w:t>
            </w:r>
            <w:r>
              <w:rPr>
                <w:rStyle w:val="9"/>
                <w:rFonts w:hint="eastAsia" w:ascii="仿宋" w:hAnsi="仿宋" w:eastAsia="仿宋" w:cs="宋体"/>
                <w:color w:val="auto"/>
                <w:sz w:val="24"/>
                <w:u w:val="none"/>
              </w:rPr>
              <w:fldChar w:fldCharType="end"/>
            </w:r>
            <w:r>
              <w:rPr>
                <w:rFonts w:hint="eastAsia" w:ascii="仿宋" w:hAnsi="仿宋" w:eastAsia="仿宋" w:cs="宋体"/>
                <w:sz w:val="24"/>
              </w:rPr>
              <w:t>项目开发，不断培育市场体系，组织</w:t>
            </w:r>
            <w:r>
              <w:fldChar w:fldCharType="begin"/>
            </w:r>
            <w:r>
              <w:instrText xml:space="preserve"> HYPERLINK "https://www.baidu.com/s?wd=%E7%BB%8F%E6%B5%8E%E8%BF%90%E8%A1%8C&amp;tn=SE_PcZhidaonwhc_ngpagmjz&amp;rsv_dl=gh_pc_zhidao" \t "_blank" </w:instrText>
            </w:r>
            <w:r>
              <w:fldChar w:fldCharType="separate"/>
            </w:r>
            <w:r>
              <w:rPr>
                <w:rStyle w:val="9"/>
                <w:rFonts w:hint="eastAsia" w:ascii="仿宋" w:hAnsi="仿宋" w:eastAsia="仿宋" w:cs="宋体"/>
                <w:color w:val="auto"/>
                <w:sz w:val="24"/>
                <w:u w:val="none"/>
              </w:rPr>
              <w:t>经济运行</w:t>
            </w:r>
            <w:r>
              <w:rPr>
                <w:rStyle w:val="9"/>
                <w:rFonts w:hint="eastAsia" w:ascii="仿宋" w:hAnsi="仿宋" w:eastAsia="仿宋" w:cs="宋体"/>
                <w:color w:val="auto"/>
                <w:sz w:val="24"/>
                <w:u w:val="none"/>
              </w:rPr>
              <w:fldChar w:fldCharType="end"/>
            </w:r>
            <w:r>
              <w:rPr>
                <w:rFonts w:hint="eastAsia" w:ascii="仿宋" w:hAnsi="仿宋" w:eastAsia="仿宋" w:cs="宋体"/>
                <w:sz w:val="24"/>
              </w:rPr>
              <w:t>，促进经济发展。</w:t>
            </w:r>
            <w:r>
              <w:rPr>
                <w:rFonts w:hint="eastAsia" w:ascii="仿宋" w:hAnsi="仿宋" w:eastAsia="仿宋" w:cs="宋体"/>
                <w:sz w:val="24"/>
              </w:rPr>
              <w:br w:type="textWrapping"/>
            </w:r>
            <w:r>
              <w:rPr>
                <w:rFonts w:hint="eastAsia" w:ascii="仿宋" w:hAnsi="仿宋" w:eastAsia="仿宋" w:cs="宋体"/>
                <w:sz w:val="24"/>
              </w:rPr>
              <w:t>（2）制定并组织实施村镇建设规划，部署重点工程建设，地方道路建设及公共设施，水利设施的管理，负责土地、林木、水等自然资源和生态环境的保护，做好护林防火工作。</w:t>
            </w:r>
            <w:r>
              <w:rPr>
                <w:rFonts w:hint="eastAsia" w:ascii="仿宋" w:hAnsi="仿宋" w:eastAsia="仿宋" w:cs="宋体"/>
                <w:sz w:val="24"/>
              </w:rPr>
              <w:br w:type="textWrapping"/>
            </w:r>
            <w:r>
              <w:rPr>
                <w:rFonts w:hint="eastAsia" w:ascii="仿宋" w:hAnsi="仿宋" w:eastAsia="仿宋" w:cs="宋体"/>
                <w:sz w:val="24"/>
              </w:rPr>
              <w:t>（3）负责本行政区域内的民政、计划生育、</w:t>
            </w:r>
            <w:r>
              <w:fldChar w:fldCharType="begin"/>
            </w:r>
            <w:r>
              <w:instrText xml:space="preserve"> HYPERLINK "https://www.baidu.com/s?wd=%E6%96%87%E5%8C%96%E6%95%99%E8%82%B2&amp;tn=SE_PcZhidaonwhc_ngpagmjz&amp;rsv_dl=gh_pc_zhidao" \t "_blank" </w:instrText>
            </w:r>
            <w:r>
              <w:fldChar w:fldCharType="separate"/>
            </w:r>
            <w:r>
              <w:rPr>
                <w:rStyle w:val="9"/>
                <w:rFonts w:hint="eastAsia" w:ascii="仿宋" w:hAnsi="仿宋" w:eastAsia="仿宋" w:cs="宋体"/>
                <w:color w:val="auto"/>
                <w:sz w:val="24"/>
                <w:u w:val="none"/>
              </w:rPr>
              <w:t>文化教育</w:t>
            </w:r>
            <w:r>
              <w:rPr>
                <w:rStyle w:val="9"/>
                <w:rFonts w:hint="eastAsia" w:ascii="仿宋" w:hAnsi="仿宋" w:eastAsia="仿宋" w:cs="宋体"/>
                <w:color w:val="auto"/>
                <w:sz w:val="24"/>
                <w:u w:val="none"/>
              </w:rPr>
              <w:fldChar w:fldCharType="end"/>
            </w:r>
            <w:r>
              <w:rPr>
                <w:rFonts w:hint="eastAsia" w:ascii="仿宋" w:hAnsi="仿宋" w:eastAsia="仿宋" w:cs="宋体"/>
                <w:sz w:val="24"/>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"https://www.baidu.com/s?wd=%E6%B0%91%E4%BA%8B%E7%BA%A0%E7%BA%B7&amp;tn=SE_PcZhidaonwhc_ngpagmjz&amp;rsv_dl=gh_pc_zhidao" \t "_blank" </w:instrText>
            </w:r>
            <w:r>
              <w:fldChar w:fldCharType="separate"/>
            </w:r>
            <w:r>
              <w:rPr>
                <w:rStyle w:val="9"/>
                <w:rFonts w:hint="eastAsia" w:ascii="仿宋" w:hAnsi="仿宋" w:eastAsia="仿宋" w:cs="宋体"/>
                <w:color w:val="auto"/>
                <w:sz w:val="24"/>
                <w:u w:val="none"/>
              </w:rPr>
              <w:t>民事纠纷</w:t>
            </w:r>
            <w:r>
              <w:rPr>
                <w:rStyle w:val="9"/>
                <w:rFonts w:hint="eastAsia" w:ascii="仿宋" w:hAnsi="仿宋" w:eastAsia="仿宋" w:cs="宋体"/>
                <w:color w:val="auto"/>
                <w:sz w:val="24"/>
                <w:u w:val="none"/>
              </w:rPr>
              <w:fldChar w:fldCharType="end"/>
            </w:r>
            <w:r>
              <w:rPr>
                <w:rFonts w:hint="eastAsia" w:ascii="仿宋" w:hAnsi="仿宋" w:eastAsia="仿宋" w:cs="宋体"/>
                <w:sz w:val="24"/>
              </w:rPr>
              <w:t>，打击刑事犯罪维护社会稳定。</w:t>
            </w:r>
            <w:r>
              <w:rPr>
                <w:rFonts w:hint="eastAsia" w:ascii="仿宋" w:hAnsi="仿宋" w:eastAsia="仿宋" w:cs="宋体"/>
                <w:sz w:val="24"/>
              </w:rPr>
              <w:br w:type="textWrapping"/>
            </w:r>
            <w:r>
              <w:rPr>
                <w:rFonts w:hint="eastAsia" w:ascii="仿宋" w:hAnsi="仿宋" w:eastAsia="仿宋" w:cs="宋体"/>
                <w:sz w:val="24"/>
              </w:rPr>
              <w:t>（4）按计划组织本级财政收入和地方税的征收，完成国家财政计划，不断培植税源，管好财政资金，增强财政实力。</w:t>
            </w:r>
            <w:r>
              <w:rPr>
                <w:rFonts w:hint="eastAsia" w:ascii="仿宋" w:hAnsi="仿宋" w:eastAsia="仿宋" w:cs="宋体"/>
                <w:sz w:val="24"/>
              </w:rPr>
              <w:br w:type="textWrapping"/>
            </w:r>
            <w:r>
              <w:rPr>
                <w:rFonts w:hint="eastAsia" w:ascii="仿宋" w:hAnsi="仿宋" w:eastAsia="仿宋" w:cs="宋体"/>
                <w:sz w:val="24"/>
              </w:rPr>
              <w:t>（5）抓好精神文明建设，丰富</w:t>
            </w:r>
            <w:r>
              <w:fldChar w:fldCharType="begin"/>
            </w:r>
            <w:r>
              <w:instrText xml:space="preserve"> HYPERLINK "https://www.baidu.com/s?wd=%E7%BE%A4%E4%BC%97%E6%96%87%E5%8C%96&amp;tn=SE_PcZhidaonwhc_ngpagmjz&amp;rsv_dl=gh_pc_zhidao" \t "_blank" </w:instrText>
            </w:r>
            <w:r>
              <w:fldChar w:fldCharType="separate"/>
            </w:r>
            <w:r>
              <w:rPr>
                <w:rStyle w:val="9"/>
                <w:rFonts w:hint="eastAsia" w:ascii="仿宋" w:hAnsi="仿宋" w:eastAsia="仿宋" w:cs="宋体"/>
                <w:color w:val="auto"/>
                <w:sz w:val="24"/>
                <w:u w:val="none"/>
              </w:rPr>
              <w:t>群众文化</w:t>
            </w:r>
            <w:r>
              <w:rPr>
                <w:rStyle w:val="9"/>
                <w:rFonts w:hint="eastAsia" w:ascii="仿宋" w:hAnsi="仿宋" w:eastAsia="仿宋" w:cs="宋体"/>
                <w:color w:val="auto"/>
                <w:sz w:val="24"/>
                <w:u w:val="none"/>
              </w:rPr>
              <w:fldChar w:fldCharType="end"/>
            </w:r>
            <w:r>
              <w:rPr>
                <w:rFonts w:hint="eastAsia" w:ascii="仿宋" w:hAnsi="仿宋" w:eastAsia="仿宋" w:cs="宋体"/>
                <w:sz w:val="24"/>
              </w:rPr>
              <w:t>生活，提倡移风易俗，反对封建迷信，破除陈规陋习，树立社会主义新风尚。</w:t>
            </w:r>
            <w:r>
              <w:rPr>
                <w:rFonts w:hint="eastAsia" w:ascii="仿宋" w:hAnsi="仿宋" w:eastAsia="仿宋" w:cs="宋体"/>
                <w:sz w:val="24"/>
              </w:rPr>
              <w:br w:type="textWrapping"/>
            </w:r>
            <w:r>
              <w:rPr>
                <w:rFonts w:hint="eastAsia" w:ascii="仿宋" w:hAnsi="仿宋" w:eastAsia="仿宋" w:cs="宋体"/>
                <w:sz w:val="24"/>
              </w:rPr>
              <w:t>（6）完成上级政府交办的其它事项。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绩效完成情况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部门整体支出管理和使用基本情况</w:t>
            </w:r>
          </w:p>
        </w:tc>
        <w:tc>
          <w:tcPr>
            <w:tcW w:w="6666" w:type="dxa"/>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始终认真贯彻执行《会计法》、《预算法》、《行政单位会计制度》等法律法规，各项经费支出严格按照政府采购、国库集中支付等有关规定执行。同时我镇先后制订了《湘潭县河口镇预算管理制度》、《湘潭县河口镇政府采购管理办法》、《湘潭县河口镇财务管理制度》、《湘潭县河口镇支出管理制度》、《湘潭县河口镇固定资产管理办法》等相关制度，明确了经费审批权限及程序，经费预算、核算管理、资产购置与处置、财务监督等。在“三公”经费管理方面，规范了公务接待的审批管理，较好地控制了行政运行成本。</w:t>
            </w:r>
          </w:p>
          <w:p>
            <w:pPr>
              <w:spacing w:line="360" w:lineRule="auto"/>
              <w:ind w:firstLine="480" w:firstLineChars="200"/>
              <w:rPr>
                <w:rFonts w:ascii="仿宋" w:hAnsi="仿宋" w:eastAsia="仿宋" w:cs="宋体"/>
                <w:sz w:val="24"/>
              </w:rPr>
            </w:pPr>
            <w:r>
              <w:rPr>
                <w:rFonts w:hint="eastAsia" w:ascii="仿宋" w:hAnsi="仿宋" w:eastAsia="仿宋" w:cs="宋体"/>
                <w:sz w:val="24"/>
              </w:rPr>
              <w:t>202</w:t>
            </w:r>
            <w:r>
              <w:rPr>
                <w:rFonts w:ascii="仿宋" w:hAnsi="仿宋" w:eastAsia="仿宋" w:cs="宋体"/>
                <w:sz w:val="24"/>
              </w:rPr>
              <w:t>1</w:t>
            </w:r>
            <w:r>
              <w:rPr>
                <w:rFonts w:hint="eastAsia" w:ascii="仿宋" w:hAnsi="仿宋" w:eastAsia="仿宋" w:cs="宋体"/>
                <w:sz w:val="24"/>
              </w:rPr>
              <w:t>年部门整体支出</w:t>
            </w:r>
            <w:r>
              <w:rPr>
                <w:rFonts w:ascii="仿宋" w:hAnsi="仿宋" w:eastAsia="仿宋" w:cs="宋体"/>
                <w:sz w:val="24"/>
              </w:rPr>
              <w:t>4758.79</w:t>
            </w:r>
            <w:r>
              <w:rPr>
                <w:rFonts w:hint="eastAsia" w:ascii="仿宋" w:hAnsi="仿宋" w:eastAsia="仿宋" w:cs="宋体"/>
                <w:sz w:val="24"/>
              </w:rPr>
              <w:t>万元，按支出性质分类为：基本支出</w:t>
            </w:r>
            <w:r>
              <w:rPr>
                <w:rFonts w:ascii="仿宋" w:hAnsi="仿宋" w:eastAsia="仿宋" w:cs="宋体"/>
                <w:sz w:val="24"/>
              </w:rPr>
              <w:t>4758.79</w:t>
            </w:r>
            <w:r>
              <w:rPr>
                <w:rFonts w:hint="eastAsia" w:ascii="仿宋" w:hAnsi="仿宋" w:eastAsia="仿宋" w:cs="宋体"/>
                <w:sz w:val="24"/>
              </w:rPr>
              <w:t>万元（其中：一般公共服务支出</w:t>
            </w:r>
            <w:r>
              <w:rPr>
                <w:rFonts w:ascii="仿宋" w:hAnsi="仿宋" w:eastAsia="仿宋" w:cs="宋体"/>
                <w:sz w:val="24"/>
              </w:rPr>
              <w:t>4043.15</w:t>
            </w:r>
            <w:r>
              <w:rPr>
                <w:rFonts w:hint="eastAsia" w:ascii="仿宋" w:hAnsi="仿宋" w:eastAsia="仿宋" w:cs="宋体"/>
                <w:sz w:val="24"/>
              </w:rPr>
              <w:t>万元，国防支出</w:t>
            </w:r>
            <w:r>
              <w:rPr>
                <w:rFonts w:ascii="仿宋" w:hAnsi="仿宋" w:eastAsia="仿宋" w:cs="宋体"/>
                <w:sz w:val="24"/>
              </w:rPr>
              <w:t>2.46</w:t>
            </w:r>
            <w:r>
              <w:rPr>
                <w:rFonts w:hint="eastAsia" w:ascii="仿宋" w:hAnsi="仿宋" w:eastAsia="仿宋" w:cs="宋体"/>
                <w:sz w:val="24"/>
              </w:rPr>
              <w:t>万元，公共安全支出</w:t>
            </w:r>
            <w:r>
              <w:rPr>
                <w:rFonts w:ascii="仿宋" w:hAnsi="仿宋" w:eastAsia="仿宋" w:cs="宋体"/>
                <w:sz w:val="24"/>
              </w:rPr>
              <w:t>18.74</w:t>
            </w:r>
            <w:r>
              <w:rPr>
                <w:rFonts w:hint="eastAsia" w:ascii="仿宋" w:hAnsi="仿宋" w:eastAsia="仿宋" w:cs="宋体"/>
                <w:sz w:val="24"/>
              </w:rPr>
              <w:t>万元，文化体育与传媒支出</w:t>
            </w:r>
            <w:r>
              <w:rPr>
                <w:rFonts w:ascii="仿宋" w:hAnsi="仿宋" w:eastAsia="仿宋" w:cs="宋体"/>
                <w:sz w:val="24"/>
              </w:rPr>
              <w:t>21.52</w:t>
            </w:r>
            <w:r>
              <w:rPr>
                <w:rFonts w:hint="eastAsia" w:ascii="仿宋" w:hAnsi="仿宋" w:eastAsia="仿宋" w:cs="宋体"/>
                <w:sz w:val="24"/>
              </w:rPr>
              <w:t>万元，社会保障和就业支出</w:t>
            </w:r>
            <w:r>
              <w:rPr>
                <w:rFonts w:ascii="仿宋" w:hAnsi="仿宋" w:eastAsia="仿宋" w:cs="宋体"/>
                <w:sz w:val="24"/>
              </w:rPr>
              <w:t>30.86</w:t>
            </w:r>
            <w:r>
              <w:rPr>
                <w:rFonts w:hint="eastAsia" w:ascii="仿宋" w:hAnsi="仿宋" w:eastAsia="仿宋" w:cs="宋体"/>
                <w:sz w:val="24"/>
              </w:rPr>
              <w:t>万元，卫健康支出</w:t>
            </w:r>
            <w:r>
              <w:rPr>
                <w:rFonts w:ascii="仿宋" w:hAnsi="仿宋" w:eastAsia="仿宋" w:cs="宋体"/>
                <w:sz w:val="24"/>
              </w:rPr>
              <w:t>38.97</w:t>
            </w:r>
            <w:r>
              <w:rPr>
                <w:rFonts w:hint="eastAsia" w:ascii="仿宋" w:hAnsi="仿宋" w:eastAsia="仿宋" w:cs="宋体"/>
                <w:sz w:val="24"/>
              </w:rPr>
              <w:t>万元，节能环保支出</w:t>
            </w:r>
            <w:r>
              <w:rPr>
                <w:rFonts w:ascii="仿宋" w:hAnsi="仿宋" w:eastAsia="仿宋" w:cs="宋体"/>
                <w:sz w:val="24"/>
              </w:rPr>
              <w:t>32.68</w:t>
            </w:r>
            <w:r>
              <w:rPr>
                <w:rFonts w:hint="eastAsia" w:ascii="仿宋" w:hAnsi="仿宋" w:eastAsia="仿宋" w:cs="宋体"/>
                <w:sz w:val="24"/>
              </w:rPr>
              <w:t>万元，城乡社区支出</w:t>
            </w:r>
            <w:r>
              <w:rPr>
                <w:rFonts w:ascii="仿宋" w:hAnsi="仿宋" w:eastAsia="仿宋" w:cs="宋体"/>
                <w:sz w:val="24"/>
              </w:rPr>
              <w:t>28.32</w:t>
            </w:r>
            <w:r>
              <w:rPr>
                <w:rFonts w:hint="eastAsia" w:ascii="仿宋" w:hAnsi="仿宋" w:eastAsia="仿宋" w:cs="宋体"/>
                <w:sz w:val="24"/>
              </w:rPr>
              <w:t>万元，农林水支出</w:t>
            </w:r>
            <w:r>
              <w:rPr>
                <w:rFonts w:ascii="仿宋" w:hAnsi="仿宋" w:eastAsia="仿宋" w:cs="宋体"/>
                <w:sz w:val="24"/>
              </w:rPr>
              <w:t>492.10</w:t>
            </w:r>
            <w:r>
              <w:rPr>
                <w:rFonts w:hint="eastAsia" w:ascii="仿宋" w:hAnsi="仿宋" w:eastAsia="仿宋" w:cs="宋体"/>
                <w:sz w:val="24"/>
              </w:rPr>
              <w:t>万元，灾害防治及应急管理支出</w:t>
            </w:r>
            <w:r>
              <w:rPr>
                <w:rFonts w:ascii="仿宋" w:hAnsi="仿宋" w:eastAsia="仿宋" w:cs="宋体"/>
                <w:sz w:val="24"/>
              </w:rPr>
              <w:t>50</w:t>
            </w:r>
            <w:r>
              <w:rPr>
                <w:rFonts w:hint="eastAsia" w:ascii="仿宋" w:hAnsi="仿宋" w:eastAsia="仿宋" w:cs="宋体"/>
                <w:sz w:val="24"/>
              </w:rPr>
              <w:t>万元）。</w:t>
            </w:r>
          </w:p>
          <w:p>
            <w:pPr>
              <w:spacing w:line="360" w:lineRule="auto"/>
              <w:ind w:firstLine="480" w:firstLineChars="200"/>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绩效目标完成情况</w:t>
            </w:r>
          </w:p>
        </w:tc>
        <w:tc>
          <w:tcPr>
            <w:tcW w:w="6666" w:type="dxa"/>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2021年，河口镇党委、政府在县委、县政府的坚强领导下，坚持县委“三提一领”的总体思路，以增强治理效能为手段，以高质量发展为主题，以提升民生福祉为目标，全面贯彻党的十九大和十九届历次全会精神，开拓创新，求真务实，全镇经济社会发展取得良好成绩，各项工作齐头并进，现将全镇工作完成情况总结如下：</w:t>
            </w:r>
          </w:p>
          <w:p>
            <w:pPr>
              <w:spacing w:line="360" w:lineRule="auto"/>
              <w:ind w:firstLine="480" w:firstLineChars="200"/>
              <w:rPr>
                <w:rFonts w:ascii="仿宋" w:hAnsi="仿宋" w:eastAsia="仿宋" w:cs="宋体"/>
                <w:sz w:val="24"/>
              </w:rPr>
            </w:pPr>
            <w:r>
              <w:rPr>
                <w:rFonts w:hint="eastAsia" w:ascii="仿宋" w:hAnsi="仿宋" w:eastAsia="仿宋" w:cs="宋体"/>
                <w:sz w:val="24"/>
              </w:rPr>
              <w:t>以党的建设为“引领力”，提升基层治理成效</w:t>
            </w:r>
          </w:p>
          <w:p>
            <w:pPr>
              <w:spacing w:line="360" w:lineRule="auto"/>
              <w:ind w:firstLine="480" w:firstLineChars="200"/>
              <w:rPr>
                <w:rFonts w:ascii="仿宋" w:hAnsi="仿宋" w:eastAsia="仿宋" w:cs="宋体"/>
                <w:sz w:val="24"/>
              </w:rPr>
            </w:pPr>
            <w:r>
              <w:rPr>
                <w:rFonts w:hint="eastAsia" w:ascii="仿宋" w:hAnsi="仿宋" w:eastAsia="仿宋" w:cs="宋体"/>
                <w:sz w:val="24"/>
              </w:rPr>
              <w:t>1.强化党建凝心，狠抓意识形态。一是党史为线，加强理论学习。结合党史学习教育开展主题突出、特色鲜明、形式多样的学习活动。全年共开展中心组理论学习14次29个课题、各党政负责人下村开展党的理论政策宣讲50余场次，村党组织书记深入村组开展村社课堂、屋场会等微宣讲20余场次，邀请县委宣讲团讲师宣讲3场。通过开展党史知识竞赛、参观红色教育基地等活动，有力助推了广大党员干部理论学习向深里走、向实里走。全面开展“振兴莲乡 我的责任”大讨论活动，提振干部干事创业精气神。二是夯实基础，凝聚发展合力。高质高效地完成了全镇16个村“两委”的换届选举，全面实行书记主任“一肩挑”。按组织意图、按时完成了县镇党代表和人大代表选举工作，以及镇党委、政府换届工作。深入实施“基层党建全面提质工程”，持续推进村级党支部建设。组织开展了“党建引领、项目推动”的参观考察重点项目活动。积极落实“导师帮带制”,严格抓好党员发展与管理，实现县、镇两级培训全覆盖，累计培训入党积极分子230余人次。开展七一表彰“两优一先”和慰问系列活动，为143名老党员颁发了“光荣在党50年”纪念章。三是强化宣传，提升舆论引导。自觉在思想上政治上行动上和县委、县政府保持高度一致。积极与各级媒体中心对接，市级以上媒体采用稿件156篇，其中省级以上主流媒体采用46篇。《湖南湘潭：解码“河口速度”“八个一”助力企业提速“快跑”》一文被“学习强国”宣传报道；“五个一”基层治理模式被“人民日报”等媒体广泛报道；莲托村美丽庭院在湖南卫视“午间新闻”播放。</w:t>
            </w:r>
          </w:p>
          <w:p>
            <w:pPr>
              <w:spacing w:line="360" w:lineRule="auto"/>
              <w:ind w:firstLine="480" w:firstLineChars="200"/>
              <w:rPr>
                <w:rFonts w:ascii="仿宋" w:hAnsi="仿宋" w:eastAsia="仿宋" w:cs="宋体"/>
                <w:sz w:val="24"/>
              </w:rPr>
            </w:pPr>
            <w:r>
              <w:rPr>
                <w:rFonts w:hint="eastAsia" w:ascii="仿宋" w:hAnsi="仿宋" w:eastAsia="仿宋" w:cs="宋体"/>
                <w:sz w:val="24"/>
              </w:rPr>
              <w:t>2.强化党建引领，深化基层治理。一是强网格治理。深入推进党建引领社会治理“五个一”工程，按照“党建+网格化”思路，将现有的86个三级网格细分至627个四级党员网格，精准定位网格功能，构建基层社会治理共建共治共享新格局。二是增群团活力。创新推动“湘妹子能量家园”建设，发展省级试点村4个、市级试点村2个；认真履行党管武装职责，为部队输送9名优秀青年，圆满完成各项民兵应急处置工作，力促民兵整组、拥军优属等各项工作深入推进；顺利完成商会换届工作，充分利用统战资源，搭建招商引资平台，成立乡贤理事会，促进非公有制经济发展。</w:t>
            </w:r>
          </w:p>
          <w:p>
            <w:pPr>
              <w:spacing w:line="360" w:lineRule="auto"/>
              <w:ind w:firstLine="480" w:firstLineChars="200"/>
              <w:rPr>
                <w:rFonts w:ascii="仿宋" w:hAnsi="仿宋" w:eastAsia="仿宋" w:cs="宋体"/>
                <w:sz w:val="24"/>
              </w:rPr>
            </w:pPr>
            <w:r>
              <w:rPr>
                <w:rFonts w:hint="eastAsia" w:ascii="仿宋" w:hAnsi="仿宋" w:eastAsia="仿宋" w:cs="宋体"/>
                <w:sz w:val="24"/>
              </w:rPr>
              <w:t>二、以营商环境为“支撑力”，推动经济高质量发展</w:t>
            </w:r>
          </w:p>
          <w:p>
            <w:pPr>
              <w:spacing w:line="360" w:lineRule="auto"/>
              <w:ind w:firstLine="480" w:firstLineChars="200"/>
              <w:rPr>
                <w:rFonts w:ascii="仿宋" w:hAnsi="仿宋" w:eastAsia="仿宋" w:cs="宋体"/>
                <w:sz w:val="24"/>
              </w:rPr>
            </w:pPr>
            <w:r>
              <w:rPr>
                <w:rFonts w:hint="eastAsia" w:ascii="仿宋" w:hAnsi="仿宋" w:eastAsia="仿宋" w:cs="宋体"/>
                <w:sz w:val="24"/>
              </w:rPr>
              <w:t>1.工业经济运行稳进。2021年，全镇实现工业总产值24.6亿元、规模工业总产值22.2亿元，财政税收4806万元，完成年度任务比例113.2%。园区发展态势良好，目前园区共有48家企业落户，其中规模企业17家。</w:t>
            </w:r>
          </w:p>
          <w:p>
            <w:pPr>
              <w:spacing w:line="360" w:lineRule="auto"/>
              <w:ind w:firstLine="480" w:firstLineChars="200"/>
              <w:rPr>
                <w:rFonts w:ascii="仿宋" w:hAnsi="仿宋" w:eastAsia="仿宋" w:cs="宋体"/>
                <w:sz w:val="24"/>
              </w:rPr>
            </w:pPr>
            <w:r>
              <w:rPr>
                <w:rFonts w:hint="eastAsia" w:ascii="仿宋" w:hAnsi="仿宋" w:eastAsia="仿宋" w:cs="宋体"/>
                <w:sz w:val="24"/>
              </w:rPr>
              <w:t>2.营商环境持续优化。开展“我为企业解难题”服务企业“八个一”行动，党政负责人对点联系企业，通过现场处置、调查走访、召开协调会等方式，从惠企政策、融资渠道、项目发展等8个方面分类收集企业反映的困难问题，成功解决长乐建材、县离心机厂、天易和建换地问题，湘潭港易俗河港区一期工程项目环保建设问题，同康医院项目、湘景园园艺公司等10家企业水、电、路和周边环境等10多个问题，营商环境显著提升。</w:t>
            </w:r>
          </w:p>
          <w:p>
            <w:pPr>
              <w:spacing w:line="360" w:lineRule="auto"/>
              <w:ind w:firstLine="480" w:firstLineChars="200"/>
              <w:rPr>
                <w:rFonts w:ascii="仿宋" w:hAnsi="仿宋" w:eastAsia="仿宋" w:cs="宋体"/>
                <w:sz w:val="24"/>
              </w:rPr>
            </w:pPr>
            <w:r>
              <w:rPr>
                <w:rFonts w:hint="eastAsia" w:ascii="仿宋" w:hAnsi="仿宋" w:eastAsia="仿宋" w:cs="宋体"/>
                <w:sz w:val="24"/>
              </w:rPr>
              <w:t>3.招商引资稳中提质。全年新引进招商引资企业5家： 3月3日与湖南择利制造有限公司等四个项目成功签约，总投资额3.3亿，其中外资3000万美元；12月9日与湘潭师园领品鲜成功签约，拟投资1.2亿元；1月9日，投资5亿元的泰山石膏成功落户河口。全年新增固定资产投资8亿，解决就业岗位1</w:t>
            </w:r>
            <w:r>
              <w:rPr>
                <w:rFonts w:ascii="仿宋" w:hAnsi="仿宋" w:eastAsia="仿宋" w:cs="宋体"/>
                <w:sz w:val="24"/>
              </w:rPr>
              <w:t>1</w:t>
            </w:r>
            <w:r>
              <w:rPr>
                <w:rFonts w:hint="eastAsia" w:ascii="仿宋" w:hAnsi="仿宋" w:eastAsia="仿宋" w:cs="宋体"/>
                <w:sz w:val="24"/>
              </w:rPr>
              <w:t>00余个。</w:t>
            </w:r>
          </w:p>
          <w:p>
            <w:pPr>
              <w:spacing w:line="360" w:lineRule="auto"/>
              <w:ind w:firstLine="480" w:firstLineChars="200"/>
              <w:rPr>
                <w:rFonts w:ascii="仿宋" w:hAnsi="仿宋" w:eastAsia="仿宋" w:cs="宋体"/>
                <w:sz w:val="24"/>
              </w:rPr>
            </w:pPr>
            <w:r>
              <w:rPr>
                <w:rFonts w:hint="eastAsia" w:ascii="仿宋" w:hAnsi="仿宋" w:eastAsia="仿宋" w:cs="宋体"/>
                <w:sz w:val="24"/>
              </w:rPr>
              <w:t>4.重点项目进展顺利。湘潭生活垃圾焚烧发电项目9月底实现并网发电；雍和物流、长乐建材、鑫湘源有限公司、一三电器、同康医院等10个项目均于今年建成投产；天易和建项目正在进行主体工程建设；湖南择利制造有限公司、湘潭市顺捷沥青有限公司两家公司共有67亩土地正在报批，预计年初动工建设。</w:t>
            </w:r>
          </w:p>
          <w:p>
            <w:pPr>
              <w:spacing w:line="360" w:lineRule="auto"/>
              <w:ind w:firstLine="480" w:firstLineChars="200"/>
              <w:rPr>
                <w:rFonts w:ascii="仿宋" w:hAnsi="仿宋" w:eastAsia="仿宋" w:cs="宋体"/>
                <w:sz w:val="24"/>
              </w:rPr>
            </w:pPr>
            <w:r>
              <w:rPr>
                <w:rFonts w:hint="eastAsia" w:ascii="仿宋" w:hAnsi="仿宋" w:eastAsia="仿宋" w:cs="宋体"/>
                <w:sz w:val="24"/>
              </w:rPr>
              <w:t>三、以真抓实干为“生产力”，开创乡村振兴新局面</w:t>
            </w:r>
          </w:p>
          <w:p>
            <w:pPr>
              <w:spacing w:line="360" w:lineRule="auto"/>
              <w:ind w:firstLine="480" w:firstLineChars="200"/>
              <w:rPr>
                <w:rFonts w:ascii="仿宋" w:hAnsi="仿宋" w:eastAsia="仿宋" w:cs="宋体"/>
                <w:sz w:val="24"/>
              </w:rPr>
            </w:pPr>
            <w:r>
              <w:rPr>
                <w:rFonts w:hint="eastAsia" w:ascii="仿宋" w:hAnsi="仿宋" w:eastAsia="仿宋" w:cs="宋体"/>
                <w:sz w:val="24"/>
              </w:rPr>
              <w:t>1.脱贫成果巩固作用明显。巩固拓展抓党建促脱贫攻坚成果，深入推进“三年强村计划”，积极落实消除经济薄弱村目标任务。目前，我镇河口、紫杨、三华等6个村年经营性收入均达5万元以上，华中、先丰桥2个村今年村集体经济达10万元以上。</w:t>
            </w:r>
            <w:r>
              <w:rPr>
                <w:rFonts w:ascii="仿宋" w:hAnsi="仿宋" w:eastAsia="仿宋" w:cs="宋体"/>
                <w:sz w:val="24"/>
              </w:rPr>
              <w:t>进一步激发贫困户内生动力，</w:t>
            </w:r>
            <w:r>
              <w:rPr>
                <w:rFonts w:hint="eastAsia" w:ascii="仿宋" w:hAnsi="仿宋" w:eastAsia="仿宋" w:cs="宋体"/>
                <w:sz w:val="24"/>
              </w:rPr>
              <w:t>共派出乡村振兴驻村工作队16个，驻村干部20人，开展好防返贫问题排查整改工作，</w:t>
            </w:r>
            <w:r>
              <w:rPr>
                <w:rFonts w:ascii="仿宋" w:hAnsi="仿宋" w:eastAsia="仿宋" w:cs="宋体"/>
                <w:sz w:val="24"/>
              </w:rPr>
              <w:t>为贫困户开发人居环境</w:t>
            </w:r>
            <w:r>
              <w:rPr>
                <w:rFonts w:hint="eastAsia" w:ascii="仿宋" w:hAnsi="仿宋" w:eastAsia="仿宋" w:cs="宋体"/>
                <w:sz w:val="24"/>
              </w:rPr>
              <w:t>保洁员等</w:t>
            </w:r>
            <w:r>
              <w:rPr>
                <w:rFonts w:ascii="仿宋" w:hAnsi="仿宋" w:eastAsia="仿宋" w:cs="宋体"/>
                <w:sz w:val="24"/>
              </w:rPr>
              <w:t>公益性岗位</w:t>
            </w:r>
            <w:r>
              <w:rPr>
                <w:rFonts w:hint="eastAsia" w:ascii="仿宋" w:hAnsi="仿宋" w:eastAsia="仿宋" w:cs="宋体"/>
                <w:sz w:val="24"/>
              </w:rPr>
              <w:t>39</w:t>
            </w:r>
            <w:r>
              <w:rPr>
                <w:rFonts w:ascii="仿宋" w:hAnsi="仿宋" w:eastAsia="仿宋" w:cs="宋体"/>
                <w:sz w:val="24"/>
              </w:rPr>
              <w:t>个</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r>
              <w:rPr>
                <w:rFonts w:hint="eastAsia" w:ascii="仿宋" w:hAnsi="仿宋" w:eastAsia="仿宋" w:cs="宋体"/>
                <w:sz w:val="24"/>
              </w:rPr>
              <w:t>2.农业特色经济增势强劲。全年投入专项资金108万元用于产业发展，重点扶持优质稻种植、休闲采摘农业、特色养殖业等5</w:t>
            </w:r>
            <w:r>
              <w:rPr>
                <w:rFonts w:ascii="仿宋" w:hAnsi="仿宋" w:eastAsia="仿宋" w:cs="宋体"/>
                <w:sz w:val="24"/>
              </w:rPr>
              <w:t>个特色产业</w:t>
            </w:r>
            <w:r>
              <w:rPr>
                <w:rFonts w:hint="eastAsia" w:ascii="仿宋" w:hAnsi="仿宋" w:eastAsia="仿宋" w:cs="宋体"/>
                <w:sz w:val="24"/>
              </w:rPr>
              <w:t>发展。完成粮食播种总面积76684亩,粮食总产量36000吨，全面完成县级下达的的目标任务。建立“企业+基地+农户”模式，在卓江、中湾等城郊村发展特色农产品种养植基地3000余亩；积极推进土地流转，新培育粮食规模种植主体50家，家庭农场26家；“淹水法”综合农艺措施在石泉、紫杨、宏兴三个村整村推广；三华村、莲托村等6村申报秸秆综合利用示范村；冬种油菜15000余亩，创建油菜高产示范片6个。</w:t>
            </w:r>
          </w:p>
          <w:p>
            <w:pPr>
              <w:spacing w:line="360" w:lineRule="auto"/>
              <w:ind w:firstLine="480" w:firstLineChars="200"/>
              <w:rPr>
                <w:rFonts w:ascii="仿宋" w:hAnsi="仿宋" w:eastAsia="仿宋" w:cs="宋体"/>
                <w:sz w:val="24"/>
              </w:rPr>
            </w:pPr>
            <w:r>
              <w:rPr>
                <w:rFonts w:hint="eastAsia" w:ascii="仿宋" w:hAnsi="仿宋" w:eastAsia="仿宋" w:cs="宋体"/>
                <w:sz w:val="24"/>
              </w:rPr>
              <w:t>3.人居环境整治卓有成效。开展全方位的人居环境整治工作宣传，在16个村全面推行垃圾桶投放措施和生活垃圾处理付费制度，全镇共投放垃圾桶4000多个，各村共收取环境卫生费90多万元。全面推进厕所革命，共新建三格式无害化化粪池840座，全面排查整改2018、2019年建成的3171座三格式无害化化粪池。深入推进污染防治工作，坚决打赢蓝天、碧水、净土保卫战，切实做好秸秆与垃圾禁烧工作，全面落实“河长制”工作。</w:t>
            </w:r>
          </w:p>
          <w:p>
            <w:pPr>
              <w:spacing w:line="360" w:lineRule="auto"/>
              <w:ind w:firstLine="480" w:firstLineChars="200"/>
              <w:rPr>
                <w:rFonts w:ascii="仿宋" w:hAnsi="仿宋" w:eastAsia="仿宋" w:cs="宋体"/>
                <w:sz w:val="24"/>
              </w:rPr>
            </w:pPr>
            <w:r>
              <w:rPr>
                <w:rFonts w:hint="eastAsia" w:ascii="仿宋" w:hAnsi="仿宋" w:eastAsia="仿宋" w:cs="宋体"/>
                <w:sz w:val="24"/>
              </w:rPr>
              <w:t>4.基础设施建设日臻完善。全面推进危房改造及房屋普查录入工作；全部调查核实并完成图斑录入共计16096个；完成双板桥农贸集市的整体搬迁和古塘桥集市道路的规范化改造建设，整改维修破损路灯共计82盏；投入65万元修筑水利，共计进行山塘清淤和塘基硬化21处，新建团山防洪闸、抗旱闸4座，更换防洪闸闸门7座、拍门12扇。</w:t>
            </w:r>
          </w:p>
          <w:p>
            <w:pPr>
              <w:spacing w:line="360" w:lineRule="auto"/>
              <w:ind w:firstLine="480" w:firstLineChars="200"/>
              <w:rPr>
                <w:rFonts w:ascii="仿宋" w:hAnsi="仿宋" w:eastAsia="仿宋" w:cs="宋体"/>
                <w:sz w:val="24"/>
              </w:rPr>
            </w:pPr>
            <w:r>
              <w:rPr>
                <w:rFonts w:hint="eastAsia" w:ascii="仿宋" w:hAnsi="仿宋" w:eastAsia="仿宋" w:cs="宋体"/>
                <w:sz w:val="24"/>
              </w:rPr>
              <w:t>四、以人民利益为“向心力”，持续增进民生福祉</w:t>
            </w:r>
          </w:p>
          <w:p>
            <w:pPr>
              <w:spacing w:line="360" w:lineRule="auto"/>
              <w:ind w:firstLine="480" w:firstLineChars="200"/>
              <w:rPr>
                <w:rFonts w:ascii="仿宋" w:hAnsi="仿宋" w:eastAsia="仿宋" w:cs="宋体"/>
                <w:sz w:val="24"/>
              </w:rPr>
            </w:pPr>
            <w:r>
              <w:rPr>
                <w:rFonts w:hint="eastAsia" w:ascii="仿宋" w:hAnsi="仿宋" w:eastAsia="仿宋" w:cs="宋体"/>
                <w:sz w:val="24"/>
              </w:rPr>
              <w:t>1.民生工作成效显著。落实“三送三稳”，开展技能培训共计106人次；完成危改户新建及修缮19户；供养城镇低保36户52人、农村特困对象306人、城镇特困对象3人。2021年城乡居民医保待遇发放9546人，共有4956人次享受各类医保报销2617万余元，全年特需门诊复审315人次；落实孕前免费检查、产前免费筛查、女性“两癌”免费筛查工作，完成孕前优生检查160对，两癌筛查817个，产前筛查160个，救助救治贫困重性精神障碍患者8名。开展计生帮扶行动，目前享受计生奖扶政策对象共有707人，45名精神障碍患者得到每月200元的看护管理奖励。</w:t>
            </w:r>
          </w:p>
          <w:p>
            <w:pPr>
              <w:spacing w:line="360" w:lineRule="auto"/>
              <w:ind w:firstLine="480" w:firstLineChars="200"/>
              <w:rPr>
                <w:rFonts w:ascii="仿宋" w:hAnsi="仿宋" w:eastAsia="仿宋" w:cs="宋体"/>
                <w:sz w:val="24"/>
              </w:rPr>
            </w:pPr>
            <w:r>
              <w:rPr>
                <w:rFonts w:hint="eastAsia" w:ascii="仿宋" w:hAnsi="仿宋" w:eastAsia="仿宋" w:cs="宋体"/>
                <w:sz w:val="24"/>
              </w:rPr>
              <w:t>2.平安建设不断深入。持续深入开展“平安河口”创建活动、“扫黄打非”行动、扫黑除恶专项斗争，扎实开展民情走访，发放资料30000余份，排查矛盾纠纷300余起，成功调解纠纷62起，调解成功率达100%；今年8月被市评为全国禁毒示范城市先进集体；完成采集退役军人及优抚对象信息1442条，接待退役军人来访467人次；全力开展帮扶解困，发放优抚对象补助资金454人次，落实临时救助24万余元；充分发挥两站两员作用，强化交通顽障痼疾整治，查处交通违法行为上百起；积极开展安全生产隐患“大排查大管控大整治”行动，铁腕推进“打非治违”，织密织牢安全防控网格，做到安全生产监管全覆盖和常态化。全年对镇域范围24家重点单位、19家其他工贸企业、15家巡查企业执法检查200余次，排查整改34处隐患问题，警示约谈5人，停业整顿4家，罚款金额17600元。</w:t>
            </w:r>
          </w:p>
          <w:p>
            <w:pPr>
              <w:spacing w:line="360" w:lineRule="auto"/>
              <w:ind w:firstLine="480" w:firstLineChars="200"/>
              <w:rPr>
                <w:rFonts w:ascii="仿宋" w:hAnsi="仿宋" w:eastAsia="仿宋" w:cs="宋体"/>
                <w:sz w:val="24"/>
              </w:rPr>
            </w:pPr>
            <w:r>
              <w:rPr>
                <w:rFonts w:hint="eastAsia" w:ascii="仿宋" w:hAnsi="仿宋" w:eastAsia="仿宋" w:cs="宋体"/>
                <w:sz w:val="24"/>
              </w:rPr>
              <w:t>3.文明创建持续推进。开展美丽庭院、“莲乡好婆婆”“莲乡好媳妇”等文明评选活动，共评选四星美丽庭院72户，五星美丽庭院7户，宏兴村皇甫玉成家庭荣获“全国最美家庭”赞誉，河口村陈自安家庭获评县级文明家庭，红陶村三名见义勇为村民受到市政法委奖章。开展新时代文明实践活动20余次，深入推进红白喜事简办和殡葬改革。广泛开展群众性文体活动，庆祝建党100周年。</w:t>
            </w:r>
          </w:p>
          <w:p>
            <w:pPr>
              <w:spacing w:line="360" w:lineRule="auto"/>
              <w:ind w:firstLine="480" w:firstLineChars="200"/>
              <w:rPr>
                <w:rFonts w:ascii="仿宋" w:hAnsi="仿宋" w:eastAsia="仿宋" w:cs="宋体"/>
                <w:sz w:val="24"/>
              </w:rPr>
            </w:pPr>
            <w:r>
              <w:rPr>
                <w:rFonts w:hint="eastAsia" w:ascii="仿宋" w:hAnsi="仿宋" w:eastAsia="仿宋" w:cs="宋体"/>
                <w:sz w:val="24"/>
              </w:rPr>
              <w:t>4.重大风险防范有力。扎实有效开展新冠肺炎防控常态化工作，以便民为导向，全面推进疫苗接种工作，落实落细各项疫情防控举措，筑牢联防联控屏障；“7.10”意外溺水事件善后处置迅速果断，多管齐下打好了防溺水攻坚战；全员上岗，积极应对低温雨雪冰冻灾害天气，做到处置突发及时、抢险救援到位、防范风险有力。</w:t>
            </w:r>
          </w:p>
          <w:p>
            <w:pPr>
              <w:spacing w:line="360" w:lineRule="auto"/>
              <w:ind w:firstLine="480" w:firstLineChars="200"/>
              <w:rPr>
                <w:rFonts w:ascii="仿宋" w:hAnsi="仿宋" w:eastAsia="仿宋" w:cs="宋体"/>
                <w:sz w:val="24"/>
              </w:rPr>
            </w:pPr>
            <w:r>
              <w:rPr>
                <w:rFonts w:hint="eastAsia" w:ascii="仿宋" w:hAnsi="仿宋" w:eastAsia="仿宋" w:cs="宋体"/>
                <w:sz w:val="24"/>
              </w:rPr>
              <w:t>五、以提升服务为“执行力”，全面深化队伍建设</w:t>
            </w:r>
          </w:p>
          <w:p>
            <w:pPr>
              <w:spacing w:line="360" w:lineRule="auto"/>
              <w:ind w:firstLine="480" w:firstLineChars="200"/>
              <w:rPr>
                <w:rFonts w:ascii="仿宋" w:hAnsi="仿宋" w:eastAsia="仿宋" w:cs="宋体"/>
                <w:sz w:val="24"/>
              </w:rPr>
            </w:pPr>
            <w:r>
              <w:rPr>
                <w:rFonts w:hint="eastAsia" w:ascii="仿宋" w:hAnsi="仿宋" w:eastAsia="仿宋" w:cs="宋体"/>
                <w:sz w:val="24"/>
              </w:rPr>
              <w:t>1.坚持依法行政。推进行政执法规范化建设，开展法制培训11次，依法开展执法巡查220次，拆除违规搭建1500平方，打击非法电打鱼46次、采沙挖沙10余次；成功劝导野泳群众60余次，全年罚没收入69613元。自觉接受人大、政协监督，认真办理人大代表建议10件，办结率、满意率为100%；领导班子率先垂范，严格执行民主集中制，政府内部议事、决策机制进一步完善；积极开展普法教育，普法通过率100%。</w:t>
            </w:r>
          </w:p>
          <w:p>
            <w:pPr>
              <w:spacing w:line="360" w:lineRule="auto"/>
              <w:ind w:firstLine="480" w:firstLineChars="200"/>
              <w:rPr>
                <w:rFonts w:ascii="仿宋" w:hAnsi="仿宋" w:eastAsia="仿宋" w:cs="宋体"/>
                <w:sz w:val="24"/>
              </w:rPr>
            </w:pPr>
            <w:r>
              <w:rPr>
                <w:rFonts w:hint="eastAsia" w:ascii="仿宋" w:hAnsi="仿宋" w:eastAsia="仿宋" w:cs="宋体"/>
                <w:sz w:val="24"/>
              </w:rPr>
              <w:t>2.提升政务服务。大力推进基层“一门式”公共服务，落实村级生育服务证、老年证、就业创业证的“立马办”，全镇全年办理办结事项6000余件；医保业务参保及异地住院报销业务181人次。村级业务受理事项办理件数4725人次，办结率100%，评价率100%。安排专人维护更新电子政务平台，全年在政府门户网站发布信息111条,共回复“问政湖南”“百姓呼声”等舆情信息26件，12345热线342件，回复率100%，满意率84.3%。</w:t>
            </w:r>
          </w:p>
          <w:p>
            <w:pPr>
              <w:spacing w:line="360" w:lineRule="auto"/>
              <w:ind w:firstLine="480" w:firstLineChars="200"/>
              <w:rPr>
                <w:rFonts w:ascii="仿宋" w:hAnsi="仿宋" w:eastAsia="仿宋" w:cs="宋体"/>
                <w:sz w:val="24"/>
              </w:rPr>
            </w:pPr>
            <w:r>
              <w:rPr>
                <w:rFonts w:hint="eastAsia" w:ascii="仿宋" w:hAnsi="仿宋" w:eastAsia="仿宋" w:cs="宋体"/>
                <w:sz w:val="24"/>
              </w:rPr>
              <w:t>3.深化作风建设。落实党政负责人日常性和中层干部任前廉政谈话制度，坚决查处党员、干部违纪违法案件，全力维护党的机体健康和队伍纯洁。深入开展各类专项整治行动，全年共开展扶贫领域监督11次，“三重一大”事项监督17次，廉政教育79人次，廉政谈话125人次，全年收到案管问题线索12条，党政纪立案12起，给予党内警告处分5人,党内严重警告处分4人，降低岗位等级3人；派驻村级纪检员，监督村级会议235次；落实农村党员发展违规违纪问题排查整顿，完成全镇党员档案送审256册，核查处理四类问题反馈线索17条。</w:t>
            </w:r>
          </w:p>
          <w:p>
            <w:pPr>
              <w:spacing w:line="360" w:lineRule="auto"/>
              <w:ind w:firstLine="480" w:firstLineChars="200"/>
              <w:rPr>
                <w:rFonts w:ascii="仿宋" w:hAnsi="仿宋" w:eastAsia="仿宋" w:cs="宋体"/>
                <w:sz w:val="24"/>
              </w:rPr>
            </w:pPr>
          </w:p>
          <w:p>
            <w:pPr>
              <w:spacing w:line="360" w:lineRule="auto"/>
              <w:ind w:firstLine="480" w:firstLineChars="200"/>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存在的问题分析及改进措施</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存在的问题</w:t>
            </w:r>
          </w:p>
        </w:tc>
        <w:tc>
          <w:tcPr>
            <w:tcW w:w="6666" w:type="dxa"/>
            <w:tcBorders>
              <w:bottom w:val="single" w:color="auto" w:sz="4" w:space="0"/>
            </w:tcBorders>
            <w:vAlign w:val="center"/>
          </w:tcPr>
          <w:p>
            <w:pPr>
              <w:spacing w:line="360" w:lineRule="auto"/>
              <w:ind w:firstLine="480" w:firstLineChars="200"/>
              <w:rPr>
                <w:rFonts w:ascii="仿宋" w:hAnsi="仿宋" w:eastAsia="仿宋" w:cs="宋体"/>
                <w:sz w:val="24"/>
              </w:rPr>
            </w:pPr>
            <w:r>
              <w:rPr>
                <w:rFonts w:ascii="仿宋" w:hAnsi="仿宋" w:eastAsia="仿宋" w:cs="宋体"/>
                <w:sz w:val="24"/>
              </w:rPr>
              <w:t>1</w:t>
            </w:r>
            <w:r>
              <w:rPr>
                <w:rFonts w:hint="eastAsia" w:ascii="仿宋" w:hAnsi="仿宋" w:eastAsia="仿宋" w:cs="宋体"/>
                <w:sz w:val="24"/>
              </w:rPr>
              <w:t>、乡镇专项资金难以预计，且难以估计来源渠道。</w:t>
            </w:r>
          </w:p>
          <w:p>
            <w:pPr>
              <w:spacing w:line="360" w:lineRule="auto"/>
              <w:ind w:firstLine="480" w:firstLineChars="200"/>
              <w:rPr>
                <w:rFonts w:ascii="仿宋" w:hAnsi="仿宋" w:eastAsia="仿宋" w:cs="宋体"/>
                <w:sz w:val="24"/>
              </w:rPr>
            </w:pPr>
            <w:r>
              <w:rPr>
                <w:rFonts w:ascii="仿宋" w:hAnsi="仿宋" w:eastAsia="仿宋" w:cs="宋体"/>
                <w:sz w:val="24"/>
              </w:rPr>
              <w:t>2</w:t>
            </w:r>
            <w:r>
              <w:rPr>
                <w:rFonts w:hint="eastAsia" w:ascii="仿宋" w:hAnsi="仿宋" w:eastAsia="仿宋" w:cs="宋体"/>
                <w:sz w:val="24"/>
              </w:rPr>
              <w:t>、预算指标下达不及时，造成实际支出与预算不匹配。</w:t>
            </w:r>
          </w:p>
          <w:p>
            <w:pPr>
              <w:spacing w:line="360" w:lineRule="auto"/>
              <w:ind w:firstLine="480" w:firstLineChars="200"/>
              <w:rPr>
                <w:rFonts w:ascii="仿宋" w:hAnsi="仿宋" w:eastAsia="仿宋" w:cs="宋体"/>
                <w:sz w:val="24"/>
              </w:rPr>
            </w:pPr>
            <w:r>
              <w:rPr>
                <w:rFonts w:ascii="仿宋" w:hAnsi="仿宋" w:eastAsia="仿宋" w:cs="宋体"/>
                <w:sz w:val="24"/>
              </w:rPr>
              <w:t>3</w:t>
            </w:r>
            <w:r>
              <w:rPr>
                <w:rFonts w:hint="eastAsia" w:ascii="仿宋" w:hAnsi="仿宋" w:eastAsia="仿宋" w:cs="宋体"/>
                <w:sz w:val="24"/>
              </w:rPr>
              <w:t>、体制基数与财政总预算支出不匹配。</w:t>
            </w:r>
          </w:p>
          <w:p>
            <w:pPr>
              <w:adjustRightInd w:val="0"/>
              <w:spacing w:line="360" w:lineRule="auto"/>
              <w:ind w:firstLine="480" w:firstLineChars="200"/>
              <w:textAlignment w:val="baseline"/>
              <w:rPr>
                <w:rFonts w:ascii="仿宋" w:hAnsi="仿宋" w:eastAsia="仿宋" w:cs="宋体"/>
                <w:sz w:val="24"/>
              </w:rPr>
            </w:pPr>
            <w:r>
              <w:rPr>
                <w:rFonts w:ascii="仿宋" w:hAnsi="仿宋" w:eastAsia="仿宋" w:cs="宋体"/>
                <w:sz w:val="24"/>
              </w:rPr>
              <w:t>4</w:t>
            </w:r>
            <w:r>
              <w:rPr>
                <w:rFonts w:hint="eastAsia" w:ascii="仿宋" w:hAnsi="仿宋" w:eastAsia="仿宋" w:cs="宋体"/>
                <w:sz w:val="24"/>
              </w:rPr>
              <w:t>、乡镇具体工作存在不确定性，导致预算编制与实际执行有差异。</w:t>
            </w:r>
          </w:p>
          <w:p>
            <w:pPr>
              <w:spacing w:line="360" w:lineRule="auto"/>
              <w:ind w:firstLine="480" w:firstLineChars="200"/>
              <w:rPr>
                <w:rFonts w:ascii="仿宋" w:hAnsi="仿宋" w:eastAsia="仿宋" w:cs="宋体"/>
                <w:sz w:val="24"/>
              </w:rPr>
            </w:pPr>
            <w:r>
              <w:rPr>
                <w:rFonts w:ascii="仿宋" w:hAnsi="仿宋" w:eastAsia="仿宋" w:cs="宋体"/>
                <w:sz w:val="24"/>
              </w:rPr>
              <w:t>5</w:t>
            </w:r>
            <w:r>
              <w:rPr>
                <w:rFonts w:hint="eastAsia" w:ascii="仿宋" w:hAnsi="仿宋" w:eastAsia="仿宋" w:cs="宋体"/>
                <w:sz w:val="24"/>
              </w:rPr>
              <w:t>、财政收支矛盾突出，我镇作为城关镇，城市管理、信访维稳、社区管理、民生保障等支出逐年增大。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4" w:hRule="exact"/>
          <w:jc w:val="center"/>
        </w:trPr>
        <w:tc>
          <w:tcPr>
            <w:tcW w:w="1384" w:type="dxa"/>
            <w:vMerge w:val="continue"/>
          </w:tcPr>
          <w:p>
            <w:pPr>
              <w:spacing w:line="576" w:lineRule="exact"/>
              <w:jc w:val="center"/>
              <w:rPr>
                <w:rFonts w:ascii="仿宋" w:hAnsi="仿宋" w:eastAsia="仿宋" w:cs="宋体"/>
                <w:sz w:val="24"/>
              </w:rPr>
            </w:pPr>
          </w:p>
        </w:tc>
        <w:tc>
          <w:tcPr>
            <w:tcW w:w="1985" w:type="dxa"/>
            <w:tcBorders>
              <w:right w:val="single" w:color="auto" w:sz="4" w:space="0"/>
            </w:tcBorders>
            <w:vAlign w:val="center"/>
          </w:tcPr>
          <w:p>
            <w:pPr>
              <w:spacing w:line="576" w:lineRule="exact"/>
              <w:jc w:val="center"/>
              <w:rPr>
                <w:rFonts w:ascii="仿宋" w:hAnsi="仿宋" w:eastAsia="仿宋" w:cs="宋体"/>
                <w:sz w:val="24"/>
              </w:rPr>
            </w:pPr>
            <w:r>
              <w:rPr>
                <w:rFonts w:hint="eastAsia" w:ascii="仿宋" w:hAnsi="仿宋" w:eastAsia="仿宋" w:cs="宋体"/>
                <w:sz w:val="24"/>
              </w:rPr>
              <w:t>改进措施</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1、按照预算单位实际情况做足预算，减少非政策性预算调整。</w:t>
            </w:r>
          </w:p>
          <w:p>
            <w:pPr>
              <w:spacing w:line="360" w:lineRule="auto"/>
              <w:ind w:firstLine="480" w:firstLineChars="200"/>
              <w:rPr>
                <w:rFonts w:ascii="仿宋" w:hAnsi="仿宋" w:eastAsia="仿宋" w:cs="宋体"/>
                <w:sz w:val="24"/>
              </w:rPr>
            </w:pPr>
            <w:r>
              <w:rPr>
                <w:rFonts w:hint="eastAsia" w:ascii="仿宋" w:hAnsi="仿宋" w:eastAsia="仿宋" w:cs="宋体"/>
                <w:sz w:val="24"/>
              </w:rPr>
              <w:t>2、公用经费定额管理需待代完善。</w:t>
            </w:r>
          </w:p>
          <w:p>
            <w:pPr>
              <w:spacing w:line="360" w:lineRule="auto"/>
              <w:ind w:firstLine="480" w:firstLineChars="200"/>
              <w:rPr>
                <w:rFonts w:ascii="仿宋" w:hAnsi="仿宋" w:eastAsia="仿宋" w:cs="宋体"/>
                <w:sz w:val="24"/>
              </w:rPr>
            </w:pPr>
            <w:r>
              <w:rPr>
                <w:rFonts w:hint="eastAsia" w:ascii="仿宋" w:hAnsi="仿宋" w:eastAsia="仿宋" w:cs="宋体"/>
                <w:sz w:val="24"/>
              </w:rPr>
              <w:t>3、乡镇专项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 w:hAnsi="仿宋" w:eastAsia="仿宋" w:cs="宋体"/>
                <w:sz w:val="24"/>
              </w:rPr>
            </w:pPr>
          </w:p>
        </w:tc>
        <w:tc>
          <w:tcPr>
            <w:tcW w:w="1985" w:type="dxa"/>
            <w:tcBorders>
              <w:right w:val="single" w:color="auto" w:sz="4" w:space="0"/>
            </w:tcBorders>
            <w:vAlign w:val="center"/>
          </w:tcPr>
          <w:p>
            <w:pPr>
              <w:spacing w:line="576" w:lineRule="exact"/>
              <w:jc w:val="center"/>
              <w:rPr>
                <w:rFonts w:ascii="仿宋" w:hAnsi="仿宋" w:eastAsia="仿宋" w:cs="宋体"/>
                <w:sz w:val="24"/>
              </w:rPr>
            </w:pPr>
            <w:r>
              <w:rPr>
                <w:rFonts w:hint="eastAsia" w:ascii="仿宋" w:hAnsi="仿宋" w:eastAsia="仿宋" w:cs="宋体"/>
                <w:sz w:val="24"/>
              </w:rPr>
              <w:t>其他需要说明问题</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1、因乡镇人员安排全部由县里统一安排，乡镇无权安排，造成乡镇财政供养人员控制率过高。</w:t>
            </w:r>
          </w:p>
          <w:p>
            <w:pPr>
              <w:spacing w:line="360" w:lineRule="auto"/>
              <w:ind w:firstLine="480" w:firstLineChars="200"/>
              <w:rPr>
                <w:rFonts w:ascii="仿宋" w:hAnsi="仿宋" w:eastAsia="仿宋" w:cs="宋体"/>
                <w:sz w:val="24"/>
              </w:rPr>
            </w:pPr>
            <w:r>
              <w:rPr>
                <w:rFonts w:hint="eastAsia" w:ascii="仿宋" w:hAnsi="仿宋" w:eastAsia="仿宋" w:cs="宋体"/>
                <w:sz w:val="24"/>
              </w:rPr>
              <w:t>2、</w:t>
            </w:r>
            <w:r>
              <w:rPr>
                <w:rFonts w:ascii="仿宋" w:hAnsi="仿宋" w:eastAsia="仿宋" w:cs="宋体"/>
                <w:sz w:val="24"/>
              </w:rPr>
              <w:t>是农村地区基础设施比较薄弱，水、电、路等基础设施还需进一步完善</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r>
              <w:rPr>
                <w:rFonts w:hint="eastAsia" w:ascii="仿宋" w:hAnsi="仿宋" w:eastAsia="仿宋" w:cs="宋体"/>
                <w:sz w:val="24"/>
              </w:rPr>
              <w:t>3、</w:t>
            </w:r>
            <w:r>
              <w:rPr>
                <w:rFonts w:ascii="仿宋" w:hAnsi="仿宋" w:eastAsia="仿宋" w:cs="宋体"/>
                <w:sz w:val="24"/>
              </w:rPr>
              <w:t xml:space="preserve">全镇信访压力比较突出，民生诉求多元、社会矛盾交织，社会治理任重道远； </w:t>
            </w:r>
          </w:p>
          <w:p>
            <w:pPr>
              <w:spacing w:line="360" w:lineRule="auto"/>
              <w:ind w:firstLine="480" w:firstLineChars="200"/>
              <w:rPr>
                <w:rFonts w:ascii="仿宋" w:hAnsi="仿宋" w:eastAsia="仿宋" w:cs="宋体"/>
                <w:sz w:val="24"/>
              </w:rPr>
            </w:pPr>
            <w:r>
              <w:rPr>
                <w:rFonts w:hint="eastAsia" w:ascii="仿宋" w:hAnsi="仿宋" w:eastAsia="仿宋" w:cs="宋体"/>
                <w:sz w:val="24"/>
              </w:rPr>
              <w:t>4、</w:t>
            </w:r>
            <w:r>
              <w:rPr>
                <w:rFonts w:ascii="仿宋" w:hAnsi="仿宋" w:eastAsia="仿宋" w:cs="宋体"/>
                <w:sz w:val="24"/>
              </w:rPr>
              <w:t>城区社区管理有待优化，亟需建立有效的常态机制</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p>
        </w:tc>
      </w:tr>
    </w:tbl>
    <w:p>
      <w:pPr>
        <w:rPr>
          <w:rFonts w:ascii="仿宋" w:hAnsi="仿宋" w:eastAsia="仿宋"/>
        </w:rPr>
      </w:pPr>
    </w:p>
    <w:p>
      <w:pPr>
        <w:jc w:val="left"/>
        <w:rPr>
          <w:rFonts w:ascii="宋体" w:cs="Times New Roman"/>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E17582"/>
    <w:multiLevelType w:val="singleLevel"/>
    <w:tmpl w:val="1BE17582"/>
    <w:lvl w:ilvl="0" w:tentative="0">
      <w:start w:val="13"/>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1NTRhOTFlYjMzZTRiNTYzYjdlYzQ5M2I0MTY5ODc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11504A7"/>
    <w:rsid w:val="014C27CC"/>
    <w:rsid w:val="018614E2"/>
    <w:rsid w:val="027C5214"/>
    <w:rsid w:val="028F6E49"/>
    <w:rsid w:val="02AE1B8E"/>
    <w:rsid w:val="02E76D69"/>
    <w:rsid w:val="03B21BF1"/>
    <w:rsid w:val="06101C58"/>
    <w:rsid w:val="06B37672"/>
    <w:rsid w:val="08AC6127"/>
    <w:rsid w:val="098578E1"/>
    <w:rsid w:val="0A8E4E72"/>
    <w:rsid w:val="0AD3655E"/>
    <w:rsid w:val="0B0F319A"/>
    <w:rsid w:val="0CBE6723"/>
    <w:rsid w:val="0CCB7FB1"/>
    <w:rsid w:val="0D315B40"/>
    <w:rsid w:val="0D474670"/>
    <w:rsid w:val="0DCD726B"/>
    <w:rsid w:val="0F33172D"/>
    <w:rsid w:val="0FF44989"/>
    <w:rsid w:val="10967755"/>
    <w:rsid w:val="112F445D"/>
    <w:rsid w:val="11CE710E"/>
    <w:rsid w:val="11D71831"/>
    <w:rsid w:val="124E765D"/>
    <w:rsid w:val="12A53D68"/>
    <w:rsid w:val="135160CC"/>
    <w:rsid w:val="14141BA3"/>
    <w:rsid w:val="14684A64"/>
    <w:rsid w:val="154E70AE"/>
    <w:rsid w:val="156C1118"/>
    <w:rsid w:val="15C31904"/>
    <w:rsid w:val="163D0024"/>
    <w:rsid w:val="1784297D"/>
    <w:rsid w:val="17A94258"/>
    <w:rsid w:val="18410A13"/>
    <w:rsid w:val="18C16EF3"/>
    <w:rsid w:val="197D7485"/>
    <w:rsid w:val="198D6A4F"/>
    <w:rsid w:val="1A5349C5"/>
    <w:rsid w:val="1A5F3B75"/>
    <w:rsid w:val="1BAE07CA"/>
    <w:rsid w:val="1C31251A"/>
    <w:rsid w:val="1D1D4003"/>
    <w:rsid w:val="1DA33A01"/>
    <w:rsid w:val="1DCD2D51"/>
    <w:rsid w:val="1E0265CC"/>
    <w:rsid w:val="1ED0731C"/>
    <w:rsid w:val="1F183A5F"/>
    <w:rsid w:val="1F915C7E"/>
    <w:rsid w:val="1FB104BE"/>
    <w:rsid w:val="20411657"/>
    <w:rsid w:val="20CE7B22"/>
    <w:rsid w:val="216C198C"/>
    <w:rsid w:val="22DC0838"/>
    <w:rsid w:val="23AC308C"/>
    <w:rsid w:val="25561B98"/>
    <w:rsid w:val="2608043C"/>
    <w:rsid w:val="27F118CD"/>
    <w:rsid w:val="284E65ED"/>
    <w:rsid w:val="2927315F"/>
    <w:rsid w:val="29F745B7"/>
    <w:rsid w:val="2ADD2863"/>
    <w:rsid w:val="2AF510F1"/>
    <w:rsid w:val="2B0D5850"/>
    <w:rsid w:val="2BCC163A"/>
    <w:rsid w:val="2C4A1F29"/>
    <w:rsid w:val="2C6729B6"/>
    <w:rsid w:val="2DEE67B9"/>
    <w:rsid w:val="2ECC080E"/>
    <w:rsid w:val="2F250AAF"/>
    <w:rsid w:val="2F355C8E"/>
    <w:rsid w:val="2F683877"/>
    <w:rsid w:val="30A457B2"/>
    <w:rsid w:val="30B42642"/>
    <w:rsid w:val="3124429C"/>
    <w:rsid w:val="31AB028C"/>
    <w:rsid w:val="31C61972"/>
    <w:rsid w:val="31CD5F3F"/>
    <w:rsid w:val="323D48BA"/>
    <w:rsid w:val="32F539B2"/>
    <w:rsid w:val="36DD6ED4"/>
    <w:rsid w:val="37BC3AC5"/>
    <w:rsid w:val="38000E5B"/>
    <w:rsid w:val="382F44FB"/>
    <w:rsid w:val="385B43AF"/>
    <w:rsid w:val="38EA0D10"/>
    <w:rsid w:val="39132A95"/>
    <w:rsid w:val="3A505044"/>
    <w:rsid w:val="3B8F4DC1"/>
    <w:rsid w:val="3BF41478"/>
    <w:rsid w:val="3C4F1A59"/>
    <w:rsid w:val="3CB11738"/>
    <w:rsid w:val="3DAA6DEC"/>
    <w:rsid w:val="3EF31009"/>
    <w:rsid w:val="41132A6E"/>
    <w:rsid w:val="4157042E"/>
    <w:rsid w:val="418F73BE"/>
    <w:rsid w:val="41981026"/>
    <w:rsid w:val="427471EE"/>
    <w:rsid w:val="42797335"/>
    <w:rsid w:val="435140E5"/>
    <w:rsid w:val="438F25E2"/>
    <w:rsid w:val="44292F78"/>
    <w:rsid w:val="44581571"/>
    <w:rsid w:val="44EB58E1"/>
    <w:rsid w:val="45A32329"/>
    <w:rsid w:val="46756350"/>
    <w:rsid w:val="47476709"/>
    <w:rsid w:val="474B2221"/>
    <w:rsid w:val="475D556B"/>
    <w:rsid w:val="47C36A0E"/>
    <w:rsid w:val="48B60321"/>
    <w:rsid w:val="497A278E"/>
    <w:rsid w:val="49B370A7"/>
    <w:rsid w:val="49BC1967"/>
    <w:rsid w:val="4AAC2CD7"/>
    <w:rsid w:val="4AD00DD8"/>
    <w:rsid w:val="4AE82C13"/>
    <w:rsid w:val="4BA869D5"/>
    <w:rsid w:val="4C263E3E"/>
    <w:rsid w:val="4C4E3B8D"/>
    <w:rsid w:val="4D960A04"/>
    <w:rsid w:val="4F8D3B03"/>
    <w:rsid w:val="502E1DA6"/>
    <w:rsid w:val="50662296"/>
    <w:rsid w:val="51021967"/>
    <w:rsid w:val="51283D83"/>
    <w:rsid w:val="51F55A16"/>
    <w:rsid w:val="51FB6915"/>
    <w:rsid w:val="52046052"/>
    <w:rsid w:val="52A23E03"/>
    <w:rsid w:val="52B633F7"/>
    <w:rsid w:val="533057DD"/>
    <w:rsid w:val="537A0F01"/>
    <w:rsid w:val="54751090"/>
    <w:rsid w:val="54EB4EAE"/>
    <w:rsid w:val="551F163C"/>
    <w:rsid w:val="556B1A0F"/>
    <w:rsid w:val="55F7069C"/>
    <w:rsid w:val="56424565"/>
    <w:rsid w:val="576E1A54"/>
    <w:rsid w:val="57F10EA3"/>
    <w:rsid w:val="57FF79E1"/>
    <w:rsid w:val="5856312C"/>
    <w:rsid w:val="58D00F8B"/>
    <w:rsid w:val="5A920684"/>
    <w:rsid w:val="5B317ABF"/>
    <w:rsid w:val="5C133D8D"/>
    <w:rsid w:val="5E5A37D0"/>
    <w:rsid w:val="5EC107EB"/>
    <w:rsid w:val="5EE219EC"/>
    <w:rsid w:val="5F2525D5"/>
    <w:rsid w:val="60373FCC"/>
    <w:rsid w:val="608D71FE"/>
    <w:rsid w:val="620C6371"/>
    <w:rsid w:val="62217F0A"/>
    <w:rsid w:val="62D617CF"/>
    <w:rsid w:val="62E3005A"/>
    <w:rsid w:val="63657CFF"/>
    <w:rsid w:val="636D3240"/>
    <w:rsid w:val="6375739A"/>
    <w:rsid w:val="637F3391"/>
    <w:rsid w:val="63954E6E"/>
    <w:rsid w:val="63F971D1"/>
    <w:rsid w:val="644C1AA2"/>
    <w:rsid w:val="64E93BEE"/>
    <w:rsid w:val="64F422BE"/>
    <w:rsid w:val="65405E30"/>
    <w:rsid w:val="65445244"/>
    <w:rsid w:val="65474383"/>
    <w:rsid w:val="654E63DB"/>
    <w:rsid w:val="663A199C"/>
    <w:rsid w:val="66AC1CAB"/>
    <w:rsid w:val="66B76CAD"/>
    <w:rsid w:val="67772EE0"/>
    <w:rsid w:val="67995DE5"/>
    <w:rsid w:val="67A11A0F"/>
    <w:rsid w:val="68B97582"/>
    <w:rsid w:val="68F4768C"/>
    <w:rsid w:val="6911327A"/>
    <w:rsid w:val="69BD5CAE"/>
    <w:rsid w:val="6B06502A"/>
    <w:rsid w:val="6B2A021D"/>
    <w:rsid w:val="6B6F7227"/>
    <w:rsid w:val="6BB16924"/>
    <w:rsid w:val="6BD663EF"/>
    <w:rsid w:val="6C4447DA"/>
    <w:rsid w:val="6D290903"/>
    <w:rsid w:val="6D337B8D"/>
    <w:rsid w:val="6D9D447C"/>
    <w:rsid w:val="6E09513B"/>
    <w:rsid w:val="6E0A3446"/>
    <w:rsid w:val="6E614F55"/>
    <w:rsid w:val="6EF17948"/>
    <w:rsid w:val="6FD570F1"/>
    <w:rsid w:val="70BD438E"/>
    <w:rsid w:val="714448E2"/>
    <w:rsid w:val="717209D9"/>
    <w:rsid w:val="71D84BCE"/>
    <w:rsid w:val="727A2170"/>
    <w:rsid w:val="74103540"/>
    <w:rsid w:val="75740158"/>
    <w:rsid w:val="760C64EA"/>
    <w:rsid w:val="762E4A80"/>
    <w:rsid w:val="76C51E30"/>
    <w:rsid w:val="79986B03"/>
    <w:rsid w:val="79C766C2"/>
    <w:rsid w:val="79CA05AE"/>
    <w:rsid w:val="7A6D6A0F"/>
    <w:rsid w:val="7BB01098"/>
    <w:rsid w:val="7BB70AB6"/>
    <w:rsid w:val="7CD448F4"/>
    <w:rsid w:val="7CE13AD7"/>
    <w:rsid w:val="7D1C2A2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unhideWhenUsed/>
    <w:qFormat/>
    <w:uiPriority w:val="99"/>
    <w:tblPr>
      <w:tblCellMar>
        <w:top w:w="0" w:type="dxa"/>
        <w:left w:w="108" w:type="dxa"/>
        <w:bottom w:w="0" w:type="dxa"/>
        <w:right w:w="108" w:type="dxa"/>
      </w:tblCellMar>
    </w:tblPr>
  </w:style>
  <w:style w:type="paragraph" w:customStyle="1" w:styleId="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Balloon Text"/>
    <w:basedOn w:val="1"/>
    <w:link w:val="14"/>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Hyperlink"/>
    <w:basedOn w:val="8"/>
    <w:qFormat/>
    <w:uiPriority w:val="0"/>
    <w:rPr>
      <w:color w:val="0000FF" w:themeColor="hyperlink"/>
      <w:u w:val="single"/>
      <w14:textFill>
        <w14:solidFill>
          <w14:schemeClr w14:val="hlink"/>
        </w14:solidFill>
      </w14:textFill>
    </w:rPr>
  </w:style>
  <w:style w:type="character" w:customStyle="1" w:styleId="10">
    <w:name w:val="Header Char"/>
    <w:basedOn w:val="8"/>
    <w:link w:val="5"/>
    <w:qFormat/>
    <w:locked/>
    <w:uiPriority w:val="99"/>
    <w:rPr>
      <w:sz w:val="18"/>
      <w:szCs w:val="18"/>
    </w:rPr>
  </w:style>
  <w:style w:type="character" w:customStyle="1" w:styleId="11">
    <w:name w:val="Footer Char"/>
    <w:basedOn w:val="8"/>
    <w:link w:val="4"/>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13">
    <w:name w:val="List Paragraph"/>
    <w:basedOn w:val="1"/>
    <w:qFormat/>
    <w:uiPriority w:val="99"/>
    <w:pPr>
      <w:ind w:firstLine="420" w:firstLineChars="200"/>
    </w:pPr>
  </w:style>
  <w:style w:type="character" w:customStyle="1" w:styleId="14">
    <w:name w:val="Balloon Text Char"/>
    <w:basedOn w:val="8"/>
    <w:link w:val="3"/>
    <w:semiHidden/>
    <w:qFormat/>
    <w:locked/>
    <w:uiPriority w:val="99"/>
    <w:rPr>
      <w:sz w:val="18"/>
      <w:szCs w:val="18"/>
    </w:rPr>
  </w:style>
  <w:style w:type="paragraph" w:customStyle="1" w:styleId="15">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46</Pages>
  <Words>18457</Words>
  <Characters>25447</Characters>
  <Lines>0</Lines>
  <Paragraphs>0</Paragraphs>
  <TotalTime>2</TotalTime>
  <ScaleCrop>false</ScaleCrop>
  <LinksUpToDate>false</LinksUpToDate>
  <CharactersWithSpaces>25921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文有根</cp:lastModifiedBy>
  <cp:lastPrinted>2022-06-27T04:33:00Z</cp:lastPrinted>
  <dcterms:modified xsi:type="dcterms:W3CDTF">2022-08-04T01:06:16Z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2052-11.1.0.11875</vt:lpwstr>
  </property>
  <property fmtid="{D5CDD505-2E9C-101B-9397-08002B2CF9AE}" pid="4" name="ICV">
    <vt:lpwstr>4C137A16D70A4D80A57E7A5BF39460D1</vt:lpwstr>
  </property>
</Properties>
</file>