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hint="eastAsia" w:ascii="宋体" w:hAnsi="宋体" w:cs="方正小标宋_GBK" w:eastAsiaTheme="minorEastAsia"/>
          <w:b/>
          <w:bCs/>
          <w:sz w:val="36"/>
          <w:szCs w:val="36"/>
          <w:lang w:eastAsia="zh-CN"/>
        </w:rPr>
      </w:pPr>
      <w:r>
        <w:rPr>
          <w:rFonts w:hint="eastAsia" w:ascii="宋体" w:hAnsi="宋体" w:cs="方正小标宋_GBK"/>
          <w:b/>
          <w:bCs/>
          <w:sz w:val="36"/>
          <w:szCs w:val="36"/>
        </w:rPr>
        <w:t>湘潭县</w:t>
      </w:r>
      <w:r>
        <w:rPr>
          <w:rFonts w:hint="eastAsia" w:ascii="宋体" w:hAnsi="宋体" w:cs="方正小标宋_GBK"/>
          <w:b/>
          <w:bCs/>
          <w:sz w:val="36"/>
          <w:szCs w:val="36"/>
          <w:lang w:eastAsia="zh-CN"/>
        </w:rPr>
        <w:t>行政审批服务局</w:t>
      </w:r>
    </w:p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  <w:r>
        <w:rPr>
          <w:rFonts w:hint="eastAsia" w:ascii="宋体" w:hAnsi="宋体" w:cs="方正小标宋_GBK"/>
          <w:b/>
          <w:bCs/>
          <w:sz w:val="36"/>
          <w:szCs w:val="36"/>
        </w:rPr>
        <w:t>部门整体支出绩效评价报告</w:t>
      </w:r>
    </w:p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bCs/>
          <w:sz w:val="36"/>
          <w:szCs w:val="36"/>
        </w:rPr>
      </w:pPr>
    </w:p>
    <w:tbl>
      <w:tblPr>
        <w:tblStyle w:val="4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单位名称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湘潭县行政审批服务局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ascii="仿宋_GB2312" w:hAnsi="宋体" w:eastAsia="仿宋_GB2312" w:cs="宋体"/>
                <w:szCs w:val="21"/>
              </w:rPr>
              <w:t>1078</w:t>
            </w:r>
            <w:r>
              <w:rPr>
                <w:rFonts w:hint="eastAsia" w:ascii="仿宋_GB2312" w:hAnsi="宋体" w:eastAsia="仿宋_GB2312" w:cs="宋体"/>
                <w:szCs w:val="21"/>
              </w:rPr>
              <w:t>.</w:t>
            </w:r>
            <w:r>
              <w:rPr>
                <w:rFonts w:ascii="仿宋_GB2312" w:hAnsi="宋体" w:eastAsia="仿宋_GB2312" w:cs="宋体"/>
                <w:szCs w:val="21"/>
              </w:rPr>
              <w:t>44</w:t>
            </w:r>
            <w:r>
              <w:rPr>
                <w:rFonts w:hint="eastAsia" w:ascii="仿宋_GB2312" w:hAnsi="宋体" w:eastAsia="仿宋_GB2312" w:cs="宋体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主管部门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单位基本职能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（一）负责组织拟订全县行政审批制度改革、政务公开协调、政务服务、电子政务管理、县长热线管理相关政策，制定、起草有关规定、制度和管理办法，并组织实施。对县直单位和乡镇进行业务指导。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二）负责指导、协调、推进全县行政审批制度改革工作，承担协调指导全县“放管服”改革的日常工作。负责统筹推进全县审批服务便民化改革，负责指导、协调、监督全县三级政务服务体系和政务服务标准化建设。牵头组织规范全县行政审批和政务服务行为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三）负责推进、指导、协调、监督全县政务公开（政府信息公开、办事公开）工作，并负责县政府的政府信息公开的日常工作。负责全县政府网站建设管理工作，承担县政府门户网站主办职责，统筹规划、监督全县政府系统网站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（四）统筹推进、协调、监督全县政府系统电子政务、“互联网+政务服务”、政务数据资源体系建设与管理工作。</w:t>
            </w:r>
          </w:p>
          <w:p>
            <w:pPr>
              <w:spacing w:line="576" w:lineRule="exact"/>
              <w:ind w:right="-6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（五）统筹推进县长热线和“县长信箱”工作。负责市民通过县长热线向县政府进行的咨询建议、投诉、求助等事项的处理。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（六）完成县委、县人民政府交办的其他任务。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绩效完成情况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部门整体支出管理和使用基本情况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20</w:t>
            </w:r>
            <w:r>
              <w:rPr>
                <w:rFonts w:ascii="仿宋_GB2312" w:hAnsi="宋体" w:eastAsia="仿宋_GB2312" w:cs="宋体"/>
                <w:szCs w:val="21"/>
              </w:rPr>
              <w:t>20</w:t>
            </w:r>
            <w:r>
              <w:rPr>
                <w:rFonts w:hint="eastAsia" w:ascii="仿宋_GB2312" w:hAnsi="宋体" w:eastAsia="仿宋_GB2312" w:cs="宋体"/>
                <w:szCs w:val="21"/>
              </w:rPr>
              <w:t>年度，我单位年度预算收入总计</w:t>
            </w:r>
            <w:r>
              <w:rPr>
                <w:rFonts w:ascii="仿宋_GB2312" w:hAnsi="宋体" w:eastAsia="仿宋_GB2312" w:cs="宋体"/>
                <w:szCs w:val="21"/>
              </w:rPr>
              <w:t>1386.23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万元，其中年初预算批复</w:t>
            </w:r>
            <w:r>
              <w:rPr>
                <w:rFonts w:ascii="仿宋_GB2312" w:hAnsi="宋体" w:eastAsia="仿宋_GB2312" w:cs="宋体"/>
                <w:szCs w:val="21"/>
              </w:rPr>
              <w:t>1078.44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万元，全年追加</w:t>
            </w:r>
            <w:r>
              <w:rPr>
                <w:rFonts w:ascii="仿宋_GB2312" w:hAnsi="宋体" w:eastAsia="仿宋_GB2312" w:cs="宋体"/>
                <w:szCs w:val="21"/>
              </w:rPr>
              <w:t>292.79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万元，支出总额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为1</w:t>
            </w:r>
            <w:r>
              <w:rPr>
                <w:rFonts w:ascii="仿宋_GB2312" w:hAnsi="宋体" w:eastAsia="仿宋_GB2312" w:cs="宋体"/>
                <w:szCs w:val="21"/>
              </w:rPr>
              <w:t>113.83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万元（其中基本支出</w:t>
            </w:r>
            <w:r>
              <w:rPr>
                <w:rFonts w:ascii="仿宋_GB2312" w:hAnsi="宋体" w:eastAsia="仿宋_GB2312" w:cs="宋体"/>
                <w:szCs w:val="21"/>
              </w:rPr>
              <w:t>246.97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万元，项目支出</w:t>
            </w:r>
            <w:r>
              <w:rPr>
                <w:rFonts w:ascii="仿宋_GB2312" w:hAnsi="宋体" w:eastAsia="仿宋_GB2312" w:cs="宋体"/>
                <w:szCs w:val="21"/>
              </w:rPr>
              <w:t>866.86</w:t>
            </w:r>
            <w:r>
              <w:rPr>
                <w:rFonts w:hint="eastAsia" w:ascii="仿宋_GB2312" w:hAnsi="宋体" w:eastAsia="仿宋_GB2312" w:cs="宋体"/>
                <w:szCs w:val="21"/>
              </w:rPr>
              <w:t>万元），201</w:t>
            </w:r>
            <w:r>
              <w:rPr>
                <w:rFonts w:ascii="仿宋_GB2312" w:hAnsi="宋体" w:eastAsia="仿宋_GB2312" w:cs="宋体"/>
                <w:szCs w:val="21"/>
              </w:rPr>
              <w:t>9</w:t>
            </w:r>
            <w:r>
              <w:rPr>
                <w:rFonts w:hint="eastAsia" w:ascii="仿宋_GB2312" w:hAnsi="宋体" w:eastAsia="仿宋_GB2312" w:cs="宋体"/>
                <w:szCs w:val="21"/>
              </w:rPr>
              <w:t>年度结余</w:t>
            </w:r>
            <w:r>
              <w:rPr>
                <w:rFonts w:ascii="仿宋_GB2312" w:hAnsi="宋体" w:eastAsia="仿宋_GB2312" w:cs="宋体"/>
                <w:szCs w:val="21"/>
              </w:rPr>
              <w:t>1.04</w:t>
            </w:r>
            <w:r>
              <w:rPr>
                <w:rFonts w:hint="eastAsia" w:ascii="仿宋_GB2312" w:hAnsi="宋体" w:eastAsia="仿宋_GB2312" w:cs="宋体"/>
                <w:szCs w:val="21"/>
              </w:rPr>
              <w:t>元，本年度结余资金为2</w:t>
            </w:r>
            <w:r>
              <w:rPr>
                <w:rFonts w:ascii="仿宋_GB2312" w:hAnsi="宋体" w:eastAsia="仿宋_GB2312" w:cs="宋体"/>
                <w:szCs w:val="21"/>
              </w:rPr>
              <w:t>73.44</w:t>
            </w:r>
            <w:r>
              <w:rPr>
                <w:rFonts w:hint="eastAsia" w:ascii="仿宋_GB2312" w:hAnsi="宋体" w:eastAsia="仿宋_GB2312" w:cs="宋体"/>
                <w:szCs w:val="21"/>
              </w:rPr>
              <w:t>万元。</w:t>
            </w:r>
          </w:p>
          <w:p>
            <w:pPr>
              <w:spacing w:line="576" w:lineRule="exact"/>
              <w:ind w:right="-6" w:firstLine="420" w:firstLineChars="2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20</w:t>
            </w:r>
            <w:r>
              <w:rPr>
                <w:rFonts w:ascii="仿宋_GB2312" w:hAnsi="宋体" w:eastAsia="仿宋_GB2312" w:cs="宋体"/>
                <w:szCs w:val="21"/>
              </w:rPr>
              <w:t>20</w:t>
            </w:r>
            <w:r>
              <w:rPr>
                <w:rFonts w:hint="eastAsia" w:ascii="仿宋_GB2312" w:hAnsi="宋体" w:eastAsia="仿宋_GB2312" w:cs="宋体"/>
                <w:szCs w:val="21"/>
              </w:rPr>
              <w:t>年度，我单位 “三公”经费控制数为</w:t>
            </w:r>
            <w:r>
              <w:rPr>
                <w:rFonts w:ascii="仿宋_GB2312" w:hAnsi="宋体" w:eastAsia="仿宋_GB2312" w:cs="宋体"/>
                <w:szCs w:val="21"/>
              </w:rPr>
              <w:t>1</w:t>
            </w:r>
            <w:r>
              <w:rPr>
                <w:rFonts w:hint="eastAsia" w:ascii="仿宋_GB2312" w:hAnsi="宋体" w:eastAsia="仿宋_GB2312" w:cs="宋体"/>
                <w:szCs w:val="21"/>
              </w:rPr>
              <w:t>0万元，其中：公务接待费</w:t>
            </w:r>
            <w:r>
              <w:rPr>
                <w:rFonts w:ascii="仿宋_GB2312" w:hAnsi="宋体" w:eastAsia="仿宋_GB2312" w:cs="宋体"/>
                <w:szCs w:val="21"/>
              </w:rPr>
              <w:t>1</w:t>
            </w:r>
            <w:r>
              <w:rPr>
                <w:rFonts w:hint="eastAsia" w:ascii="仿宋_GB2312" w:hAnsi="宋体" w:eastAsia="仿宋_GB2312" w:cs="宋体"/>
                <w:szCs w:val="21"/>
              </w:rPr>
              <w:t>0万元；“三公”经费实际支出为</w:t>
            </w:r>
            <w:r>
              <w:rPr>
                <w:rFonts w:ascii="仿宋_GB2312" w:hAnsi="宋体" w:eastAsia="仿宋_GB2312" w:cs="宋体"/>
                <w:szCs w:val="21"/>
              </w:rPr>
              <w:t>0.0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21"/>
              </w:rPr>
              <w:t>万元，其中：公务接待费</w:t>
            </w:r>
            <w:r>
              <w:rPr>
                <w:rFonts w:ascii="仿宋_GB2312" w:hAnsi="宋体" w:eastAsia="仿宋_GB2312" w:cs="宋体"/>
                <w:szCs w:val="21"/>
              </w:rPr>
              <w:t>0.0</w:t>
            </w: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绩效目标完成情况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 </w:t>
            </w:r>
            <w:r>
              <w:rPr>
                <w:rFonts w:ascii="仿宋_GB2312" w:hAnsi="宋体" w:eastAsia="仿宋_GB2312" w:cs="宋体"/>
                <w:szCs w:val="21"/>
              </w:rPr>
              <w:t>2020</w:t>
            </w:r>
            <w:r>
              <w:rPr>
                <w:rFonts w:hint="eastAsia" w:ascii="仿宋_GB2312" w:hAnsi="宋体" w:eastAsia="仿宋_GB2312" w:cs="宋体"/>
                <w:szCs w:val="21"/>
              </w:rPr>
              <w:t>年我局在县委、县政府的坚强领导下，紧紧围绕“百强进位、创文摘牌”两大核心目标，与改革同步，与时代同音，以“放管服”改革为牵引，以优化营商环境为目标，重点抓好项目建设一会审批、政务服务一厅办结、民众诉求一号受理、执法监管一并到位四项创新和基层政务服务一门式全覆盖工作，全县“一网、一线、一厅”行政审批服务工作格局基本构建，办事创业和营商环境不断优化。一会两函改革工作提名国省真抓实干典型案例，县人民政府门户网站荣获2020年度中国政务网站优秀奖，为“全国百强县排名进位、全国文明城市成功摘牌”两大目标和县域高质量发展贡献了审批服务力量。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</w:rPr>
              <w:t>一、推进“四个一”改革，营商环境不断优化。</w:t>
            </w:r>
            <w:r>
              <w:rPr>
                <w:rFonts w:hint="eastAsia" w:ascii="仿宋_GB2312" w:hAnsi="宋体" w:eastAsia="仿宋_GB2312" w:cs="宋体"/>
                <w:szCs w:val="21"/>
              </w:rPr>
              <w:t>1.项目建设一会审批;</w:t>
            </w:r>
            <w:r>
              <w:rPr>
                <w:rFonts w:ascii="仿宋_GB2312" w:hAnsi="宋体" w:eastAsia="仿宋_GB2312" w:cs="宋体"/>
                <w:szCs w:val="21"/>
              </w:rPr>
              <w:t>2.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Cs w:val="21"/>
              </w:rPr>
              <w:t>政务服务一厅办结;</w:t>
            </w:r>
            <w:r>
              <w:rPr>
                <w:rFonts w:ascii="仿宋_GB2312" w:hAnsi="宋体" w:eastAsia="仿宋_GB2312" w:cs="宋体"/>
                <w:szCs w:val="21"/>
              </w:rPr>
              <w:t>3.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Cs w:val="21"/>
              </w:rPr>
              <w:t>民众诉求一号受理;</w:t>
            </w:r>
            <w:r>
              <w:rPr>
                <w:rFonts w:ascii="仿宋_GB2312" w:hAnsi="宋体" w:eastAsia="仿宋_GB2312" w:cs="宋体"/>
                <w:szCs w:val="21"/>
              </w:rPr>
              <w:t>4.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Cs w:val="21"/>
              </w:rPr>
              <w:t>执法监管一并到位。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</w:rPr>
              <w:t>二、深入推进“一件事一次办”，实现群众办事套餐服务。</w:t>
            </w:r>
            <w:r>
              <w:rPr>
                <w:rFonts w:hint="eastAsia" w:ascii="仿宋_GB2312" w:hAnsi="宋体" w:eastAsia="仿宋_GB2312" w:cs="宋体"/>
                <w:szCs w:val="21"/>
              </w:rPr>
              <w:t>全县“一件事一次办”第一批和第二批206项事项全部落地。基本实现简单事项即来即办、一般事项当天办结、复杂事项比法定时间缩减70%。在政务服务大厅设置“一件事一次办跨域通办服务窗口”，利用“互联网+政务服务”一体化平台，建立“就近申报、异地收件、远程流转、属地办理、跨层联办”跨域通办工作机制，实行“无差别全科一窗受理”。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</w:rPr>
              <w:t>三、推动基层政务服务（一门式）全覆盖。</w:t>
            </w:r>
            <w:r>
              <w:rPr>
                <w:rFonts w:hint="eastAsia" w:ascii="仿宋_GB2312" w:hAnsi="宋体" w:eastAsia="仿宋_GB2312" w:cs="宋体"/>
                <w:szCs w:val="21"/>
              </w:rPr>
              <w:t>持续将与群众密切相关的服务事项审批权限下放到乡镇、受理权限下放到村（社区），全面打通村（社区）网络通道，推动乡镇公共职能服务纳入全市一体化平台，并延伸到村（社区）综合服务平台。逐步完善三级“网上办”和“帮代办”工作机制，健全完善公布服务事项、办事指南、办事流程、办事机构等信息。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</w:rPr>
              <w:t>四、推进政务公开工作，“晒”出共治共享新路径。</w:t>
            </w:r>
            <w:r>
              <w:rPr>
                <w:rFonts w:hint="eastAsia" w:ascii="仿宋_GB2312" w:hAnsi="宋体" w:eastAsia="仿宋_GB2312" w:cs="宋体"/>
                <w:szCs w:val="21"/>
              </w:rPr>
              <w:t>定期组织全县网站管理运维人员开展业务培训，网站管理员的业务素质水平不断提升，县人民政府门户网站荣获2020年度中国政务网站优秀奖。全年编辑发布政府公报6期，受理依申请公开32条，“莲乡微政务”微信公众号发布信息399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因部门整体支出的预算资金安排和使用上仍有不可预见性，故预算调整率偏大。预算编制的科学性、合理性应进一步提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高，预算的透明度和约束力应进一步加强。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-6" w:firstLine="42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部门预算编制以经济发展规范和履行部门职能的需要为依据，对各项支出认真测算，测算时必须有真实可靠的依据，力求各项数据真实准确，遵循预算编制</w:t>
            </w:r>
            <w:r>
              <w:rPr>
                <w:rFonts w:ascii="仿宋" w:hAnsi="仿宋" w:eastAsia="仿宋" w:cs="宋体"/>
                <w:kern w:val="0"/>
                <w:szCs w:val="21"/>
              </w:rPr>
              <w:t>的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合法性、真实性、</w:t>
            </w:r>
            <w:r>
              <w:rPr>
                <w:rFonts w:ascii="仿宋" w:hAnsi="仿宋" w:eastAsia="仿宋" w:cs="宋体"/>
                <w:kern w:val="0"/>
                <w:szCs w:val="21"/>
              </w:rPr>
              <w:t>科学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性和绩效性，</w:t>
            </w:r>
            <w:r>
              <w:rPr>
                <w:rFonts w:ascii="仿宋" w:hAnsi="仿宋" w:eastAsia="仿宋" w:cs="宋体"/>
                <w:kern w:val="0"/>
                <w:szCs w:val="21"/>
              </w:rPr>
              <w:t>提高预算资金的使用效率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。同时建立预算</w:t>
            </w:r>
          </w:p>
          <w:p>
            <w:pPr>
              <w:spacing w:line="576" w:lineRule="exact"/>
              <w:ind w:right="-6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指标追加调整机制，严格规范预算追加调整程序。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无</w:t>
            </w:r>
          </w:p>
        </w:tc>
      </w:tr>
    </w:tbl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sectPr>
      <w:head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930"/>
    <w:rsid w:val="000900A8"/>
    <w:rsid w:val="00105C6C"/>
    <w:rsid w:val="00173345"/>
    <w:rsid w:val="001B7705"/>
    <w:rsid w:val="001C4231"/>
    <w:rsid w:val="001E20D0"/>
    <w:rsid w:val="00216B97"/>
    <w:rsid w:val="00245452"/>
    <w:rsid w:val="002F510C"/>
    <w:rsid w:val="003E5D56"/>
    <w:rsid w:val="004553CC"/>
    <w:rsid w:val="004656BD"/>
    <w:rsid w:val="00493F61"/>
    <w:rsid w:val="00577044"/>
    <w:rsid w:val="005F0930"/>
    <w:rsid w:val="00665E23"/>
    <w:rsid w:val="00670EA6"/>
    <w:rsid w:val="006E0A28"/>
    <w:rsid w:val="006E3EA8"/>
    <w:rsid w:val="00736FFB"/>
    <w:rsid w:val="00754A3C"/>
    <w:rsid w:val="0080588F"/>
    <w:rsid w:val="00894F9E"/>
    <w:rsid w:val="008B1732"/>
    <w:rsid w:val="008B17BB"/>
    <w:rsid w:val="00936B88"/>
    <w:rsid w:val="00A27121"/>
    <w:rsid w:val="00B57418"/>
    <w:rsid w:val="00B94B8C"/>
    <w:rsid w:val="00CA30CB"/>
    <w:rsid w:val="00CA71F2"/>
    <w:rsid w:val="00D306A2"/>
    <w:rsid w:val="00D3362F"/>
    <w:rsid w:val="00DF6E76"/>
    <w:rsid w:val="00E46591"/>
    <w:rsid w:val="00EC05DB"/>
    <w:rsid w:val="010315EB"/>
    <w:rsid w:val="070E1496"/>
    <w:rsid w:val="11D1642E"/>
    <w:rsid w:val="145C7E70"/>
    <w:rsid w:val="170145B0"/>
    <w:rsid w:val="182358BF"/>
    <w:rsid w:val="1C7D24D5"/>
    <w:rsid w:val="2492284F"/>
    <w:rsid w:val="304C6D7A"/>
    <w:rsid w:val="34E119F6"/>
    <w:rsid w:val="453464C4"/>
    <w:rsid w:val="49AF0EA4"/>
    <w:rsid w:val="52A95213"/>
    <w:rsid w:val="5BDC6004"/>
    <w:rsid w:val="5FCF1746"/>
    <w:rsid w:val="65CC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9">
    <w:name w:val="15"/>
    <w:uiPriority w:val="0"/>
    <w:rPr>
      <w:rFonts w:hint="default" w:ascii="Calibri" w:hAnsi="Calibri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0D3509-8086-44C1-8BBE-BB92E479CB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276</Words>
  <Characters>1575</Characters>
  <Lines>13</Lines>
  <Paragraphs>3</Paragraphs>
  <TotalTime>82</TotalTime>
  <ScaleCrop>false</ScaleCrop>
  <LinksUpToDate>false</LinksUpToDate>
  <CharactersWithSpaces>1848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2017-03-05T13:05:00Z</dcterms:created>
  <dc:creator>LJ</dc:creator>
  <cp:lastModifiedBy>Administrator</cp:lastModifiedBy>
  <cp:lastPrinted>2021-08-11T03:06:00Z</cp:lastPrinted>
  <dcterms:modified xsi:type="dcterms:W3CDTF">2021-08-11T03:10:49Z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0EDCDD8F4E454500AA2D1D832A383ECB</vt:lpwstr>
  </property>
</Properties>
</file>