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2020年度</w:t>
      </w:r>
    </w:p>
    <w:p>
      <w:pPr>
        <w:pStyle w:val="9"/>
        <w:jc w:val="center"/>
        <w:rPr>
          <w:sz w:val="84"/>
          <w:szCs w:val="84"/>
        </w:rPr>
      </w:pPr>
      <w:r>
        <w:rPr>
          <w:rFonts w:hint="eastAsia"/>
          <w:sz w:val="84"/>
          <w:szCs w:val="84"/>
        </w:rPr>
        <w:t>湘潭县行政审批服务局部门决算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第一部分湘潭县行政审批服务局单位概况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rPr>
        <w:t>湘潭县行政审批服务局概况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10"/>
        <w:snapToGrid w:val="0"/>
        <w:spacing w:line="580" w:lineRule="exact"/>
        <w:ind w:left="720" w:firstLine="0" w:firstLineChars="0"/>
        <w:rPr>
          <w:rFonts w:ascii="仿宋" w:hAnsi="仿宋" w:eastAsia="仿宋"/>
          <w:sz w:val="32"/>
          <w:szCs w:val="24"/>
        </w:rPr>
      </w:pPr>
      <w:r>
        <w:rPr>
          <w:rFonts w:hint="eastAsia" w:ascii="仿宋" w:hAnsi="仿宋" w:eastAsia="仿宋"/>
          <w:sz w:val="32"/>
          <w:szCs w:val="24"/>
        </w:rPr>
        <w:t>（一）负责组织拟订全县行政审批制度改革、政务公开协调、政务服务、电子政务管理、县长热线管理相关政策，制定、起草有关规定、制度和管理办法，并组织实施。对县直单位和乡镇进行业务指导。</w:t>
      </w:r>
      <w:r>
        <w:rPr>
          <w:sz w:val="32"/>
          <w:szCs w:val="24"/>
        </w:rPr>
        <w:t> </w:t>
      </w:r>
    </w:p>
    <w:p>
      <w:pPr>
        <w:pStyle w:val="10"/>
        <w:snapToGrid w:val="0"/>
        <w:spacing w:line="580" w:lineRule="exact"/>
        <w:ind w:left="720" w:firstLine="0" w:firstLineChars="0"/>
        <w:rPr>
          <w:sz w:val="32"/>
          <w:szCs w:val="24"/>
        </w:rPr>
      </w:pPr>
      <w:r>
        <w:rPr>
          <w:rFonts w:hint="eastAsia" w:ascii="仿宋" w:hAnsi="仿宋" w:eastAsia="仿宋"/>
          <w:sz w:val="32"/>
          <w:szCs w:val="24"/>
        </w:rPr>
        <w:t>（二）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r>
        <w:rPr>
          <w:sz w:val="32"/>
          <w:szCs w:val="24"/>
        </w:rPr>
        <w:t> </w:t>
      </w:r>
    </w:p>
    <w:p>
      <w:pPr>
        <w:pStyle w:val="10"/>
        <w:snapToGrid w:val="0"/>
        <w:spacing w:line="580" w:lineRule="exact"/>
        <w:ind w:left="720" w:firstLine="0" w:firstLineChars="0"/>
        <w:rPr>
          <w:rFonts w:ascii="仿宋" w:hAnsi="仿宋" w:eastAsia="仿宋"/>
          <w:sz w:val="32"/>
          <w:szCs w:val="24"/>
        </w:rPr>
      </w:pPr>
      <w:r>
        <w:rPr>
          <w:rFonts w:hint="eastAsia" w:ascii="仿宋" w:hAnsi="仿宋" w:eastAsia="仿宋"/>
          <w:sz w:val="32"/>
          <w:szCs w:val="24"/>
        </w:rPr>
        <w:t>（三）负责推进、指导、协调、监督全县政务公开（政府信息公开、办事公开）工作，并负责县政府的政府信息公开的日常工作。负责全县政府网站建设管理工作，承担县政府门户网站主办职责，统筹规划、监督全县政府系统网站。</w:t>
      </w:r>
      <w:r>
        <w:rPr>
          <w:sz w:val="32"/>
          <w:szCs w:val="24"/>
        </w:rPr>
        <w:t> </w:t>
      </w:r>
    </w:p>
    <w:p>
      <w:pPr>
        <w:pStyle w:val="10"/>
        <w:snapToGrid w:val="0"/>
        <w:spacing w:line="580" w:lineRule="exact"/>
        <w:ind w:left="720" w:firstLine="0" w:firstLineChars="0"/>
        <w:rPr>
          <w:rFonts w:ascii="仿宋" w:hAnsi="仿宋" w:eastAsia="仿宋"/>
          <w:sz w:val="32"/>
          <w:szCs w:val="24"/>
        </w:rPr>
      </w:pPr>
      <w:r>
        <w:rPr>
          <w:rFonts w:hint="eastAsia" w:ascii="仿宋" w:hAnsi="仿宋" w:eastAsia="仿宋"/>
          <w:sz w:val="32"/>
          <w:szCs w:val="24"/>
        </w:rPr>
        <w:t>（四）统筹推进、协调、监督全县政府系统电子政务、“互联网</w:t>
      </w:r>
      <w:r>
        <w:rPr>
          <w:rFonts w:ascii="仿宋" w:hAnsi="仿宋" w:eastAsia="仿宋"/>
          <w:sz w:val="32"/>
          <w:szCs w:val="24"/>
        </w:rPr>
        <w:t>+</w:t>
      </w:r>
      <w:r>
        <w:rPr>
          <w:rFonts w:hint="eastAsia" w:ascii="仿宋" w:hAnsi="仿宋" w:eastAsia="仿宋"/>
          <w:sz w:val="32"/>
          <w:szCs w:val="24"/>
        </w:rPr>
        <w:t>政务服务”、政务数据资源体系建设与管理工作。</w:t>
      </w:r>
      <w:r>
        <w:rPr>
          <w:sz w:val="32"/>
          <w:szCs w:val="24"/>
        </w:rPr>
        <w:t> </w:t>
      </w:r>
    </w:p>
    <w:p>
      <w:pPr>
        <w:pStyle w:val="10"/>
        <w:snapToGrid w:val="0"/>
        <w:spacing w:line="580" w:lineRule="exact"/>
        <w:ind w:left="720" w:firstLine="0" w:firstLineChars="0"/>
        <w:rPr>
          <w:rFonts w:ascii="仿宋" w:hAnsi="仿宋" w:eastAsia="仿宋"/>
          <w:sz w:val="32"/>
          <w:szCs w:val="24"/>
        </w:rPr>
      </w:pPr>
      <w:r>
        <w:rPr>
          <w:rFonts w:hint="eastAsia" w:ascii="仿宋" w:hAnsi="仿宋" w:eastAsia="仿宋"/>
          <w:sz w:val="32"/>
          <w:szCs w:val="24"/>
        </w:rPr>
        <w:t>（五）统筹推进县长热线和“县长信箱”工作。负责市民通过县长热线向县政府进行的咨询建议、投诉、求助等事项的处理。</w:t>
      </w:r>
      <w:r>
        <w:rPr>
          <w:sz w:val="32"/>
          <w:szCs w:val="24"/>
        </w:rPr>
        <w:t> </w:t>
      </w:r>
    </w:p>
    <w:p>
      <w:pPr>
        <w:pStyle w:val="10"/>
        <w:spacing w:line="520" w:lineRule="exact"/>
        <w:ind w:left="720" w:firstLine="0" w:firstLineChars="0"/>
        <w:rPr>
          <w:rFonts w:ascii="仿宋" w:hAnsi="仿宋" w:eastAsia="仿宋"/>
          <w:sz w:val="32"/>
          <w:szCs w:val="24"/>
        </w:rPr>
      </w:pPr>
      <w:r>
        <w:rPr>
          <w:rFonts w:hint="eastAsia" w:ascii="仿宋" w:hAnsi="仿宋" w:eastAsia="仿宋"/>
          <w:sz w:val="32"/>
          <w:szCs w:val="24"/>
        </w:rPr>
        <w:t>（六）完成县委、县人民政府交办的其他任务。</w:t>
      </w:r>
    </w:p>
    <w:p>
      <w:pPr>
        <w:pStyle w:val="10"/>
        <w:spacing w:line="520" w:lineRule="exact"/>
        <w:ind w:left="720" w:firstLine="0" w:firstLineChars="0"/>
        <w:rPr>
          <w:rFonts w:ascii="仿宋" w:hAnsi="仿宋" w:eastAsia="仿宋"/>
          <w:sz w:val="32"/>
          <w:szCs w:val="24"/>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spacing w:line="520" w:lineRule="exact"/>
        <w:ind w:firstLine="640" w:firstLineChars="200"/>
        <w:rPr>
          <w:rFonts w:ascii="仿宋" w:hAnsi="仿宋" w:eastAsia="仿宋"/>
          <w:sz w:val="32"/>
          <w:szCs w:val="24"/>
        </w:rPr>
      </w:pPr>
      <w:r>
        <w:rPr>
          <w:rFonts w:hint="eastAsia" w:ascii="仿宋" w:hAnsi="仿宋" w:eastAsia="仿宋"/>
          <w:sz w:val="32"/>
          <w:szCs w:val="24"/>
        </w:rPr>
        <w:t>（一）内设机构设置。局内设4个股室，分别为办公室、行政审批改革股、政务公开股、政务服务股。下设3个二级机构，分别为政务服务中心、电子政务管理中心、12345公共服务与投诉举报平台。</w:t>
      </w:r>
    </w:p>
    <w:p>
      <w:pPr>
        <w:spacing w:line="520" w:lineRule="exact"/>
        <w:ind w:firstLine="640" w:firstLineChars="200"/>
        <w:rPr>
          <w:rFonts w:ascii="仿宋" w:hAnsi="仿宋" w:eastAsia="仿宋"/>
          <w:sz w:val="32"/>
          <w:szCs w:val="24"/>
        </w:rPr>
      </w:pPr>
      <w:r>
        <w:rPr>
          <w:rFonts w:hint="eastAsia" w:ascii="仿宋" w:hAnsi="仿宋" w:eastAsia="仿宋"/>
          <w:sz w:val="32"/>
          <w:szCs w:val="24"/>
        </w:rPr>
        <w:t>（二）决算单位构成。湘潭县行政审批服务局2019年部门决算汇总公开单位构成包括：湘潭县行政审批服务局本级。</w:t>
      </w:r>
    </w:p>
    <w:p>
      <w:pPr>
        <w:spacing w:line="520" w:lineRule="exact"/>
        <w:ind w:firstLine="640" w:firstLineChars="200"/>
        <w:rPr>
          <w:rFonts w:ascii="仿宋" w:hAnsi="仿宋" w:eastAsia="仿宋"/>
          <w:sz w:val="32"/>
          <w:szCs w:val="24"/>
        </w:rPr>
      </w:pPr>
    </w:p>
    <w:p>
      <w:pPr>
        <w:spacing w:line="520" w:lineRule="exact"/>
        <w:ind w:firstLine="640"/>
        <w:rPr>
          <w:rFonts w:ascii="Times New Roman" w:hAnsi="Times New Roman"/>
          <w:sz w:val="32"/>
          <w:szCs w:val="24"/>
        </w:rPr>
      </w:pPr>
    </w:p>
    <w:p>
      <w:pPr>
        <w:widowControl/>
        <w:spacing w:line="600" w:lineRule="exact"/>
        <w:rPr>
          <w:rFonts w:ascii="仿宋_GB2312" w:eastAsia="仿宋_GB2312" w:hAnsiTheme="minorEastAsia"/>
          <w:sz w:val="28"/>
          <w:szCs w:val="3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081" w:type="dxa"/>
        <w:tblInd w:w="93" w:type="dxa"/>
        <w:tblLayout w:type="autofit"/>
        <w:tblCellMar>
          <w:top w:w="0" w:type="dxa"/>
          <w:left w:w="108" w:type="dxa"/>
          <w:bottom w:w="0" w:type="dxa"/>
          <w:right w:w="108" w:type="dxa"/>
        </w:tblCellMar>
      </w:tblPr>
      <w:tblGrid>
        <w:gridCol w:w="4120"/>
        <w:gridCol w:w="708"/>
        <w:gridCol w:w="377"/>
        <w:gridCol w:w="824"/>
        <w:gridCol w:w="222"/>
        <w:gridCol w:w="3355"/>
        <w:gridCol w:w="844"/>
        <w:gridCol w:w="1462"/>
        <w:gridCol w:w="656"/>
        <w:gridCol w:w="1513"/>
      </w:tblGrid>
      <w:tr>
        <w:tblPrEx>
          <w:tblCellMar>
            <w:top w:w="0" w:type="dxa"/>
            <w:left w:w="108" w:type="dxa"/>
            <w:bottom w:w="0" w:type="dxa"/>
            <w:right w:w="108" w:type="dxa"/>
          </w:tblCellMar>
        </w:tblPrEx>
        <w:trPr>
          <w:trHeight w:val="360" w:hRule="atLeast"/>
        </w:trPr>
        <w:tc>
          <w:tcPr>
            <w:tcW w:w="1408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7"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664"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70" w:hRule="atLeast"/>
        </w:trPr>
        <w:tc>
          <w:tcPr>
            <w:tcW w:w="5207"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湘潭县行政审批服务局</w:t>
            </w:r>
          </w:p>
        </w:tc>
        <w:tc>
          <w:tcPr>
            <w:tcW w:w="8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664"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6252"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829"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22"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2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22"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2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1371.23　</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1113.83</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2"/>
              </w:rPr>
              <w:t>七、文化旅游体育与传媒支出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15</w:t>
            </w:r>
            <w:r>
              <w:rPr>
                <w:rFonts w:ascii="宋体" w:hAnsi="宋体" w:eastAsia="宋体" w:cs="宋体"/>
                <w:kern w:val="0"/>
                <w:sz w:val="22"/>
              </w:rPr>
              <w:t>.00</w:t>
            </w:r>
          </w:p>
        </w:tc>
        <w:tc>
          <w:tcPr>
            <w:tcW w:w="33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color w:val="000000"/>
                <w:kern w:val="0"/>
                <w:sz w:val="22"/>
              </w:rPr>
              <w:t>八、社会保障和就业支出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2"/>
              </w:rPr>
              <w:t>九、卫生健康支出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3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2"/>
              </w:rPr>
              <w:t>十、节能环保支出</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1386.23　</w:t>
            </w:r>
          </w:p>
        </w:tc>
        <w:tc>
          <w:tcPr>
            <w:tcW w:w="335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1113.83</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1.0</w:t>
            </w:r>
            <w:r>
              <w:rPr>
                <w:rFonts w:ascii="宋体" w:hAnsi="宋体" w:eastAsia="宋体" w:cs="宋体"/>
                <w:kern w:val="0"/>
                <w:sz w:val="22"/>
              </w:rPr>
              <w:t>4</w:t>
            </w:r>
            <w:r>
              <w:rPr>
                <w:rFonts w:hint="eastAsia" w:ascii="宋体" w:hAnsi="宋体" w:eastAsia="宋体" w:cs="宋体"/>
                <w:kern w:val="0"/>
                <w:sz w:val="22"/>
              </w:rPr>
              <w:t>　</w:t>
            </w:r>
          </w:p>
        </w:tc>
        <w:tc>
          <w:tcPr>
            <w:tcW w:w="33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273.44</w:t>
            </w:r>
          </w:p>
        </w:tc>
      </w:tr>
      <w:tr>
        <w:tblPrEx>
          <w:tblCellMar>
            <w:top w:w="0" w:type="dxa"/>
            <w:left w:w="108" w:type="dxa"/>
            <w:bottom w:w="0" w:type="dxa"/>
            <w:right w:w="108" w:type="dxa"/>
          </w:tblCellMar>
        </w:tblPrEx>
        <w:trPr>
          <w:trHeight w:val="340" w:hRule="atLeast"/>
        </w:trPr>
        <w:tc>
          <w:tcPr>
            <w:tcW w:w="4122"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42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1387.27　</w:t>
            </w:r>
          </w:p>
        </w:tc>
        <w:tc>
          <w:tcPr>
            <w:tcW w:w="335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r>
              <w:rPr>
                <w:rFonts w:ascii="宋体" w:hAnsi="宋体" w:eastAsia="宋体" w:cs="宋体"/>
                <w:kern w:val="0"/>
                <w:sz w:val="22"/>
              </w:rPr>
              <w:t>7</w:t>
            </w:r>
          </w:p>
        </w:tc>
        <w:tc>
          <w:tcPr>
            <w:tcW w:w="362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bCs/>
                <w:kern w:val="0"/>
                <w:sz w:val="22"/>
              </w:rPr>
              <w:t>　1387.27</w:t>
            </w:r>
          </w:p>
        </w:tc>
      </w:tr>
      <w:tr>
        <w:tblPrEx>
          <w:tblCellMar>
            <w:top w:w="0" w:type="dxa"/>
            <w:left w:w="108" w:type="dxa"/>
            <w:bottom w:w="0" w:type="dxa"/>
            <w:right w:w="108" w:type="dxa"/>
          </w:tblCellMar>
        </w:tblPrEx>
        <w:trPr>
          <w:trHeight w:val="1020" w:hRule="atLeast"/>
        </w:trPr>
        <w:tc>
          <w:tcPr>
            <w:tcW w:w="1408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p>
          <w:p>
            <w:pPr>
              <w:widowControl/>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14400" w:type="dxa"/>
        <w:tblInd w:w="0" w:type="dxa"/>
        <w:tblLayout w:type="autofit"/>
        <w:tblCellMar>
          <w:top w:w="0" w:type="dxa"/>
          <w:left w:w="0" w:type="dxa"/>
          <w:bottom w:w="0" w:type="dxa"/>
          <w:right w:w="0" w:type="dxa"/>
        </w:tblCellMar>
      </w:tblPr>
      <w:tblGrid>
        <w:gridCol w:w="494"/>
        <w:gridCol w:w="492"/>
        <w:gridCol w:w="3390"/>
        <w:gridCol w:w="1671"/>
        <w:gridCol w:w="1671"/>
        <w:gridCol w:w="1306"/>
        <w:gridCol w:w="1306"/>
        <w:gridCol w:w="1306"/>
        <w:gridCol w:w="1306"/>
        <w:gridCol w:w="2374"/>
      </w:tblGrid>
      <w:tr>
        <w:tblPrEx>
          <w:tblCellMar>
            <w:top w:w="0" w:type="dxa"/>
            <w:left w:w="0" w:type="dxa"/>
            <w:bottom w:w="0" w:type="dxa"/>
            <w:right w:w="0" w:type="dxa"/>
          </w:tblCellMar>
        </w:tblPrEx>
        <w:trPr>
          <w:trHeight w:val="435" w:hRule="atLeast"/>
        </w:trPr>
        <w:tc>
          <w:tcPr>
            <w:tcW w:w="1440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ind w:right="800"/>
              <w:rPr>
                <w:rFonts w:ascii="宋体" w:hAnsi="宋体" w:eastAsia="宋体" w:cs="宋体"/>
                <w:sz w:val="24"/>
                <w:szCs w:val="24"/>
              </w:rPr>
            </w:pPr>
            <w:r>
              <w:rPr>
                <w:rFonts w:hint="eastAsia" w:ascii="宋体" w:hAnsi="宋体" w:eastAsia="宋体" w:cs="宋体"/>
                <w:color w:val="000000"/>
                <w:kern w:val="0"/>
                <w:sz w:val="20"/>
                <w:szCs w:val="20"/>
              </w:rPr>
              <w:t>湘潭县行政审批服务局</w:t>
            </w: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00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7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7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67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67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67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67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63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37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1386.23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1371.23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15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一般公共服务支出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1386.23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1371.23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15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20103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cs="宋体"/>
                <w:sz w:val="24"/>
                <w:szCs w:val="24"/>
              </w:rPr>
            </w:pPr>
            <w:r>
              <w:rPr>
                <w:rFonts w:hint="eastAsia"/>
              </w:rPr>
              <w:t>　政府办公厅（室）及相关机构事务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华文中宋" w:hAnsi="华文中宋" w:eastAsia="华文中宋" w:cs="宋体"/>
                <w:sz w:val="24"/>
                <w:szCs w:val="24"/>
              </w:rPr>
            </w:pPr>
            <w:r>
              <w:rPr>
                <w:rFonts w:hint="eastAsia" w:ascii="华文中宋" w:hAnsi="华文中宋" w:eastAsia="华文中宋"/>
              </w:rPr>
              <w:t>1386.23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1371.23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15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2010301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行政运行</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246.97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246.97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2010302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一般行政管理事务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40.91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40.91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pPr>
            <w:r>
              <w:rPr>
                <w:rFonts w:hint="eastAsia"/>
              </w:rPr>
              <w:t>2010306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r>
              <w:rPr>
                <w:rFonts w:hint="eastAsia"/>
              </w:rPr>
              <w:t>政务公开审批</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1098.35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1083.35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15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615" w:hRule="atLeast"/>
        </w:trPr>
        <w:tc>
          <w:tcPr>
            <w:tcW w:w="144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5"/>
        <w:tblW w:w="13183" w:type="dxa"/>
        <w:tblInd w:w="93" w:type="dxa"/>
        <w:tblLayout w:type="fixed"/>
        <w:tblCellMar>
          <w:top w:w="0" w:type="dxa"/>
          <w:left w:w="108" w:type="dxa"/>
          <w:bottom w:w="0" w:type="dxa"/>
          <w:right w:w="108" w:type="dxa"/>
        </w:tblCellMar>
      </w:tblPr>
      <w:tblGrid>
        <w:gridCol w:w="1024"/>
        <w:gridCol w:w="240"/>
        <w:gridCol w:w="1249"/>
        <w:gridCol w:w="1646"/>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24"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9851" w:type="dxa"/>
            <w:gridSpan w:val="7"/>
            <w:tcBorders>
              <w:top w:val="nil"/>
              <w:left w:val="nil"/>
              <w:bottom w:val="nil"/>
              <w:right w:val="nil"/>
            </w:tcBorders>
            <w:shd w:val="clear" w:color="000000" w:fill="FFFFFF"/>
            <w:noWrap/>
            <w:vAlign w:val="center"/>
          </w:tcPr>
          <w:p>
            <w:pPr>
              <w:widowControl/>
              <w:rPr>
                <w:rFonts w:ascii="宋体" w:hAnsi="宋体" w:eastAsia="宋体" w:cs="宋体"/>
                <w:kern w:val="0"/>
                <w:sz w:val="24"/>
                <w:szCs w:val="24"/>
              </w:rPr>
            </w:pPr>
            <w:r>
              <w:rPr>
                <w:rFonts w:hint="eastAsia" w:ascii="宋体" w:hAnsi="宋体" w:eastAsia="宋体" w:cs="宋体"/>
                <w:color w:val="000000"/>
                <w:kern w:val="0"/>
                <w:sz w:val="20"/>
                <w:szCs w:val="20"/>
              </w:rPr>
              <w:t>湘潭县行政审批服务局</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1113.83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246.97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866.86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　201</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一般公共服务支出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1113.83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246.97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866.86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　20103</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eastAsia="宋体"/>
              </w:rPr>
              <w:t>政府办公厅（室）及相关机构事务</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1113.83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246.97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866.86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　2010301</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　行政运行</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246.97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246.97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　2010302</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　一般行政管理事务</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40.91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40.91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ascii="宋体" w:hAnsi="宋体" w:eastAsia="宋体" w:cs="宋体"/>
                <w:sz w:val="24"/>
                <w:szCs w:val="24"/>
              </w:rPr>
              <w:t>2010306</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ascii="宋体" w:hAnsi="宋体" w:eastAsia="宋体" w:cs="宋体"/>
                <w:sz w:val="24"/>
                <w:szCs w:val="24"/>
              </w:rPr>
              <w:t>政务公开审批</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825.95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825.95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tbl>
      <w:tblPr>
        <w:tblStyle w:val="5"/>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部门：湘潭县行政审批服务局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1371.23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1100.41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1100.41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1371.23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1100.41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1100.41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270.82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270.82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1371.23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1371.23</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1371.23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rPr>
        <w:t>湘潭县行政审批服务局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1100.41</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246.97</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853.44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　201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一般公共服务支出　</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1100.41</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246.97</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853.44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　20103</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ascii="宋体" w:hAnsi="宋体" w:eastAsia="宋体" w:cs="宋体"/>
                <w:sz w:val="24"/>
                <w:szCs w:val="24"/>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1100.41</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246.97</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853.44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　2010301</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　行政运行</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246.97</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246.97</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　2010302</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　一般行政管理事务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40.91</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40.91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ascii="宋体" w:hAnsi="宋体" w:eastAsia="宋体" w:cs="宋体"/>
                <w:sz w:val="24"/>
                <w:szCs w:val="24"/>
              </w:rPr>
              <w:t>2010306</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ascii="宋体" w:hAnsi="宋体" w:eastAsia="宋体" w:cs="宋体"/>
                <w:sz w:val="24"/>
                <w:szCs w:val="24"/>
              </w:rPr>
              <w:t>政务公开审批</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812.53</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812.53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0" w:type="auto"/>
        <w:tblInd w:w="0" w:type="dxa"/>
        <w:tblLayout w:type="autofit"/>
        <w:tblCellMar>
          <w:top w:w="0" w:type="dxa"/>
          <w:left w:w="108" w:type="dxa"/>
          <w:bottom w:w="0" w:type="dxa"/>
          <w:right w:w="108" w:type="dxa"/>
        </w:tblCellMar>
      </w:tblPr>
      <w:tblGrid>
        <w:gridCol w:w="1297"/>
        <w:gridCol w:w="3150"/>
        <w:gridCol w:w="1058"/>
        <w:gridCol w:w="1314"/>
        <w:gridCol w:w="2288"/>
        <w:gridCol w:w="979"/>
        <w:gridCol w:w="1170"/>
        <w:gridCol w:w="3404"/>
        <w:gridCol w:w="954"/>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宋体" w:hAnsi="宋体" w:eastAsia="宋体" w:cs="宋体"/>
                <w:color w:val="000000"/>
                <w:kern w:val="0"/>
                <w:sz w:val="20"/>
                <w:szCs w:val="20"/>
              </w:rPr>
              <w:t>湘潭县行政审批服务局</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7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217.32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7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29.65</w:t>
            </w:r>
            <w:bookmarkStart w:id="4" w:name="_GoBack"/>
            <w:bookmarkEnd w:id="4"/>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61.48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0.32</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12.7</w:t>
            </w:r>
            <w:r>
              <w:rPr>
                <w:rFonts w:ascii="宋体" w:hAnsi="宋体" w:eastAsia="宋体" w:cs="宋体"/>
                <w:color w:val="000000"/>
                <w:kern w:val="0"/>
                <w:szCs w:val="20"/>
              </w:rPr>
              <w:t>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0.08</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16.13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15.56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56.86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10.72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3.93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0.01　1.34</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19.81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0.56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1.53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0.88</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17.77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0.2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0.25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0.03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1.44</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7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9.0</w:t>
            </w:r>
            <w:r>
              <w:rPr>
                <w:rFonts w:ascii="宋体" w:hAnsi="宋体" w:eastAsia="宋体" w:cs="宋体"/>
                <w:color w:val="000000"/>
                <w:kern w:val="0"/>
                <w:szCs w:val="20"/>
              </w:rPr>
              <w:t>9</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0.75</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1.23</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35"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0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8.62</w:t>
            </w:r>
          </w:p>
        </w:tc>
        <w:tc>
          <w:tcPr>
            <w:tcW w:w="11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217.32　</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29.65</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rPr>
        <w:t>湘潭县行政审批服务局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0.03</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rPr>
        <w:t>湘潭县行政审批服务局</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w:t>
      </w:r>
      <w:r>
        <w:rPr>
          <w:rFonts w:hint="eastAsia" w:ascii="Times New Roman" w:hAnsi="Times New Roman" w:eastAsia="仿宋_GB2312" w:cs="Times New Roman"/>
          <w:kern w:val="0"/>
          <w:szCs w:val="21"/>
        </w:rPr>
        <w:t>行政审批服务局没有政府性基金收入，也没有使用政府性基金安排的支出，故本表无数据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rPr>
                <w:rFonts w:ascii="宋体" w:hAnsi="宋体" w:eastAsia="宋体" w:cs="宋体"/>
                <w:kern w:val="0"/>
                <w:sz w:val="20"/>
                <w:szCs w:val="20"/>
              </w:rPr>
            </w:pPr>
            <w:r>
              <w:rPr>
                <w:rFonts w:hint="eastAsia" w:ascii="宋体" w:hAnsi="宋体" w:eastAsia="宋体" w:cs="宋体"/>
                <w:color w:val="000000"/>
                <w:kern w:val="0"/>
                <w:sz w:val="20"/>
                <w:szCs w:val="20"/>
              </w:rPr>
              <w:t>湘潭县行政审批服务局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2020年度收、支总计</w:t>
      </w:r>
      <w:r>
        <w:rPr>
          <w:rFonts w:asciiTheme="minorEastAsia" w:hAnsiTheme="minorEastAsia" w:eastAsiaTheme="minorEastAsia"/>
          <w:sz w:val="32"/>
          <w:szCs w:val="32"/>
        </w:rPr>
        <w:t>1387.27</w:t>
      </w:r>
      <w:r>
        <w:rPr>
          <w:rFonts w:hint="eastAsia" w:asciiTheme="minorEastAsia" w:hAnsiTheme="minorEastAsia" w:eastAsiaTheme="minorEastAsia"/>
          <w:sz w:val="32"/>
          <w:szCs w:val="32"/>
        </w:rPr>
        <w:t>万元。与上年相比，增加5</w:t>
      </w:r>
      <w:r>
        <w:rPr>
          <w:rFonts w:asciiTheme="minorEastAsia" w:hAnsiTheme="minorEastAsia" w:eastAsiaTheme="minorEastAsia"/>
          <w:sz w:val="32"/>
          <w:szCs w:val="32"/>
        </w:rPr>
        <w:t>25.34</w:t>
      </w:r>
      <w:r>
        <w:rPr>
          <w:rFonts w:hint="eastAsia" w:asciiTheme="minorEastAsia" w:hAnsiTheme="minorEastAsia" w:eastAsiaTheme="minorEastAsia"/>
          <w:sz w:val="32"/>
          <w:szCs w:val="32"/>
        </w:rPr>
        <w:t>万元，增加</w:t>
      </w:r>
      <w:r>
        <w:rPr>
          <w:rFonts w:asciiTheme="minorEastAsia" w:hAnsiTheme="minorEastAsia" w:eastAsiaTheme="minorEastAsia"/>
          <w:sz w:val="32"/>
          <w:szCs w:val="32"/>
        </w:rPr>
        <w:t>69.95</w:t>
      </w:r>
      <w:r>
        <w:rPr>
          <w:rFonts w:hint="eastAsia" w:asciiTheme="minorEastAsia" w:hAnsiTheme="minorEastAsia" w:eastAsiaTheme="minorEastAsia"/>
          <w:sz w:val="32"/>
          <w:szCs w:val="32"/>
        </w:rPr>
        <w:t>%，主要是因为项目增加所致。</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本年收入合计1386.23万元，其中：财政拨款收入1371.23万元，占98.9%；上级补助收入0万元，占0%；事业收0万元，占0%；经营收入0万元，占0%；附属单位上缴收入0万元，占0%；其他收入15万元，占1.</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本年支出合计1113.83万元，其中：基本支出246.97万元，占22.17%；项目支出866.86万元，占77.83%；上缴上级支出0万元，占0%；经营支出0万元，占0%；对附属单位补助支出0万元，占0%。</w:t>
      </w:r>
    </w:p>
    <w:p>
      <w:pPr>
        <w:pStyle w:val="9"/>
        <w:rPr>
          <w:rFonts w:hAnsi="黑体"/>
          <w:b/>
          <w:sz w:val="32"/>
          <w:szCs w:val="32"/>
        </w:rPr>
      </w:pPr>
      <w:r>
        <w:rPr>
          <w:rFonts w:hint="eastAsia" w:hAnsi="黑体"/>
          <w:b/>
          <w:sz w:val="32"/>
          <w:szCs w:val="32"/>
        </w:rPr>
        <w:t>四、财政拨款收入支出决算总体情况说明</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2020年度财政拨款收、支总计</w:t>
      </w:r>
      <w:r>
        <w:rPr>
          <w:rFonts w:asciiTheme="minorEastAsia" w:hAnsiTheme="minorEastAsia" w:eastAsiaTheme="minorEastAsia"/>
          <w:sz w:val="32"/>
          <w:szCs w:val="32"/>
        </w:rPr>
        <w:t>1371.23</w:t>
      </w:r>
      <w:r>
        <w:rPr>
          <w:rFonts w:hint="eastAsia" w:asciiTheme="minorEastAsia" w:hAnsiTheme="minorEastAsia" w:eastAsiaTheme="minorEastAsia"/>
          <w:sz w:val="32"/>
          <w:szCs w:val="32"/>
        </w:rPr>
        <w:t>万元，与上年相比，增加</w:t>
      </w:r>
      <w:r>
        <w:rPr>
          <w:rFonts w:asciiTheme="minorEastAsia" w:hAnsiTheme="minorEastAsia" w:eastAsiaTheme="minorEastAsia"/>
          <w:sz w:val="32"/>
          <w:szCs w:val="32"/>
        </w:rPr>
        <w:t>532.55</w:t>
      </w:r>
      <w:r>
        <w:rPr>
          <w:rFonts w:hint="eastAsia" w:asciiTheme="minorEastAsia" w:hAnsiTheme="minorEastAsia" w:eastAsiaTheme="minorEastAsia"/>
          <w:sz w:val="32"/>
          <w:szCs w:val="32"/>
        </w:rPr>
        <w:t>万元,增长</w:t>
      </w:r>
      <w:r>
        <w:rPr>
          <w:rFonts w:asciiTheme="minorEastAsia" w:hAnsiTheme="minorEastAsia" w:eastAsiaTheme="minorEastAsia"/>
          <w:sz w:val="32"/>
          <w:szCs w:val="32"/>
        </w:rPr>
        <w:t>63.50</w:t>
      </w:r>
      <w:r>
        <w:rPr>
          <w:rFonts w:hint="eastAsia" w:asciiTheme="minorEastAsia" w:hAnsiTheme="minorEastAsia" w:eastAsiaTheme="minorEastAsia"/>
          <w:sz w:val="32"/>
          <w:szCs w:val="32"/>
        </w:rPr>
        <w:t>%，主要是因为项目增加所致。</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bookmarkStart w:id="3" w:name="_Hlk107315136"/>
      <w:r>
        <w:rPr>
          <w:rFonts w:asciiTheme="minorEastAsia" w:hAnsiTheme="minorEastAsia" w:eastAsiaTheme="minorEastAsia"/>
          <w:sz w:val="32"/>
          <w:szCs w:val="32"/>
        </w:rPr>
        <w:t>1100.41</w:t>
      </w:r>
      <w:bookmarkEnd w:id="3"/>
      <w:r>
        <w:rPr>
          <w:rFonts w:hint="eastAsia" w:asciiTheme="minorEastAsia" w:hAnsiTheme="minorEastAsia" w:eastAsiaTheme="minorEastAsia"/>
          <w:sz w:val="32"/>
          <w:szCs w:val="32"/>
        </w:rPr>
        <w:t>万元，占本年支出合计的98.8%，与上年相比，财政拨款支出增加</w:t>
      </w:r>
      <w:r>
        <w:rPr>
          <w:rFonts w:asciiTheme="minorEastAsia" w:hAnsiTheme="minorEastAsia" w:eastAsiaTheme="minorEastAsia"/>
          <w:sz w:val="32"/>
          <w:szCs w:val="32"/>
        </w:rPr>
        <w:t>239.52</w:t>
      </w:r>
      <w:r>
        <w:rPr>
          <w:rFonts w:hint="eastAsia" w:asciiTheme="minorEastAsia" w:hAnsiTheme="minorEastAsia" w:eastAsiaTheme="minorEastAsia"/>
          <w:sz w:val="32"/>
          <w:szCs w:val="32"/>
        </w:rPr>
        <w:t>万元，增长2</w:t>
      </w:r>
      <w:r>
        <w:rPr>
          <w:rFonts w:asciiTheme="minorEastAsia" w:hAnsiTheme="minorEastAsia" w:eastAsiaTheme="minorEastAsia"/>
          <w:sz w:val="32"/>
          <w:szCs w:val="32"/>
        </w:rPr>
        <w:t>7.82</w:t>
      </w:r>
      <w:r>
        <w:rPr>
          <w:rFonts w:hint="eastAsia" w:asciiTheme="minorEastAsia" w:hAnsiTheme="minorEastAsia" w:eastAsiaTheme="minorEastAsia"/>
          <w:sz w:val="32"/>
          <w:szCs w:val="32"/>
        </w:rPr>
        <w:t>%，主要是因为项目增加</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asciiTheme="minorEastAsia" w:hAnsiTheme="minorEastAsia" w:eastAsiaTheme="minorEastAsia"/>
          <w:sz w:val="32"/>
          <w:szCs w:val="32"/>
        </w:rPr>
        <w:t>1100.41</w:t>
      </w:r>
      <w:r>
        <w:rPr>
          <w:rFonts w:hint="eastAsia" w:asciiTheme="minorEastAsia" w:hAnsiTheme="minorEastAsia" w:eastAsiaTheme="minorEastAsia"/>
          <w:sz w:val="32"/>
          <w:szCs w:val="32"/>
        </w:rPr>
        <w:t>万元，主要用于以下方面：一般公共服务（类）支出</w:t>
      </w:r>
      <w:r>
        <w:rPr>
          <w:rFonts w:asciiTheme="minorEastAsia" w:hAnsiTheme="minorEastAsia" w:eastAsiaTheme="minorEastAsia"/>
          <w:sz w:val="32"/>
          <w:szCs w:val="32"/>
        </w:rPr>
        <w:t>1100.41</w:t>
      </w:r>
      <w:r>
        <w:rPr>
          <w:rFonts w:hint="eastAsia" w:asciiTheme="minorEastAsia" w:hAnsiTheme="minorEastAsia" w:eastAsiaTheme="minorEastAsia"/>
          <w:sz w:val="32"/>
          <w:szCs w:val="32"/>
        </w:rPr>
        <w:t>万元，占100%；教育（类）支出0万元，占0%。</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asciiTheme="minorEastAsia" w:hAnsiTheme="minorEastAsia" w:eastAsiaTheme="minorEastAsia"/>
          <w:sz w:val="32"/>
          <w:szCs w:val="32"/>
        </w:rPr>
        <w:t>1078.46</w:t>
      </w:r>
      <w:r>
        <w:rPr>
          <w:rFonts w:hint="eastAsia" w:asciiTheme="minorEastAsia" w:hAnsiTheme="minorEastAsia" w:eastAsiaTheme="minorEastAsia"/>
          <w:sz w:val="32"/>
          <w:szCs w:val="32"/>
        </w:rPr>
        <w:t>万元，支出决算数为</w:t>
      </w:r>
      <w:r>
        <w:rPr>
          <w:rFonts w:asciiTheme="minorEastAsia" w:hAnsiTheme="minorEastAsia" w:eastAsiaTheme="minorEastAsia"/>
          <w:sz w:val="32"/>
          <w:szCs w:val="32"/>
        </w:rPr>
        <w:t>1100.41</w:t>
      </w:r>
      <w:r>
        <w:rPr>
          <w:rFonts w:hint="eastAsia" w:asciiTheme="minorEastAsia" w:hAnsiTheme="minorEastAsia" w:eastAsiaTheme="minorEastAsia"/>
          <w:sz w:val="32"/>
          <w:szCs w:val="32"/>
        </w:rPr>
        <w:t>万元，完成年初预算的10</w:t>
      </w:r>
      <w:r>
        <w:rPr>
          <w:rFonts w:asciiTheme="minorEastAsia" w:hAnsiTheme="minorEastAsia" w:eastAsiaTheme="minorEastAsia"/>
          <w:sz w:val="32"/>
          <w:szCs w:val="32"/>
        </w:rPr>
        <w:t>2.04</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1、一般公共服务（类）政府办公厅（室）及相关事务（款）行政运行（项）。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196.52</w:t>
      </w:r>
      <w:r>
        <w:rPr>
          <w:rFonts w:hint="eastAsia" w:asciiTheme="minorEastAsia" w:hAnsiTheme="minorEastAsia" w:eastAsiaTheme="minorEastAsia"/>
          <w:sz w:val="32"/>
          <w:szCs w:val="32"/>
        </w:rPr>
        <w:t>万元，支出决算为246.97万元，完成年初预算的1</w:t>
      </w:r>
      <w:r>
        <w:rPr>
          <w:rFonts w:asciiTheme="minorEastAsia" w:hAnsiTheme="minorEastAsia" w:eastAsiaTheme="minorEastAsia"/>
          <w:sz w:val="32"/>
          <w:szCs w:val="32"/>
        </w:rPr>
        <w:t>25.67</w:t>
      </w:r>
      <w:r>
        <w:rPr>
          <w:rFonts w:hint="eastAsia" w:asciiTheme="minorEastAsia" w:hAnsiTheme="minorEastAsia" w:eastAsiaTheme="minorEastAsia"/>
          <w:sz w:val="32"/>
          <w:szCs w:val="32"/>
        </w:rPr>
        <w:t>%，决算数大于年初预算数的主要原因是：年中政策性追加人员。</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2、一般公共服务政府办公厅（室）及相关事务（款）一般行政管理事务（项）。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万元，支出决算为40.9</w:t>
      </w:r>
      <w:r>
        <w:rPr>
          <w:rFonts w:asciiTheme="minorEastAsia" w:hAnsiTheme="minorEastAsia" w:eastAsiaTheme="minorEastAsia"/>
          <w:sz w:val="32"/>
          <w:szCs w:val="32"/>
        </w:rPr>
        <w:t>1</w:t>
      </w:r>
      <w:r>
        <w:rPr>
          <w:rFonts w:hint="eastAsia" w:asciiTheme="minorEastAsia" w:hAnsiTheme="minorEastAsia" w:eastAsiaTheme="minorEastAsia"/>
          <w:sz w:val="32"/>
          <w:szCs w:val="32"/>
        </w:rPr>
        <w:t>万元，决算数大于年初预算数的主要原因是：年中追加公用经费。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3、一般公共服务政府办公厅（室）及相关事务（款）政务公开审批（项）。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881.94</w:t>
      </w:r>
      <w:r>
        <w:rPr>
          <w:rFonts w:hint="eastAsia" w:asciiTheme="minorEastAsia" w:hAnsiTheme="minorEastAsia" w:eastAsiaTheme="minorEastAsia"/>
          <w:sz w:val="32"/>
          <w:szCs w:val="32"/>
        </w:rPr>
        <w:t>元，支出决算为812.53万元，完成年初预算的</w:t>
      </w:r>
      <w:r>
        <w:rPr>
          <w:rFonts w:asciiTheme="minorEastAsia" w:hAnsiTheme="minorEastAsia" w:eastAsiaTheme="minorEastAsia"/>
          <w:sz w:val="32"/>
          <w:szCs w:val="32"/>
        </w:rPr>
        <w:t>92.13</w:t>
      </w:r>
      <w:r>
        <w:rPr>
          <w:rFonts w:hint="eastAsia" w:asciiTheme="minorEastAsia" w:hAnsiTheme="minorEastAsia" w:eastAsiaTheme="minorEastAsia"/>
          <w:sz w:val="32"/>
          <w:szCs w:val="32"/>
        </w:rPr>
        <w:t>%，决算数小于年初预算数的主要原因是：节约开支，压减支出。</w:t>
      </w:r>
    </w:p>
    <w:p>
      <w:pPr>
        <w:autoSpaceDE w:val="0"/>
        <w:autoSpaceDN w:val="0"/>
        <w:adjustRightInd w:val="0"/>
        <w:jc w:val="left"/>
        <w:outlineLvl w:val="0"/>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六、一般公共预算财政拨款基本支出决算情况说明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2020年度财政拨款基本支出</w:t>
      </w:r>
      <w:r>
        <w:rPr>
          <w:rFonts w:cs="黑体" w:asciiTheme="minorEastAsia" w:hAnsiTheme="minorEastAsia"/>
          <w:color w:val="000000"/>
          <w:kern w:val="0"/>
          <w:sz w:val="32"/>
          <w:szCs w:val="32"/>
        </w:rPr>
        <w:t>246.97</w:t>
      </w:r>
      <w:r>
        <w:rPr>
          <w:rFonts w:hint="eastAsia" w:cs="黑体" w:asciiTheme="minorEastAsia" w:hAnsiTheme="minorEastAsia"/>
          <w:color w:val="000000"/>
          <w:kern w:val="0"/>
          <w:sz w:val="32"/>
          <w:szCs w:val="32"/>
        </w:rPr>
        <w:t>万元，其中：人员经费</w:t>
      </w:r>
      <w:r>
        <w:rPr>
          <w:rFonts w:cs="黑体" w:asciiTheme="minorEastAsia" w:hAnsiTheme="minorEastAsia"/>
          <w:color w:val="000000"/>
          <w:kern w:val="0"/>
          <w:sz w:val="32"/>
          <w:szCs w:val="32"/>
        </w:rPr>
        <w:t>217.32</w:t>
      </w:r>
      <w:r>
        <w:rPr>
          <w:rFonts w:hint="eastAsia" w:cs="黑体" w:asciiTheme="minorEastAsia" w:hAnsiTheme="minorEastAsia"/>
          <w:color w:val="000000"/>
          <w:kern w:val="0"/>
          <w:sz w:val="32"/>
          <w:szCs w:val="32"/>
        </w:rPr>
        <w:t>万元，占基本支出的</w:t>
      </w:r>
      <w:r>
        <w:rPr>
          <w:rFonts w:cs="黑体" w:asciiTheme="minorEastAsia" w:hAnsiTheme="minorEastAsia"/>
          <w:color w:val="000000"/>
          <w:kern w:val="0"/>
          <w:sz w:val="32"/>
          <w:szCs w:val="32"/>
        </w:rPr>
        <w:t>87.99</w:t>
      </w:r>
      <w:r>
        <w:rPr>
          <w:rFonts w:hint="eastAsia" w:cs="黑体" w:asciiTheme="minorEastAsia" w:hAnsiTheme="minorEastAsia"/>
          <w:color w:val="000000"/>
          <w:kern w:val="0"/>
          <w:sz w:val="32"/>
          <w:szCs w:val="32"/>
        </w:rPr>
        <w:t>%,主要包括基本工资、奖金、伙食补助费、绩效工资、机关事业单位基本养老保险缴费、职工基本医疗保险缴费、职业年金缴费、公务员医疗补助缴费、 其他社会保障缴费、住房公积金、其他工资福利支出等；公用经费</w:t>
      </w:r>
      <w:r>
        <w:rPr>
          <w:rFonts w:cs="黑体" w:asciiTheme="minorEastAsia" w:hAnsiTheme="minorEastAsia"/>
          <w:color w:val="000000"/>
          <w:kern w:val="0"/>
          <w:sz w:val="32"/>
          <w:szCs w:val="32"/>
        </w:rPr>
        <w:t>29.65</w:t>
      </w:r>
      <w:r>
        <w:rPr>
          <w:rFonts w:hint="eastAsia" w:cs="黑体" w:asciiTheme="minorEastAsia" w:hAnsiTheme="minorEastAsia"/>
          <w:color w:val="000000"/>
          <w:kern w:val="0"/>
          <w:sz w:val="32"/>
          <w:szCs w:val="32"/>
        </w:rPr>
        <w:t>万元，占基本支出的</w:t>
      </w:r>
      <w:r>
        <w:rPr>
          <w:rFonts w:cs="黑体" w:asciiTheme="minorEastAsia" w:hAnsiTheme="minorEastAsia"/>
          <w:color w:val="000000"/>
          <w:kern w:val="0"/>
          <w:sz w:val="32"/>
          <w:szCs w:val="32"/>
        </w:rPr>
        <w:t>12</w:t>
      </w:r>
      <w:r>
        <w:rPr>
          <w:rFonts w:hint="eastAsia" w:cs="黑体" w:asciiTheme="minorEastAsia" w:hAnsiTheme="minorEastAsia"/>
          <w:color w:val="000000"/>
          <w:kern w:val="0"/>
          <w:sz w:val="32"/>
          <w:szCs w:val="32"/>
        </w:rPr>
        <w:t>.</w:t>
      </w:r>
      <w:r>
        <w:rPr>
          <w:rFonts w:cs="黑体" w:asciiTheme="minorEastAsia" w:hAnsiTheme="minorEastAsia"/>
          <w:color w:val="000000"/>
          <w:kern w:val="0"/>
          <w:sz w:val="32"/>
          <w:szCs w:val="32"/>
        </w:rPr>
        <w:t>01</w:t>
      </w:r>
      <w:r>
        <w:rPr>
          <w:rFonts w:hint="eastAsia" w:cs="黑体" w:asciiTheme="minorEastAsia" w:hAnsiTheme="minorEastAsia"/>
          <w:color w:val="000000"/>
          <w:kern w:val="0"/>
          <w:sz w:val="32"/>
          <w:szCs w:val="32"/>
        </w:rPr>
        <w:t>%，主要包括办公费、邮电费、差旅费、 维修（护）费、培训费、劳务费、工会经费、其他交通费用、 其他商品和服务支出。</w:t>
      </w:r>
    </w:p>
    <w:p>
      <w:pPr>
        <w:autoSpaceDE w:val="0"/>
        <w:autoSpaceDN w:val="0"/>
        <w:adjustRightInd w:val="0"/>
        <w:jc w:val="left"/>
        <w:outlineLvl w:val="0"/>
        <w:rPr>
          <w:rFonts w:ascii="黑体" w:hAnsi="黑体" w:eastAsia="黑体" w:cs="黑体"/>
          <w:b/>
          <w:color w:val="000000"/>
          <w:kern w:val="0"/>
          <w:sz w:val="32"/>
          <w:szCs w:val="32"/>
        </w:rPr>
      </w:pPr>
      <w:r>
        <w:rPr>
          <w:rFonts w:hint="eastAsia" w:ascii="黑体" w:hAnsi="黑体" w:eastAsia="黑体" w:cs="黑体"/>
          <w:b/>
          <w:color w:val="000000"/>
          <w:kern w:val="0"/>
          <w:sz w:val="32"/>
          <w:szCs w:val="32"/>
        </w:rPr>
        <w:t>七、一般公共预算财政拨款三公经费支出决算情况说明</w:t>
      </w:r>
    </w:p>
    <w:p>
      <w:pPr>
        <w:autoSpaceDE w:val="0"/>
        <w:autoSpaceDN w:val="0"/>
        <w:adjustRightInd w:val="0"/>
        <w:jc w:val="left"/>
        <w:outlineLvl w:val="1"/>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（一）“三公”经费财政拨款支出决算总体情况说明</w:t>
      </w:r>
    </w:p>
    <w:p>
      <w:pPr>
        <w:autoSpaceDE w:val="0"/>
        <w:autoSpaceDN w:val="0"/>
        <w:adjustRightInd w:val="0"/>
        <w:ind w:firstLine="800" w:firstLineChars="25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“三公”经费财政拨款支出预算为</w:t>
      </w:r>
      <w:r>
        <w:rPr>
          <w:rFonts w:cs="黑体" w:asciiTheme="minorEastAsia" w:hAnsiTheme="minorEastAsia"/>
          <w:color w:val="000000"/>
          <w:kern w:val="0"/>
          <w:sz w:val="32"/>
          <w:szCs w:val="32"/>
        </w:rPr>
        <w:t>10</w:t>
      </w:r>
      <w:r>
        <w:rPr>
          <w:rFonts w:hint="eastAsia" w:cs="黑体" w:asciiTheme="minorEastAsia" w:hAnsiTheme="minorEastAsia"/>
          <w:color w:val="000000"/>
          <w:kern w:val="0"/>
          <w:sz w:val="32"/>
          <w:szCs w:val="32"/>
        </w:rPr>
        <w:t>元，支出决算为0.</w:t>
      </w:r>
      <w:r>
        <w:rPr>
          <w:rFonts w:cs="黑体" w:asciiTheme="minorEastAsia" w:hAnsiTheme="minorEastAsia"/>
          <w:color w:val="000000"/>
          <w:kern w:val="0"/>
          <w:sz w:val="32"/>
          <w:szCs w:val="32"/>
        </w:rPr>
        <w:t>03</w:t>
      </w:r>
      <w:r>
        <w:rPr>
          <w:rFonts w:hint="eastAsia" w:cs="黑体" w:asciiTheme="minorEastAsia" w:hAnsiTheme="minorEastAsia"/>
          <w:color w:val="000000"/>
          <w:kern w:val="0"/>
          <w:sz w:val="32"/>
          <w:szCs w:val="32"/>
        </w:rPr>
        <w:t>万元，完成预算的</w:t>
      </w:r>
      <w:r>
        <w:rPr>
          <w:rFonts w:cs="黑体" w:asciiTheme="minorEastAsia" w:hAnsiTheme="minorEastAsia"/>
          <w:color w:val="000000"/>
          <w:kern w:val="0"/>
          <w:sz w:val="32"/>
          <w:szCs w:val="32"/>
        </w:rPr>
        <w:t>0.3</w:t>
      </w:r>
      <w:r>
        <w:rPr>
          <w:rFonts w:hint="eastAsia" w:cs="黑体" w:asciiTheme="minorEastAsia" w:hAnsiTheme="minorEastAsia"/>
          <w:color w:val="000000"/>
          <w:kern w:val="0"/>
          <w:sz w:val="32"/>
          <w:szCs w:val="32"/>
        </w:rPr>
        <w:t>%，其中：</w:t>
      </w:r>
    </w:p>
    <w:p>
      <w:pPr>
        <w:autoSpaceDE w:val="0"/>
        <w:autoSpaceDN w:val="0"/>
        <w:adjustRightInd w:val="0"/>
        <w:ind w:firstLine="800" w:firstLineChars="25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因公出国（境）费支出预算为0万元，支出决算为0万元，完成预算的0%，决算数与预算数增减无变化；与上年相比增减无变化。</w:t>
      </w:r>
    </w:p>
    <w:p>
      <w:pPr>
        <w:autoSpaceDE w:val="0"/>
        <w:autoSpaceDN w:val="0"/>
        <w:adjustRightInd w:val="0"/>
        <w:ind w:firstLine="800" w:firstLineChars="25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公务接待费支出预算为</w:t>
      </w:r>
      <w:r>
        <w:rPr>
          <w:rFonts w:cs="黑体" w:asciiTheme="minorEastAsia" w:hAnsiTheme="minorEastAsia"/>
          <w:color w:val="000000"/>
          <w:kern w:val="0"/>
          <w:sz w:val="32"/>
          <w:szCs w:val="32"/>
        </w:rPr>
        <w:t>10</w:t>
      </w:r>
      <w:r>
        <w:rPr>
          <w:rFonts w:hint="eastAsia" w:cs="黑体" w:asciiTheme="minorEastAsia" w:hAnsiTheme="minorEastAsia"/>
          <w:color w:val="000000"/>
          <w:kern w:val="0"/>
          <w:sz w:val="32"/>
          <w:szCs w:val="32"/>
        </w:rPr>
        <w:t>万元，支出决算为0.</w:t>
      </w:r>
      <w:r>
        <w:rPr>
          <w:rFonts w:cs="黑体" w:asciiTheme="minorEastAsia" w:hAnsiTheme="minorEastAsia"/>
          <w:color w:val="000000"/>
          <w:kern w:val="0"/>
          <w:sz w:val="32"/>
          <w:szCs w:val="32"/>
        </w:rPr>
        <w:t>03</w:t>
      </w:r>
      <w:r>
        <w:rPr>
          <w:rFonts w:hint="eastAsia" w:cs="黑体" w:asciiTheme="minorEastAsia" w:hAnsiTheme="minorEastAsia"/>
          <w:color w:val="000000"/>
          <w:kern w:val="0"/>
          <w:sz w:val="32"/>
          <w:szCs w:val="32"/>
        </w:rPr>
        <w:t>万元，完成预算的</w:t>
      </w:r>
      <w:r>
        <w:rPr>
          <w:rFonts w:cs="黑体" w:asciiTheme="minorEastAsia" w:hAnsiTheme="minorEastAsia"/>
          <w:color w:val="000000"/>
          <w:kern w:val="0"/>
          <w:sz w:val="32"/>
          <w:szCs w:val="32"/>
        </w:rPr>
        <w:t>0.3</w:t>
      </w:r>
      <w:r>
        <w:rPr>
          <w:rFonts w:hint="eastAsia" w:cs="黑体" w:asciiTheme="minorEastAsia" w:hAnsiTheme="minorEastAsia"/>
          <w:color w:val="000000"/>
          <w:kern w:val="0"/>
          <w:sz w:val="32"/>
          <w:szCs w:val="32"/>
        </w:rPr>
        <w:t>%，决算数小于预算数的主要原因是我单位认真贯彻落实中央八项规定等要求，严格控制接待支出，降低接待标准；与上年相比减少</w:t>
      </w:r>
      <w:r>
        <w:rPr>
          <w:rFonts w:cs="黑体" w:asciiTheme="minorEastAsia" w:hAnsiTheme="minorEastAsia"/>
          <w:color w:val="000000"/>
          <w:kern w:val="0"/>
          <w:sz w:val="32"/>
          <w:szCs w:val="32"/>
        </w:rPr>
        <w:t>1.18</w:t>
      </w:r>
      <w:r>
        <w:rPr>
          <w:rFonts w:hint="eastAsia" w:cs="黑体" w:asciiTheme="minorEastAsia" w:hAnsiTheme="minorEastAsia"/>
          <w:color w:val="000000"/>
          <w:kern w:val="0"/>
          <w:sz w:val="32"/>
          <w:szCs w:val="32"/>
        </w:rPr>
        <w:t>万元，减少</w:t>
      </w:r>
      <w:r>
        <w:rPr>
          <w:rFonts w:cs="黑体" w:asciiTheme="minorEastAsia" w:hAnsiTheme="minorEastAsia"/>
          <w:color w:val="000000"/>
          <w:kern w:val="0"/>
          <w:sz w:val="32"/>
          <w:szCs w:val="32"/>
        </w:rPr>
        <w:t>97.52</w:t>
      </w:r>
      <w:r>
        <w:rPr>
          <w:rFonts w:hint="eastAsia" w:cs="黑体" w:asciiTheme="minorEastAsia" w:hAnsiTheme="minorEastAsia"/>
          <w:color w:val="000000"/>
          <w:kern w:val="0"/>
          <w:sz w:val="32"/>
          <w:szCs w:val="32"/>
        </w:rPr>
        <w:t>%,减少的主要原因是认真贯彻落实中央八项规定，减少接待次数、降低接待标准。</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公务用车购置费及运行维护费支出预算为0万元，支出决算为0万元，完成预算的0%，决算数与预算数增减无变化；与上年相比增减无变化。</w:t>
      </w:r>
    </w:p>
    <w:p>
      <w:pPr>
        <w:autoSpaceDE w:val="0"/>
        <w:autoSpaceDN w:val="0"/>
        <w:adjustRightInd w:val="0"/>
        <w:jc w:val="left"/>
        <w:outlineLvl w:val="1"/>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（二）“三公”经费财政拨款支出决算具体情况说明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2020年度“三公”经费财政拨款支出决算中，公务接待费支出决算0.</w:t>
      </w:r>
      <w:r>
        <w:rPr>
          <w:rFonts w:cs="黑体" w:asciiTheme="minorEastAsia" w:hAnsiTheme="minorEastAsia"/>
          <w:color w:val="000000"/>
          <w:kern w:val="0"/>
          <w:sz w:val="32"/>
          <w:szCs w:val="32"/>
        </w:rPr>
        <w:t>03</w:t>
      </w:r>
      <w:r>
        <w:rPr>
          <w:rFonts w:hint="eastAsia" w:cs="黑体" w:asciiTheme="minorEastAsia" w:hAnsiTheme="minorEastAsia"/>
          <w:color w:val="000000"/>
          <w:kern w:val="0"/>
          <w:sz w:val="32"/>
          <w:szCs w:val="32"/>
        </w:rPr>
        <w:t>万元，占100%,因公出国（境）费支出决算0万元，占0%,公务用车购置费及运行维护费支出决算0万元，占0%。其中：</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color w:val="000000"/>
          <w:kern w:val="0"/>
          <w:sz w:val="32"/>
          <w:szCs w:val="32"/>
        </w:rPr>
        <w:t>1、因公出国（境）费支出决算为0万元，全年安排因公出国（境）团组0个，累计0人次。</w:t>
      </w:r>
    </w:p>
    <w:p>
      <w:pPr>
        <w:autoSpaceDE w:val="0"/>
        <w:autoSpaceDN w:val="0"/>
        <w:adjustRightInd w:val="0"/>
        <w:ind w:firstLine="800" w:firstLineChars="25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2、公务接待费支出决算为0.</w:t>
      </w:r>
      <w:r>
        <w:rPr>
          <w:rFonts w:cs="黑体" w:asciiTheme="minorEastAsia" w:hAnsiTheme="minorEastAsia"/>
          <w:color w:val="000000"/>
          <w:kern w:val="0"/>
          <w:sz w:val="32"/>
          <w:szCs w:val="32"/>
        </w:rPr>
        <w:t>03</w:t>
      </w:r>
      <w:r>
        <w:rPr>
          <w:rFonts w:hint="eastAsia" w:cs="黑体" w:asciiTheme="minorEastAsia" w:hAnsiTheme="minorEastAsia"/>
          <w:color w:val="000000"/>
          <w:kern w:val="0"/>
          <w:sz w:val="32"/>
          <w:szCs w:val="32"/>
        </w:rPr>
        <w:t>万元，全年共接待来宾</w:t>
      </w:r>
      <w:r>
        <w:rPr>
          <w:rFonts w:cs="黑体" w:asciiTheme="minorEastAsia" w:hAnsiTheme="minorEastAsia"/>
          <w:color w:val="000000"/>
          <w:kern w:val="0"/>
          <w:sz w:val="32"/>
          <w:szCs w:val="32"/>
        </w:rPr>
        <w:t>8</w:t>
      </w:r>
      <w:r>
        <w:rPr>
          <w:rFonts w:hint="eastAsia" w:cs="黑体" w:asciiTheme="minorEastAsia" w:hAnsiTheme="minorEastAsia"/>
          <w:color w:val="000000"/>
          <w:kern w:val="0"/>
          <w:sz w:val="32"/>
          <w:szCs w:val="32"/>
        </w:rPr>
        <w:t>人次，主要是日常接待发生的接待支出。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3、公务用车购置费及运行维护费支出决算为0万元，其中：公务用车购置费0万元，单位本级更新公务用车0辆</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公务用车运行维护费0万元，截止2020年12月31日，我单位开支财政拨款的公务用车保有量为0辆。</w:t>
      </w:r>
    </w:p>
    <w:p>
      <w:pPr>
        <w:pStyle w:val="9"/>
        <w:rPr>
          <w:rFonts w:hAnsi="黑体"/>
          <w:b/>
          <w:sz w:val="32"/>
          <w:szCs w:val="32"/>
        </w:rPr>
      </w:pPr>
      <w:r>
        <w:rPr>
          <w:rFonts w:hint="eastAsia" w:hAnsi="黑体"/>
          <w:b/>
          <w:sz w:val="32"/>
          <w:szCs w:val="32"/>
        </w:rPr>
        <w:t>八、政府性基金预算收入支出决算情况</w:t>
      </w:r>
    </w:p>
    <w:p>
      <w:pPr>
        <w:pStyle w:val="9"/>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2020年度政府性基金预算财政拨款收入0万元；年初结转和结余0万元；支出0万元，其中基本支出0万元，项目支出0万元；年末结转和结余0万元。</w:t>
      </w:r>
    </w:p>
    <w:p>
      <w:pPr>
        <w:pStyle w:val="9"/>
        <w:rPr>
          <w:rFonts w:hAnsi="黑体"/>
          <w:b/>
          <w:sz w:val="32"/>
          <w:szCs w:val="32"/>
        </w:rPr>
      </w:pPr>
      <w:r>
        <w:rPr>
          <w:rFonts w:hint="eastAsia" w:hAnsi="黑体"/>
          <w:b/>
          <w:sz w:val="32"/>
          <w:szCs w:val="32"/>
        </w:rPr>
        <w:t>九、国有资本经营预算财政拨款支出决算情况</w:t>
      </w:r>
    </w:p>
    <w:p>
      <w:pPr>
        <w:pStyle w:val="9"/>
        <w:rPr>
          <w:rFonts w:asciiTheme="minorEastAsia" w:hAnsiTheme="minorEastAsia" w:eastAsiaTheme="minorEastAsia"/>
          <w:sz w:val="32"/>
          <w:szCs w:val="32"/>
        </w:rPr>
      </w:pPr>
      <w:r>
        <w:rPr>
          <w:rFonts w:hint="eastAsia" w:hAnsi="黑体"/>
          <w:b/>
          <w:sz w:val="32"/>
          <w:szCs w:val="32"/>
        </w:rPr>
        <w:t xml:space="preserve">     </w:t>
      </w:r>
      <w:r>
        <w:rPr>
          <w:rFonts w:hint="eastAsia" w:asciiTheme="minorEastAsia" w:hAnsiTheme="minorEastAsia" w:eastAsiaTheme="minorEastAsia"/>
          <w:sz w:val="32"/>
          <w:szCs w:val="32"/>
        </w:rPr>
        <w:t>本单位2020年度无国有资本经营预算财政拨款支出。</w:t>
      </w:r>
    </w:p>
    <w:p>
      <w:pPr>
        <w:autoSpaceDE w:val="0"/>
        <w:autoSpaceDN w:val="0"/>
        <w:adjustRightInd w:val="0"/>
        <w:jc w:val="left"/>
        <w:outlineLvl w:val="0"/>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十、关于2020年度预算绩效情况的说明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我单位严格执行《湘潭县预算绩效管理实施办法》，以提升财政资金绩效为主线，以绩效目标实现为导向，以财政支出绩效评价为手段，以评价结果应用为保障，积极推进了预算绩效管理工作。制定了《湘潭县行政审批服务局预算绩效管理实施方案》,确定了单位绩效管理及自评范围，按要求报送部门整体绩效目标申报表以及跟踪监控表，并按要求积极开展2020年度绩效自评工作，将自评报告在湘潭县人民政府网站进行了公开。本单位2020年度无重点项目。</w:t>
      </w:r>
    </w:p>
    <w:p>
      <w:pPr>
        <w:autoSpaceDE w:val="0"/>
        <w:autoSpaceDN w:val="0"/>
        <w:adjustRightInd w:val="0"/>
        <w:jc w:val="left"/>
        <w:outlineLvl w:val="0"/>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十一、</w:t>
      </w:r>
      <w:r>
        <w:rPr>
          <w:rFonts w:ascii="黑体" w:hAnsi="黑体" w:eastAsia="黑体" w:cs="黑体"/>
          <w:b/>
          <w:color w:val="000000"/>
          <w:kern w:val="0"/>
          <w:sz w:val="32"/>
          <w:szCs w:val="32"/>
        </w:rPr>
        <w:t>其他重要事项情况说明</w:t>
      </w:r>
    </w:p>
    <w:p>
      <w:pPr>
        <w:spacing w:line="600" w:lineRule="exact"/>
        <w:ind w:firstLine="313" w:firstLineChars="98"/>
        <w:outlineLvl w:val="0"/>
        <w:rPr>
          <w:rFonts w:ascii="楷体_GB2312" w:eastAsia="楷体_GB2312"/>
          <w:b/>
          <w:kern w:val="0"/>
          <w:sz w:val="32"/>
          <w:szCs w:val="32"/>
        </w:rPr>
      </w:pPr>
      <w:r>
        <w:rPr>
          <w:rFonts w:hint="eastAsia" w:ascii="楷体_GB2312" w:eastAsia="楷体_GB2312"/>
          <w:b/>
          <w:kern w:val="0"/>
          <w:sz w:val="32"/>
          <w:szCs w:val="32"/>
        </w:rPr>
        <w:t>（一）机关运行经费支出情况</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本部门2020年度机关运行经费支出</w:t>
      </w:r>
      <w:r>
        <w:rPr>
          <w:rFonts w:cs="黑体" w:asciiTheme="minorEastAsia" w:hAnsiTheme="minorEastAsia"/>
          <w:color w:val="000000"/>
          <w:kern w:val="0"/>
          <w:sz w:val="32"/>
          <w:szCs w:val="32"/>
        </w:rPr>
        <w:t>29</w:t>
      </w:r>
      <w:r>
        <w:rPr>
          <w:rFonts w:hint="eastAsia" w:cs="黑体" w:asciiTheme="minorEastAsia" w:hAnsiTheme="minorEastAsia"/>
          <w:color w:val="000000"/>
          <w:kern w:val="0"/>
          <w:sz w:val="32"/>
          <w:szCs w:val="32"/>
        </w:rPr>
        <w:t>.</w:t>
      </w:r>
      <w:r>
        <w:rPr>
          <w:rFonts w:cs="黑体" w:asciiTheme="minorEastAsia" w:hAnsiTheme="minorEastAsia"/>
          <w:color w:val="000000"/>
          <w:kern w:val="0"/>
          <w:sz w:val="32"/>
          <w:szCs w:val="32"/>
        </w:rPr>
        <w:t>65</w:t>
      </w:r>
      <w:r>
        <w:rPr>
          <w:rFonts w:hint="eastAsia" w:cs="黑体" w:asciiTheme="minorEastAsia" w:hAnsiTheme="minorEastAsia"/>
          <w:color w:val="000000"/>
          <w:kern w:val="0"/>
          <w:sz w:val="32"/>
          <w:szCs w:val="32"/>
        </w:rPr>
        <w:t>万元，比年初预算数增加8</w:t>
      </w:r>
      <w:r>
        <w:rPr>
          <w:rFonts w:cs="黑体" w:asciiTheme="minorEastAsia" w:hAnsiTheme="minorEastAsia"/>
          <w:color w:val="000000"/>
          <w:kern w:val="0"/>
          <w:sz w:val="32"/>
          <w:szCs w:val="32"/>
        </w:rPr>
        <w:t>.88</w:t>
      </w:r>
      <w:r>
        <w:rPr>
          <w:rFonts w:hint="eastAsia" w:cs="黑体" w:asciiTheme="minorEastAsia" w:hAnsiTheme="minorEastAsia"/>
          <w:color w:val="000000"/>
          <w:kern w:val="0"/>
          <w:sz w:val="32"/>
          <w:szCs w:val="32"/>
        </w:rPr>
        <w:t>万元，增长4</w:t>
      </w:r>
      <w:r>
        <w:rPr>
          <w:rFonts w:cs="黑体" w:asciiTheme="minorEastAsia" w:hAnsiTheme="minorEastAsia"/>
          <w:color w:val="000000"/>
          <w:kern w:val="0"/>
          <w:sz w:val="32"/>
          <w:szCs w:val="32"/>
        </w:rPr>
        <w:t>2.75</w:t>
      </w:r>
      <w:r>
        <w:rPr>
          <w:rFonts w:hint="eastAsia" w:cs="黑体" w:asciiTheme="minorEastAsia" w:hAnsiTheme="minorEastAsia"/>
          <w:color w:val="000000"/>
          <w:kern w:val="0"/>
          <w:sz w:val="32"/>
          <w:szCs w:val="32"/>
        </w:rPr>
        <w:t>%。主要原因是：一是年中追加公务交通补贴；二是如工会经费、扶贫、党建等相关工作支出年初无预算或预算较少。</w:t>
      </w:r>
    </w:p>
    <w:p>
      <w:pPr>
        <w:spacing w:line="600" w:lineRule="exact"/>
        <w:ind w:firstLine="313" w:firstLineChars="98"/>
        <w:outlineLvl w:val="0"/>
        <w:rPr>
          <w:rFonts w:ascii="楷体_GB2312" w:eastAsia="楷体_GB2312"/>
          <w:b/>
          <w:kern w:val="0"/>
          <w:sz w:val="32"/>
          <w:szCs w:val="32"/>
        </w:rPr>
      </w:pPr>
      <w:r>
        <w:rPr>
          <w:rFonts w:hint="eastAsia" w:ascii="楷体_GB2312" w:eastAsia="楷体_GB2312"/>
          <w:b/>
          <w:kern w:val="0"/>
          <w:sz w:val="32"/>
          <w:szCs w:val="32"/>
        </w:rPr>
        <w:t>（二）一般性支出情况</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2020年本部门开支会议费0万元，未召开会议，人数0人；开支培训费</w:t>
      </w:r>
      <w:r>
        <w:rPr>
          <w:rFonts w:cs="黑体" w:asciiTheme="minorEastAsia" w:hAnsiTheme="minorEastAsia"/>
          <w:color w:val="000000"/>
          <w:kern w:val="0"/>
          <w:sz w:val="32"/>
          <w:szCs w:val="32"/>
        </w:rPr>
        <w:t>0</w:t>
      </w:r>
      <w:r>
        <w:rPr>
          <w:rFonts w:hint="eastAsia" w:cs="黑体" w:asciiTheme="minorEastAsia" w:hAnsiTheme="minorEastAsia"/>
          <w:color w:val="000000"/>
          <w:kern w:val="0"/>
          <w:sz w:val="32"/>
          <w:szCs w:val="32"/>
        </w:rPr>
        <w:t>万元，未进行培训；举办节庆、晚会、论坛、赛事活动0次，开支0万元。</w:t>
      </w:r>
    </w:p>
    <w:p>
      <w:pPr>
        <w:spacing w:line="600" w:lineRule="exact"/>
        <w:ind w:firstLine="313" w:firstLineChars="98"/>
        <w:outlineLvl w:val="0"/>
        <w:rPr>
          <w:rFonts w:ascii="楷体_GB2312" w:eastAsia="楷体_GB2312"/>
          <w:b/>
          <w:kern w:val="0"/>
          <w:sz w:val="32"/>
          <w:szCs w:val="32"/>
        </w:rPr>
      </w:pPr>
      <w:r>
        <w:rPr>
          <w:rFonts w:hint="eastAsia" w:ascii="楷体_GB2312" w:eastAsia="楷体_GB2312"/>
          <w:b/>
          <w:kern w:val="0"/>
          <w:sz w:val="32"/>
          <w:szCs w:val="32"/>
        </w:rPr>
        <w:t>（三）政府采购支出情况</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本部门2020年度政府采购支出总额</w:t>
      </w:r>
      <w:r>
        <w:rPr>
          <w:rFonts w:cs="黑体" w:asciiTheme="minorEastAsia" w:hAnsiTheme="minorEastAsia"/>
          <w:color w:val="000000"/>
          <w:kern w:val="0"/>
          <w:sz w:val="32"/>
          <w:szCs w:val="32"/>
        </w:rPr>
        <w:t>408.40</w:t>
      </w:r>
      <w:r>
        <w:rPr>
          <w:rFonts w:hint="eastAsia" w:cs="黑体" w:asciiTheme="minorEastAsia" w:hAnsiTheme="minorEastAsia"/>
          <w:color w:val="000000"/>
          <w:kern w:val="0"/>
          <w:sz w:val="32"/>
          <w:szCs w:val="32"/>
        </w:rPr>
        <w:t>万元，其中：政府采购货物支出0万元、政府采购工程支出0万元、政府采购服务支出</w:t>
      </w:r>
      <w:r>
        <w:rPr>
          <w:rFonts w:cs="黑体" w:asciiTheme="minorEastAsia" w:hAnsiTheme="minorEastAsia"/>
          <w:color w:val="000000"/>
          <w:kern w:val="0"/>
          <w:sz w:val="32"/>
          <w:szCs w:val="32"/>
        </w:rPr>
        <w:t>408.40</w:t>
      </w:r>
      <w:r>
        <w:rPr>
          <w:rFonts w:hint="eastAsia" w:cs="黑体" w:asciiTheme="minorEastAsia" w:hAnsiTheme="minorEastAsia"/>
          <w:color w:val="000000"/>
          <w:kern w:val="0"/>
          <w:sz w:val="32"/>
          <w:szCs w:val="32"/>
        </w:rPr>
        <w:t>万元。授予中小企业合同金额0万元，占政府采购支出总额的0%，其中：授予小微企业合同金额0万元，占政府采购支出总额的0%。</w:t>
      </w:r>
    </w:p>
    <w:p>
      <w:pPr>
        <w:spacing w:line="600" w:lineRule="exact"/>
        <w:ind w:firstLine="313" w:firstLineChars="98"/>
        <w:outlineLvl w:val="0"/>
        <w:rPr>
          <w:rFonts w:ascii="楷体_GB2312" w:eastAsia="楷体_GB2312"/>
          <w:b/>
          <w:kern w:val="0"/>
          <w:sz w:val="32"/>
          <w:szCs w:val="32"/>
        </w:rPr>
      </w:pPr>
      <w:r>
        <w:rPr>
          <w:rFonts w:hint="eastAsia" w:ascii="楷体_GB2312" w:eastAsia="楷体_GB2312"/>
          <w:b/>
          <w:kern w:val="0"/>
          <w:sz w:val="32"/>
          <w:szCs w:val="32"/>
        </w:rPr>
        <w:t>（四）国有资产占用情况</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2020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pPr>
        <w:pStyle w:val="9"/>
        <w:rPr>
          <w:rFonts w:hAnsi="黑体"/>
          <w:b/>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600" w:lineRule="exact"/>
        <w:ind w:firstLine="640" w:firstLineChars="200"/>
        <w:jc w:val="left"/>
        <w:rPr>
          <w:rFonts w:ascii="仿宋_GB2312" w:eastAsia="仿宋_GB2312"/>
          <w:color w:val="333333"/>
          <w:kern w:val="0"/>
          <w:sz w:val="32"/>
          <w:szCs w:val="32"/>
        </w:rPr>
      </w:pPr>
      <w:r>
        <w:rPr>
          <w:rFonts w:hint="eastAsia" w:ascii="仿宋_GB2312" w:eastAsia="仿宋_GB2312"/>
          <w:color w:val="333333"/>
          <w:kern w:val="0"/>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40" w:firstLineChars="200"/>
        <w:jc w:val="left"/>
        <w:rPr>
          <w:rFonts w:ascii="仿宋_GB2312" w:eastAsia="仿宋_GB2312"/>
          <w:color w:val="333333"/>
          <w:kern w:val="0"/>
          <w:sz w:val="32"/>
          <w:szCs w:val="32"/>
        </w:rPr>
      </w:pPr>
      <w:r>
        <w:rPr>
          <w:rFonts w:hint="eastAsia" w:ascii="仿宋_GB2312" w:eastAsia="仿宋_GB2312"/>
          <w:color w:val="333333"/>
          <w:kern w:val="0"/>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rPr>
          <w:rFonts w:cs="黑体" w:asciiTheme="minorEastAsia" w:hAnsiTheme="minorEastAsia"/>
          <w:b/>
          <w:color w:val="000000"/>
          <w:kern w:val="0"/>
          <w:sz w:val="32"/>
          <w:szCs w:val="32"/>
        </w:rPr>
      </w:pPr>
    </w:p>
    <w:p>
      <w:pPr>
        <w:jc w:val="left"/>
        <w:rPr>
          <w:rFonts w:cs="黑体" w:asciiTheme="minorEastAsia" w:hAnsiTheme="minorEastAsia"/>
          <w:color w:val="000000"/>
          <w:kern w:val="0"/>
          <w:sz w:val="32"/>
          <w:szCs w:val="32"/>
        </w:rPr>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IyNmNjODM1NzhkMzNmZmNlYWFlOTY2MjJiZjA3OWYifQ=="/>
  </w:docVars>
  <w:rsids>
    <w:rsidRoot w:val="004506F9"/>
    <w:rsid w:val="0000731F"/>
    <w:rsid w:val="0002229B"/>
    <w:rsid w:val="000273BD"/>
    <w:rsid w:val="000415B7"/>
    <w:rsid w:val="00041A53"/>
    <w:rsid w:val="00041E3F"/>
    <w:rsid w:val="000435E8"/>
    <w:rsid w:val="00055DAA"/>
    <w:rsid w:val="00061F7B"/>
    <w:rsid w:val="000658A3"/>
    <w:rsid w:val="00074155"/>
    <w:rsid w:val="00081D53"/>
    <w:rsid w:val="000A3F69"/>
    <w:rsid w:val="000E4449"/>
    <w:rsid w:val="000F40E6"/>
    <w:rsid w:val="000F6423"/>
    <w:rsid w:val="00103957"/>
    <w:rsid w:val="001277BE"/>
    <w:rsid w:val="00152C6D"/>
    <w:rsid w:val="00162C5D"/>
    <w:rsid w:val="00162D39"/>
    <w:rsid w:val="001678BD"/>
    <w:rsid w:val="00180522"/>
    <w:rsid w:val="001A67DB"/>
    <w:rsid w:val="001B13F5"/>
    <w:rsid w:val="001C3C29"/>
    <w:rsid w:val="001D51E5"/>
    <w:rsid w:val="001E080D"/>
    <w:rsid w:val="001E53D0"/>
    <w:rsid w:val="001F0C3B"/>
    <w:rsid w:val="001F0EBD"/>
    <w:rsid w:val="00201D06"/>
    <w:rsid w:val="00202C82"/>
    <w:rsid w:val="00214427"/>
    <w:rsid w:val="00226CB7"/>
    <w:rsid w:val="002371C6"/>
    <w:rsid w:val="00260808"/>
    <w:rsid w:val="00264552"/>
    <w:rsid w:val="00264EF9"/>
    <w:rsid w:val="00265724"/>
    <w:rsid w:val="0027426B"/>
    <w:rsid w:val="00293CA2"/>
    <w:rsid w:val="00293CE2"/>
    <w:rsid w:val="002D29B6"/>
    <w:rsid w:val="002E0A30"/>
    <w:rsid w:val="00312821"/>
    <w:rsid w:val="003130C4"/>
    <w:rsid w:val="00316C4B"/>
    <w:rsid w:val="0032192B"/>
    <w:rsid w:val="00331067"/>
    <w:rsid w:val="003479BD"/>
    <w:rsid w:val="00350456"/>
    <w:rsid w:val="0036099D"/>
    <w:rsid w:val="0037197D"/>
    <w:rsid w:val="003768D5"/>
    <w:rsid w:val="00391683"/>
    <w:rsid w:val="003C13AA"/>
    <w:rsid w:val="003C3850"/>
    <w:rsid w:val="003C47E6"/>
    <w:rsid w:val="003C4FC2"/>
    <w:rsid w:val="003F643D"/>
    <w:rsid w:val="00416E61"/>
    <w:rsid w:val="00420894"/>
    <w:rsid w:val="0042790C"/>
    <w:rsid w:val="004506F9"/>
    <w:rsid w:val="004717A2"/>
    <w:rsid w:val="00471B53"/>
    <w:rsid w:val="00473DF3"/>
    <w:rsid w:val="00487911"/>
    <w:rsid w:val="00491741"/>
    <w:rsid w:val="004B2DA1"/>
    <w:rsid w:val="004B47BE"/>
    <w:rsid w:val="004B4A28"/>
    <w:rsid w:val="004F705C"/>
    <w:rsid w:val="00500E5F"/>
    <w:rsid w:val="005122EF"/>
    <w:rsid w:val="0051441A"/>
    <w:rsid w:val="00517C33"/>
    <w:rsid w:val="00523644"/>
    <w:rsid w:val="005324CE"/>
    <w:rsid w:val="0054069E"/>
    <w:rsid w:val="00544866"/>
    <w:rsid w:val="005709DC"/>
    <w:rsid w:val="005767CC"/>
    <w:rsid w:val="00590D9F"/>
    <w:rsid w:val="00595D26"/>
    <w:rsid w:val="005A74E6"/>
    <w:rsid w:val="005B404E"/>
    <w:rsid w:val="005C2971"/>
    <w:rsid w:val="005D4D55"/>
    <w:rsid w:val="005E2CFB"/>
    <w:rsid w:val="005F3D1C"/>
    <w:rsid w:val="00611704"/>
    <w:rsid w:val="00617B74"/>
    <w:rsid w:val="0062378F"/>
    <w:rsid w:val="00641842"/>
    <w:rsid w:val="00647B7D"/>
    <w:rsid w:val="00651EEC"/>
    <w:rsid w:val="00662768"/>
    <w:rsid w:val="00672D20"/>
    <w:rsid w:val="00691E8C"/>
    <w:rsid w:val="00694F9F"/>
    <w:rsid w:val="006A22C4"/>
    <w:rsid w:val="006A351B"/>
    <w:rsid w:val="006B0422"/>
    <w:rsid w:val="006B0603"/>
    <w:rsid w:val="006B4CE3"/>
    <w:rsid w:val="006C1B53"/>
    <w:rsid w:val="006D7730"/>
    <w:rsid w:val="006E5284"/>
    <w:rsid w:val="006F3008"/>
    <w:rsid w:val="006F3EB5"/>
    <w:rsid w:val="00702E34"/>
    <w:rsid w:val="00704395"/>
    <w:rsid w:val="00717621"/>
    <w:rsid w:val="00720FF1"/>
    <w:rsid w:val="00727A53"/>
    <w:rsid w:val="007530B1"/>
    <w:rsid w:val="007837AE"/>
    <w:rsid w:val="007875F4"/>
    <w:rsid w:val="00787B42"/>
    <w:rsid w:val="0079570E"/>
    <w:rsid w:val="007A6CD0"/>
    <w:rsid w:val="007C0243"/>
    <w:rsid w:val="007C4539"/>
    <w:rsid w:val="007F0E5A"/>
    <w:rsid w:val="007F3657"/>
    <w:rsid w:val="00812E37"/>
    <w:rsid w:val="00812ED5"/>
    <w:rsid w:val="00820C37"/>
    <w:rsid w:val="008277D9"/>
    <w:rsid w:val="0084478C"/>
    <w:rsid w:val="00850CF3"/>
    <w:rsid w:val="0085654F"/>
    <w:rsid w:val="0086638C"/>
    <w:rsid w:val="00890604"/>
    <w:rsid w:val="008A1F6B"/>
    <w:rsid w:val="008A3E8D"/>
    <w:rsid w:val="008B18BB"/>
    <w:rsid w:val="009237C4"/>
    <w:rsid w:val="00944C48"/>
    <w:rsid w:val="00950252"/>
    <w:rsid w:val="00967F5D"/>
    <w:rsid w:val="00991461"/>
    <w:rsid w:val="009A0F95"/>
    <w:rsid w:val="009B2F93"/>
    <w:rsid w:val="009B33E4"/>
    <w:rsid w:val="009B3ADF"/>
    <w:rsid w:val="009C3B52"/>
    <w:rsid w:val="009D31F8"/>
    <w:rsid w:val="009D33DD"/>
    <w:rsid w:val="009D6557"/>
    <w:rsid w:val="009E310D"/>
    <w:rsid w:val="009E544E"/>
    <w:rsid w:val="009E6817"/>
    <w:rsid w:val="009E6E9A"/>
    <w:rsid w:val="00A01D2B"/>
    <w:rsid w:val="00A37BFA"/>
    <w:rsid w:val="00A42218"/>
    <w:rsid w:val="00A559A3"/>
    <w:rsid w:val="00A70249"/>
    <w:rsid w:val="00A70B02"/>
    <w:rsid w:val="00A71D9F"/>
    <w:rsid w:val="00A737A5"/>
    <w:rsid w:val="00A866D0"/>
    <w:rsid w:val="00A92E9F"/>
    <w:rsid w:val="00A971E2"/>
    <w:rsid w:val="00AC1480"/>
    <w:rsid w:val="00B22B99"/>
    <w:rsid w:val="00B33BEA"/>
    <w:rsid w:val="00B57C9F"/>
    <w:rsid w:val="00B63572"/>
    <w:rsid w:val="00B845B3"/>
    <w:rsid w:val="00B85D8B"/>
    <w:rsid w:val="00B87663"/>
    <w:rsid w:val="00B932D2"/>
    <w:rsid w:val="00BB4A40"/>
    <w:rsid w:val="00BD6C3E"/>
    <w:rsid w:val="00BE3674"/>
    <w:rsid w:val="00C10681"/>
    <w:rsid w:val="00C2198C"/>
    <w:rsid w:val="00C3049A"/>
    <w:rsid w:val="00C31B1E"/>
    <w:rsid w:val="00C520B6"/>
    <w:rsid w:val="00C77645"/>
    <w:rsid w:val="00C91FC1"/>
    <w:rsid w:val="00C9490D"/>
    <w:rsid w:val="00CC0F89"/>
    <w:rsid w:val="00CE04C3"/>
    <w:rsid w:val="00CE562E"/>
    <w:rsid w:val="00CE76A0"/>
    <w:rsid w:val="00D127F0"/>
    <w:rsid w:val="00D148C6"/>
    <w:rsid w:val="00D17A8A"/>
    <w:rsid w:val="00D2133F"/>
    <w:rsid w:val="00D30478"/>
    <w:rsid w:val="00D415BA"/>
    <w:rsid w:val="00D644EE"/>
    <w:rsid w:val="00D83435"/>
    <w:rsid w:val="00DD06FF"/>
    <w:rsid w:val="00DD5FE9"/>
    <w:rsid w:val="00E00C7A"/>
    <w:rsid w:val="00E1661B"/>
    <w:rsid w:val="00E37D6C"/>
    <w:rsid w:val="00E4318D"/>
    <w:rsid w:val="00E4790E"/>
    <w:rsid w:val="00E55B68"/>
    <w:rsid w:val="00E6097C"/>
    <w:rsid w:val="00E67BE6"/>
    <w:rsid w:val="00E8683C"/>
    <w:rsid w:val="00EA2B72"/>
    <w:rsid w:val="00EC65F7"/>
    <w:rsid w:val="00EE09A6"/>
    <w:rsid w:val="00F1353F"/>
    <w:rsid w:val="00F17498"/>
    <w:rsid w:val="00F74360"/>
    <w:rsid w:val="00FB462F"/>
    <w:rsid w:val="00FC6FD3"/>
    <w:rsid w:val="00FE16FA"/>
    <w:rsid w:val="00FE305D"/>
    <w:rsid w:val="00FE328A"/>
    <w:rsid w:val="00FE6269"/>
    <w:rsid w:val="00FF0606"/>
    <w:rsid w:val="1E6D18C3"/>
    <w:rsid w:val="303E761E"/>
    <w:rsid w:val="416F4047"/>
    <w:rsid w:val="47857727"/>
    <w:rsid w:val="50792F90"/>
    <w:rsid w:val="605B1DF0"/>
    <w:rsid w:val="64B21A3A"/>
    <w:rsid w:val="667217C1"/>
    <w:rsid w:val="69FC5DBE"/>
    <w:rsid w:val="77A10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EE0684-CD5F-4030-8F5E-AB8D22DF4F8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6131</Words>
  <Characters>7333</Characters>
  <Lines>71</Lines>
  <Paragraphs>20</Paragraphs>
  <TotalTime>145</TotalTime>
  <ScaleCrop>false</ScaleCrop>
  <LinksUpToDate>false</LinksUpToDate>
  <CharactersWithSpaces>8719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2022-06-28T05:38:00Z</cp:lastPrinted>
  <dcterms:modified xsi:type="dcterms:W3CDTF">2022-07-08T06:47:18Z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E0067E4D2B8A4B669C4B7BCF73A1120B</vt:lpwstr>
  </property>
</Properties>
</file>