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jc w:val="center"/>
        <w:rPr>
          <w:rFonts w:ascii="宋体" w:hAnsi="宋体" w:eastAsia="宋体" w:cs="宋体"/>
          <w:sz w:val="72"/>
          <w:szCs w:val="72"/>
        </w:rPr>
      </w:pPr>
    </w:p>
    <w:p>
      <w:pPr>
        <w:pStyle w:val="8"/>
        <w:jc w:val="center"/>
        <w:rPr>
          <w:rFonts w:ascii="宋体" w:hAnsi="宋体" w:eastAsia="宋体" w:cs="宋体"/>
          <w:sz w:val="72"/>
          <w:szCs w:val="72"/>
        </w:rPr>
      </w:pPr>
    </w:p>
    <w:p>
      <w:pPr>
        <w:pStyle w:val="8"/>
        <w:jc w:val="center"/>
        <w:rPr>
          <w:rFonts w:ascii="宋体" w:hAnsi="宋体" w:eastAsia="宋体" w:cs="宋体"/>
          <w:sz w:val="72"/>
          <w:szCs w:val="72"/>
        </w:rPr>
      </w:pPr>
    </w:p>
    <w:p>
      <w:pPr>
        <w:pStyle w:val="8"/>
        <w:jc w:val="center"/>
        <w:rPr>
          <w:rFonts w:ascii="宋体" w:hAnsi="宋体" w:eastAsia="宋体" w:cs="宋体"/>
          <w:sz w:val="72"/>
          <w:szCs w:val="72"/>
        </w:rPr>
      </w:pPr>
    </w:p>
    <w:p>
      <w:pPr>
        <w:pStyle w:val="8"/>
        <w:jc w:val="center"/>
        <w:rPr>
          <w:rFonts w:ascii="宋体" w:hAnsi="宋体" w:eastAsia="宋体" w:cs="宋体"/>
          <w:sz w:val="72"/>
          <w:szCs w:val="72"/>
        </w:rPr>
      </w:pPr>
      <w:r>
        <w:rPr>
          <w:rFonts w:hint="eastAsia" w:ascii="宋体" w:hAnsi="宋体" w:eastAsia="宋体" w:cs="宋体"/>
          <w:sz w:val="72"/>
          <w:szCs w:val="72"/>
        </w:rPr>
        <w:t>2020年度</w:t>
      </w:r>
    </w:p>
    <w:p>
      <w:pPr>
        <w:pStyle w:val="8"/>
        <w:jc w:val="center"/>
        <w:rPr>
          <w:rFonts w:ascii="宋体" w:hAnsi="宋体" w:eastAsia="宋体" w:cs="宋体"/>
          <w:sz w:val="72"/>
          <w:szCs w:val="72"/>
        </w:rPr>
      </w:pPr>
      <w:r>
        <w:rPr>
          <w:rFonts w:hint="eastAsia" w:ascii="宋体" w:hAnsi="宋体" w:eastAsia="宋体" w:cs="宋体"/>
          <w:sz w:val="72"/>
          <w:szCs w:val="72"/>
        </w:rPr>
        <w:t>锦石乡人民政府</w:t>
      </w:r>
    </w:p>
    <w:p>
      <w:pPr>
        <w:pStyle w:val="8"/>
        <w:jc w:val="center"/>
        <w:rPr>
          <w:rFonts w:ascii="宋体" w:hAnsi="宋体" w:eastAsia="宋体" w:cs="宋体"/>
          <w:sz w:val="72"/>
          <w:szCs w:val="72"/>
        </w:rPr>
      </w:pPr>
      <w:r>
        <w:rPr>
          <w:rFonts w:hint="eastAsia" w:ascii="宋体" w:hAnsi="宋体" w:eastAsia="宋体" w:cs="宋体"/>
          <w:sz w:val="72"/>
          <w:szCs w:val="72"/>
        </w:rPr>
        <w:t>部门决算</w:t>
      </w:r>
    </w:p>
    <w:p>
      <w:pPr>
        <w:pStyle w:val="8"/>
        <w:jc w:val="center"/>
        <w:rPr>
          <w:rFonts w:ascii="宋体" w:hAnsi="宋体" w:eastAsia="宋体" w:cs="宋体"/>
          <w:sz w:val="72"/>
          <w:szCs w:val="72"/>
        </w:rPr>
      </w:pPr>
    </w:p>
    <w:p>
      <w:pPr>
        <w:pStyle w:val="8"/>
        <w:jc w:val="center"/>
        <w:rPr>
          <w:rFonts w:cs="Times New Roman"/>
          <w:sz w:val="56"/>
          <w:szCs w:val="56"/>
        </w:rPr>
      </w:pPr>
    </w:p>
    <w:p>
      <w:pPr>
        <w:pStyle w:val="8"/>
        <w:jc w:val="center"/>
        <w:rPr>
          <w:rFonts w:cs="Times New Roman"/>
          <w:sz w:val="56"/>
          <w:szCs w:val="56"/>
        </w:rPr>
      </w:pPr>
    </w:p>
    <w:p>
      <w:pPr>
        <w:pStyle w:val="8"/>
        <w:jc w:val="center"/>
        <w:rPr>
          <w:rFonts w:cs="Times New Roman"/>
          <w:sz w:val="56"/>
          <w:szCs w:val="56"/>
        </w:rPr>
      </w:pPr>
    </w:p>
    <w:p>
      <w:pPr>
        <w:pStyle w:val="8"/>
        <w:jc w:val="center"/>
        <w:rPr>
          <w:sz w:val="32"/>
          <w:szCs w:val="32"/>
        </w:rPr>
      </w:pPr>
    </w:p>
    <w:p>
      <w:pPr>
        <w:pStyle w:val="8"/>
        <w:jc w:val="center"/>
        <w:rPr>
          <w:sz w:val="32"/>
          <w:szCs w:val="32"/>
        </w:rPr>
      </w:pPr>
    </w:p>
    <w:p>
      <w:pPr>
        <w:pStyle w:val="8"/>
        <w:jc w:val="center"/>
        <w:rPr>
          <w:sz w:val="32"/>
          <w:szCs w:val="32"/>
        </w:rPr>
      </w:pPr>
    </w:p>
    <w:p>
      <w:pPr>
        <w:pStyle w:val="8"/>
        <w:jc w:val="center"/>
        <w:rPr>
          <w:sz w:val="32"/>
          <w:szCs w:val="32"/>
        </w:rPr>
      </w:pPr>
    </w:p>
    <w:p>
      <w:pPr>
        <w:pStyle w:val="8"/>
        <w:jc w:val="center"/>
        <w:rPr>
          <w:sz w:val="32"/>
          <w:szCs w:val="32"/>
        </w:rPr>
      </w:pPr>
    </w:p>
    <w:p>
      <w:pPr>
        <w:pStyle w:val="8"/>
        <w:spacing w:line="500" w:lineRule="exact"/>
        <w:rPr>
          <w:rFonts w:cs="Times New Roman"/>
          <w:b/>
          <w:bCs/>
          <w:sz w:val="36"/>
          <w:szCs w:val="36"/>
        </w:rPr>
      </w:pPr>
    </w:p>
    <w:p>
      <w:pPr>
        <w:pStyle w:val="8"/>
        <w:spacing w:line="500" w:lineRule="exact"/>
        <w:jc w:val="center"/>
        <w:rPr>
          <w:rFonts w:cs="Times New Roman"/>
          <w:b/>
          <w:bCs/>
          <w:sz w:val="36"/>
          <w:szCs w:val="36"/>
        </w:rPr>
      </w:pPr>
      <w:r>
        <w:rPr>
          <w:rFonts w:hint="eastAsia"/>
          <w:b/>
          <w:bCs/>
          <w:sz w:val="36"/>
          <w:szCs w:val="36"/>
        </w:rPr>
        <w:t>目录</w:t>
      </w:r>
    </w:p>
    <w:p>
      <w:pPr>
        <w:pStyle w:val="8"/>
        <w:spacing w:line="460" w:lineRule="exact"/>
        <w:rPr>
          <w:rFonts w:ascii="仿宋_GB2312" w:eastAsia="仿宋_GB2312" w:cs="Times New Roman"/>
          <w:b/>
          <w:bCs/>
          <w:sz w:val="28"/>
          <w:szCs w:val="28"/>
        </w:rPr>
      </w:pPr>
      <w:r>
        <w:rPr>
          <w:rFonts w:hint="eastAsia"/>
          <w:b/>
          <w:bCs/>
          <w:sz w:val="28"/>
          <w:szCs w:val="28"/>
        </w:rPr>
        <w:t>第一部分锦石乡人民政府概况</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pPr>
        <w:pStyle w:val="8"/>
        <w:spacing w:line="460" w:lineRule="exact"/>
        <w:rPr>
          <w:rFonts w:ascii="仿宋_GB2312" w:eastAsia="仿宋_GB2312" w:cs="Times New Roman"/>
          <w:b/>
          <w:bCs/>
          <w:sz w:val="28"/>
          <w:szCs w:val="28"/>
        </w:rPr>
      </w:pPr>
      <w:r>
        <w:rPr>
          <w:rFonts w:hint="eastAsia" w:hAnsi="仿宋_GB2312"/>
          <w:b/>
          <w:bCs/>
          <w:sz w:val="28"/>
          <w:szCs w:val="28"/>
        </w:rPr>
        <w:t>第二部分</w:t>
      </w:r>
      <w:r>
        <w:rPr>
          <w:rFonts w:hAnsi="仿宋_GB2312"/>
          <w:b/>
          <w:bCs/>
          <w:sz w:val="28"/>
          <w:szCs w:val="28"/>
        </w:rPr>
        <w:t>2020</w:t>
      </w:r>
      <w:r>
        <w:rPr>
          <w:rFonts w:hint="eastAsia" w:hAnsi="仿宋_GB2312"/>
          <w:b/>
          <w:bCs/>
          <w:sz w:val="28"/>
          <w:szCs w:val="28"/>
        </w:rPr>
        <w:t>年度部门决算表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pPr>
        <w:pStyle w:val="8"/>
        <w:spacing w:line="460" w:lineRule="exact"/>
        <w:rPr>
          <w:rFonts w:ascii="仿宋_GB2312" w:eastAsia="仿宋_GB2312" w:cs="Times New Roman"/>
          <w:b/>
          <w:bCs/>
          <w:sz w:val="28"/>
          <w:szCs w:val="28"/>
        </w:rPr>
      </w:pPr>
      <w:r>
        <w:rPr>
          <w:rFonts w:hint="eastAsia" w:hAnsi="仿宋_GB2312"/>
          <w:b/>
          <w:bCs/>
          <w:sz w:val="28"/>
          <w:szCs w:val="28"/>
        </w:rPr>
        <w:t>第三部分</w:t>
      </w:r>
      <w:r>
        <w:rPr>
          <w:rFonts w:hAnsi="仿宋_GB2312"/>
          <w:b/>
          <w:bCs/>
          <w:sz w:val="28"/>
          <w:szCs w:val="28"/>
        </w:rPr>
        <w:t>2020</w:t>
      </w:r>
      <w:r>
        <w:rPr>
          <w:rFonts w:hint="eastAsia" w:hAnsi="仿宋_GB2312"/>
          <w:b/>
          <w:bCs/>
          <w:sz w:val="28"/>
          <w:szCs w:val="28"/>
        </w:rPr>
        <w:t>年度部门决算情况说明</w:t>
      </w:r>
    </w:p>
    <w:p>
      <w:pPr>
        <w:pStyle w:val="8"/>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pPr>
        <w:pStyle w:val="8"/>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pPr>
        <w:pStyle w:val="8"/>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2020</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pPr>
        <w:pStyle w:val="8"/>
        <w:jc w:val="center"/>
        <w:rPr>
          <w:rFonts w:ascii="宋体" w:hAnsi="宋体" w:eastAsia="宋体" w:cs="宋体"/>
          <w:sz w:val="72"/>
          <w:szCs w:val="72"/>
        </w:rPr>
      </w:pPr>
    </w:p>
    <w:p>
      <w:pPr>
        <w:pStyle w:val="8"/>
        <w:jc w:val="center"/>
        <w:rPr>
          <w:rFonts w:hint="eastAsia" w:ascii="宋体" w:hAnsi="宋体" w:eastAsia="宋体" w:cs="宋体"/>
          <w:sz w:val="72"/>
          <w:szCs w:val="72"/>
        </w:rPr>
      </w:pPr>
    </w:p>
    <w:p>
      <w:pPr>
        <w:pStyle w:val="8"/>
        <w:jc w:val="center"/>
        <w:rPr>
          <w:rFonts w:hint="eastAsia" w:ascii="宋体" w:hAnsi="宋体" w:eastAsia="宋体" w:cs="宋体"/>
          <w:sz w:val="72"/>
          <w:szCs w:val="72"/>
        </w:rPr>
      </w:pPr>
    </w:p>
    <w:p>
      <w:pPr>
        <w:pStyle w:val="8"/>
        <w:jc w:val="both"/>
        <w:rPr>
          <w:rFonts w:hint="eastAsia" w:ascii="宋体" w:hAnsi="宋体" w:eastAsia="宋体" w:cs="宋体"/>
          <w:sz w:val="72"/>
          <w:szCs w:val="72"/>
        </w:rPr>
      </w:pPr>
    </w:p>
    <w:p>
      <w:pPr>
        <w:pStyle w:val="8"/>
        <w:jc w:val="both"/>
        <w:rPr>
          <w:rFonts w:hint="eastAsia" w:ascii="宋体" w:hAnsi="宋体" w:eastAsia="宋体" w:cs="宋体"/>
          <w:sz w:val="72"/>
          <w:szCs w:val="72"/>
        </w:rPr>
      </w:pPr>
    </w:p>
    <w:p>
      <w:pPr>
        <w:pStyle w:val="8"/>
        <w:jc w:val="center"/>
        <w:rPr>
          <w:rFonts w:hint="eastAsia" w:ascii="宋体" w:hAnsi="宋体" w:eastAsia="宋体" w:cs="宋体"/>
          <w:sz w:val="72"/>
          <w:szCs w:val="72"/>
        </w:rPr>
      </w:pPr>
    </w:p>
    <w:p>
      <w:pPr>
        <w:pStyle w:val="8"/>
        <w:jc w:val="center"/>
        <w:rPr>
          <w:rFonts w:ascii="宋体" w:hAnsi="宋体" w:eastAsia="宋体" w:cs="宋体"/>
          <w:sz w:val="72"/>
          <w:szCs w:val="72"/>
        </w:rPr>
      </w:pPr>
      <w:r>
        <w:rPr>
          <w:rFonts w:hint="eastAsia" w:ascii="宋体" w:hAnsi="宋体" w:eastAsia="宋体" w:cs="宋体"/>
          <w:sz w:val="72"/>
          <w:szCs w:val="72"/>
        </w:rPr>
        <w:t>第一部分</w:t>
      </w:r>
    </w:p>
    <w:p>
      <w:pPr>
        <w:pStyle w:val="8"/>
        <w:jc w:val="center"/>
        <w:rPr>
          <w:rFonts w:ascii="宋体" w:hAnsi="宋体" w:eastAsia="宋体" w:cs="宋体"/>
          <w:sz w:val="72"/>
          <w:szCs w:val="72"/>
        </w:rPr>
      </w:pPr>
    </w:p>
    <w:p>
      <w:pPr>
        <w:pStyle w:val="8"/>
        <w:jc w:val="center"/>
        <w:rPr>
          <w:rFonts w:cs="Times New Roman"/>
          <w:sz w:val="84"/>
          <w:szCs w:val="84"/>
        </w:rPr>
      </w:pPr>
      <w:r>
        <w:rPr>
          <w:rFonts w:hint="eastAsia" w:ascii="宋体" w:hAnsi="宋体" w:eastAsia="宋体" w:cs="宋体"/>
          <w:sz w:val="72"/>
          <w:szCs w:val="72"/>
        </w:rPr>
        <w:t>锦石乡人民政府概况</w:t>
      </w:r>
    </w:p>
    <w:p>
      <w:pPr>
        <w:jc w:val="center"/>
        <w:rPr>
          <w:rFonts w:cs="Times New Roman"/>
          <w:sz w:val="72"/>
          <w:szCs w:val="72"/>
        </w:rPr>
      </w:pPr>
    </w:p>
    <w:p>
      <w:pPr>
        <w:jc w:val="center"/>
        <w:rPr>
          <w:rFonts w:cs="Times New Roman"/>
          <w:sz w:val="72"/>
          <w:szCs w:val="72"/>
        </w:rPr>
      </w:pPr>
    </w:p>
    <w:p>
      <w:pPr>
        <w:jc w:val="center"/>
        <w:rPr>
          <w:rFonts w:cs="Times New Roman"/>
          <w:sz w:val="72"/>
          <w:szCs w:val="7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ind w:left="720" w:firstLine="0" w:firstLineChars="0"/>
        <w:jc w:val="left"/>
        <w:rPr>
          <w:rFonts w:ascii="黑体" w:hAnsi="黑体" w:eastAsia="黑体" w:cs="Times New Roman"/>
          <w:sz w:val="32"/>
          <w:szCs w:val="32"/>
        </w:rPr>
      </w:pPr>
    </w:p>
    <w:p>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pPr>
        <w:ind w:firstLine="800" w:firstLineChars="250"/>
        <w:jc w:val="left"/>
        <w:rPr>
          <w:rFonts w:ascii="宋体" w:hAnsi="宋体" w:cs="宋体"/>
          <w:sz w:val="32"/>
          <w:szCs w:val="32"/>
        </w:rPr>
      </w:pPr>
      <w:r>
        <w:rPr>
          <w:rFonts w:hint="eastAsia" w:ascii="宋体" w:hAnsi="宋体" w:cs="宋体"/>
          <w:sz w:val="32"/>
          <w:szCs w:val="32"/>
        </w:rPr>
        <w:t>（一）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ind w:firstLine="800" w:firstLineChars="250"/>
        <w:jc w:val="left"/>
        <w:rPr>
          <w:rFonts w:ascii="宋体" w:hAnsi="宋体" w:cs="宋体"/>
          <w:sz w:val="32"/>
          <w:szCs w:val="32"/>
        </w:rPr>
      </w:pPr>
      <w:r>
        <w:rPr>
          <w:rFonts w:hint="eastAsia" w:ascii="宋体" w:hAnsi="宋体" w:cs="宋体"/>
          <w:sz w:val="32"/>
          <w:szCs w:val="32"/>
        </w:rPr>
        <w:t>（二）制定并组织实施村镇建设规划，部署重点工程建设，地方道路建设及公共设施，水利设施的管理，负责土地、林木、水等自然资源和生态环境的保护，做好护林防火工作。</w:t>
      </w:r>
    </w:p>
    <w:p>
      <w:pPr>
        <w:ind w:firstLine="800" w:firstLineChars="250"/>
        <w:jc w:val="left"/>
        <w:rPr>
          <w:rFonts w:ascii="宋体" w:hAnsi="宋体" w:cs="宋体"/>
          <w:sz w:val="32"/>
          <w:szCs w:val="32"/>
        </w:rPr>
      </w:pPr>
      <w:r>
        <w:rPr>
          <w:rFonts w:hint="eastAsia" w:ascii="宋体" w:hAnsi="宋体" w:cs="宋体"/>
          <w:sz w:val="32"/>
          <w:szCs w:val="32"/>
        </w:rPr>
        <w:t>（三）负责本行政区域内的民政、计划生育、文化教育、卫生、体育等社会公益事业的综合性工作，维护一切经济单位和个人的正当经济权益，取缔非法经济活动，调解和处理民事纠纷，打击刑事犯罪维护社会稳定。</w:t>
      </w:r>
    </w:p>
    <w:p>
      <w:pPr>
        <w:ind w:firstLine="800" w:firstLineChars="250"/>
        <w:jc w:val="left"/>
        <w:rPr>
          <w:rFonts w:ascii="宋体" w:hAnsi="宋体" w:cs="宋体"/>
          <w:sz w:val="32"/>
          <w:szCs w:val="32"/>
        </w:rPr>
      </w:pPr>
      <w:r>
        <w:rPr>
          <w:rFonts w:hint="eastAsia" w:ascii="宋体" w:hAnsi="宋体" w:cs="宋体"/>
          <w:sz w:val="32"/>
          <w:szCs w:val="32"/>
        </w:rPr>
        <w:t>（四）按计划组织本级财政收入和地方税的征收，完成国家财政计划，不断培植税源，管好财政资金，增强财政实力。</w:t>
      </w:r>
    </w:p>
    <w:p>
      <w:pPr>
        <w:ind w:firstLine="800" w:firstLineChars="250"/>
        <w:jc w:val="left"/>
        <w:rPr>
          <w:rFonts w:ascii="宋体" w:hAnsi="宋体" w:cs="宋体"/>
          <w:sz w:val="32"/>
          <w:szCs w:val="32"/>
        </w:rPr>
      </w:pPr>
      <w:r>
        <w:rPr>
          <w:rFonts w:hint="eastAsia" w:ascii="宋体" w:hAnsi="宋体" w:cs="宋体"/>
          <w:sz w:val="32"/>
          <w:szCs w:val="32"/>
        </w:rPr>
        <w:t>（五）抓好精神文明建设，丰富群众文化生活，提倡移风易俗，反对封建迷信，破除陈规陋习，树立社会主义新风尚。</w:t>
      </w:r>
    </w:p>
    <w:p>
      <w:pPr>
        <w:jc w:val="left"/>
        <w:rPr>
          <w:rFonts w:ascii="仿宋_GB2312" w:hAnsi="宋体" w:eastAsia="仿宋_GB2312" w:cs="Times New Roman"/>
          <w:sz w:val="28"/>
          <w:szCs w:val="28"/>
        </w:rPr>
      </w:pPr>
    </w:p>
    <w:p>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pPr>
        <w:widowControl/>
        <w:spacing w:line="600" w:lineRule="exact"/>
        <w:ind w:firstLine="480" w:firstLineChars="150"/>
        <w:rPr>
          <w:rFonts w:ascii="宋体" w:hAnsi="宋体" w:cs="宋体"/>
          <w:sz w:val="32"/>
          <w:szCs w:val="32"/>
        </w:rPr>
      </w:pPr>
      <w:r>
        <w:rPr>
          <w:rFonts w:hint="eastAsia" w:ascii="宋体" w:hAnsi="宋体" w:cs="宋体"/>
          <w:kern w:val="0"/>
          <w:sz w:val="32"/>
          <w:szCs w:val="32"/>
        </w:rPr>
        <w:t>（一）内设机构设置。</w:t>
      </w:r>
      <w:r>
        <w:rPr>
          <w:rFonts w:hint="eastAsia" w:ascii="宋体" w:cs="宋体"/>
          <w:kern w:val="0"/>
          <w:sz w:val="32"/>
          <w:szCs w:val="32"/>
        </w:rPr>
        <w:t>锦石乡政府</w:t>
      </w:r>
      <w:r>
        <w:rPr>
          <w:rFonts w:hint="eastAsia" w:ascii="宋体" w:hAnsi="宋体" w:cs="宋体"/>
          <w:kern w:val="0"/>
          <w:sz w:val="32"/>
          <w:szCs w:val="32"/>
        </w:rPr>
        <w:t>内设机构包括：</w:t>
      </w:r>
      <w:r>
        <w:rPr>
          <w:rFonts w:hint="eastAsia" w:ascii="宋体" w:hAnsi="宋体" w:cs="宋体"/>
          <w:sz w:val="32"/>
          <w:szCs w:val="32"/>
        </w:rPr>
        <w:t>2020年本乡共有机构数12个，其中党政机构6个，事业单位5个，财政所1个。行政编制36个，事业人员50个，机关后勤服务全额拨款事业编制2名。实有人员91 人（含财政所8人，8个编制备案人员）。具体人员安排如下：党政综合办公室（5人）、党建工作办公室（3人）、财政所（8人）、经济发展办公室（农业农村和扶贫工作办公室）（3人）、社会事务办公室（卫生健康办公室）（3人）、自然资源和生态环境办公室（村镇建设管理办公室）（3人）、社会治安和应急管理办公室（3人）、社会事务综合服务中心（文化综合服务站）（12人）、农业综合服务中心（14人）、政务（便民）服务中心（6人）、退役军人服务站（3人）、乡综合行政执法大队（9人）、领导职务11人、编制备案人员8人。</w:t>
      </w:r>
    </w:p>
    <w:p>
      <w:pPr>
        <w:widowControl/>
        <w:spacing w:line="600" w:lineRule="exact"/>
        <w:ind w:firstLine="320" w:firstLineChars="100"/>
        <w:rPr>
          <w:rFonts w:ascii="宋体" w:cs="Times New Roman"/>
          <w:kern w:val="0"/>
          <w:sz w:val="32"/>
          <w:szCs w:val="32"/>
        </w:rPr>
      </w:pPr>
      <w:r>
        <w:rPr>
          <w:rFonts w:hint="eastAsia" w:ascii="宋体" w:hAnsi="宋体" w:cs="宋体"/>
          <w:kern w:val="0"/>
          <w:sz w:val="32"/>
          <w:szCs w:val="32"/>
        </w:rPr>
        <w:t>（二）决算单位构成。</w:t>
      </w:r>
      <w:r>
        <w:rPr>
          <w:rFonts w:hint="eastAsia" w:ascii="宋体" w:cs="宋体"/>
          <w:kern w:val="0"/>
          <w:sz w:val="32"/>
          <w:szCs w:val="32"/>
        </w:rPr>
        <w:t>锦石乡人民政府</w:t>
      </w:r>
      <w:r>
        <w:rPr>
          <w:rFonts w:ascii="宋体" w:hAnsi="宋体" w:cs="宋体"/>
          <w:kern w:val="0"/>
          <w:sz w:val="32"/>
          <w:szCs w:val="32"/>
        </w:rPr>
        <w:t>202</w:t>
      </w:r>
      <w:r>
        <w:rPr>
          <w:rFonts w:hint="eastAsia" w:ascii="宋体" w:hAnsi="宋体" w:cs="宋体"/>
          <w:kern w:val="0"/>
          <w:sz w:val="32"/>
          <w:szCs w:val="32"/>
        </w:rPr>
        <w:t>0年部门决算汇总公开单位构成包括：</w:t>
      </w:r>
      <w:r>
        <w:rPr>
          <w:rFonts w:hint="eastAsia" w:ascii="宋体" w:hAnsi="宋体" w:cs="宋体"/>
          <w:sz w:val="32"/>
          <w:szCs w:val="32"/>
        </w:rPr>
        <w:t>党政综合办公室、党建工作办公室、经济发展办公室、社会事务办公室、自然资源和生态环境办公室、社会治安综合治理和应急管理办公室、社会事务综合服务中心、农业综合服务中心、政务（便民）服务中心、退役军人服务站、综合行政执法大队和村级转移支付。</w:t>
      </w:r>
    </w:p>
    <w:p>
      <w:pPr>
        <w:jc w:val="left"/>
        <w:rPr>
          <w:rFonts w:ascii="仿宋_GB2312" w:hAnsi="宋体" w:eastAsia="仿宋_GB2312"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ascii="黑体" w:hAnsi="黑体" w:eastAsia="黑体" w:cs="Times New Roman"/>
          <w:sz w:val="28"/>
          <w:szCs w:val="28"/>
        </w:rPr>
      </w:pPr>
    </w:p>
    <w:p>
      <w:pPr>
        <w:jc w:val="center"/>
        <w:rPr>
          <w:rFonts w:hint="eastAsia" w:cs="宋体"/>
          <w:sz w:val="72"/>
          <w:szCs w:val="72"/>
        </w:rPr>
      </w:pPr>
    </w:p>
    <w:p>
      <w:pPr>
        <w:jc w:val="center"/>
        <w:rPr>
          <w:rFonts w:hint="eastAsia" w:cs="宋体"/>
          <w:sz w:val="72"/>
          <w:szCs w:val="72"/>
        </w:rPr>
      </w:pPr>
    </w:p>
    <w:p>
      <w:pPr>
        <w:jc w:val="center"/>
        <w:rPr>
          <w:rFonts w:hint="eastAsia" w:cs="宋体"/>
          <w:sz w:val="72"/>
          <w:szCs w:val="72"/>
        </w:rPr>
      </w:pPr>
    </w:p>
    <w:p>
      <w:pPr>
        <w:jc w:val="both"/>
        <w:rPr>
          <w:rFonts w:hint="eastAsia" w:cs="宋体"/>
          <w:sz w:val="72"/>
          <w:szCs w:val="72"/>
        </w:rPr>
      </w:pPr>
      <w:bookmarkStart w:id="3" w:name="_GoBack"/>
      <w:bookmarkEnd w:id="3"/>
    </w:p>
    <w:p>
      <w:pPr>
        <w:jc w:val="center"/>
        <w:rPr>
          <w:rFonts w:hint="eastAsia" w:cs="宋体"/>
          <w:sz w:val="72"/>
          <w:szCs w:val="72"/>
        </w:rPr>
      </w:pPr>
    </w:p>
    <w:p>
      <w:pPr>
        <w:jc w:val="center"/>
        <w:rPr>
          <w:rFonts w:cs="Times New Roman"/>
          <w:sz w:val="72"/>
          <w:szCs w:val="72"/>
        </w:rPr>
      </w:pPr>
      <w:r>
        <w:rPr>
          <w:rFonts w:hint="eastAsia" w:cs="宋体"/>
          <w:sz w:val="72"/>
          <w:szCs w:val="72"/>
        </w:rPr>
        <w:t>第二部分</w:t>
      </w:r>
    </w:p>
    <w:p>
      <w:pPr>
        <w:jc w:val="center"/>
        <w:rPr>
          <w:rFonts w:cs="Times New Roman"/>
          <w:sz w:val="72"/>
          <w:szCs w:val="72"/>
        </w:rPr>
      </w:pPr>
    </w:p>
    <w:p>
      <w:pPr>
        <w:jc w:val="center"/>
        <w:rPr>
          <w:rFonts w:cs="宋体"/>
          <w:sz w:val="72"/>
          <w:szCs w:val="72"/>
        </w:rPr>
      </w:pPr>
      <w:r>
        <w:rPr>
          <w:rFonts w:hint="eastAsia" w:cs="宋体"/>
          <w:sz w:val="72"/>
          <w:szCs w:val="72"/>
        </w:rPr>
        <w:t>部门决算表</w:t>
      </w:r>
    </w:p>
    <w:p>
      <w:pPr>
        <w:jc w:val="center"/>
        <w:rPr>
          <w:rFonts w:cs="宋体"/>
          <w:sz w:val="72"/>
          <w:szCs w:val="72"/>
        </w:rPr>
      </w:pPr>
    </w:p>
    <w:p>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280" w:type="dxa"/>
        <w:tblInd w:w="-106" w:type="dxa"/>
        <w:tblLayout w:type="autofit"/>
        <w:tblCellMar>
          <w:top w:w="0" w:type="dxa"/>
          <w:left w:w="108" w:type="dxa"/>
          <w:bottom w:w="0" w:type="dxa"/>
          <w:right w:w="108" w:type="dxa"/>
        </w:tblCellMar>
      </w:tblPr>
      <w:tblGrid>
        <w:gridCol w:w="14280"/>
      </w:tblGrid>
      <w:tr>
        <w:tblPrEx>
          <w:tblCellMar>
            <w:top w:w="0" w:type="dxa"/>
            <w:left w:w="108" w:type="dxa"/>
            <w:bottom w:w="0" w:type="dxa"/>
            <w:right w:w="108" w:type="dxa"/>
          </w:tblCellMar>
        </w:tblPrEx>
        <w:trPr>
          <w:trHeight w:val="360" w:hRule="atLeast"/>
        </w:trPr>
        <w:tc>
          <w:tcPr>
            <w:tcW w:w="14280" w:type="dxa"/>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收入支出决算总表</w:t>
            </w:r>
          </w:p>
          <w:tbl>
            <w:tblPr>
              <w:tblStyle w:val="6"/>
              <w:tblW w:w="14064" w:type="dxa"/>
              <w:tblInd w:w="0" w:type="dxa"/>
              <w:tblLayout w:type="autofit"/>
              <w:tblCellMar>
                <w:top w:w="0" w:type="dxa"/>
                <w:left w:w="108" w:type="dxa"/>
                <w:bottom w:w="0" w:type="dxa"/>
                <w:right w:w="108" w:type="dxa"/>
              </w:tblCellMar>
            </w:tblPr>
            <w:tblGrid>
              <w:gridCol w:w="4203"/>
              <w:gridCol w:w="578"/>
              <w:gridCol w:w="2251"/>
              <w:gridCol w:w="4203"/>
              <w:gridCol w:w="578"/>
              <w:gridCol w:w="2251"/>
            </w:tblGrid>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公开01表</w:t>
                  </w:r>
                </w:p>
              </w:tc>
            </w:tr>
            <w:tr>
              <w:tblPrEx>
                <w:tblCellMar>
                  <w:top w:w="0" w:type="dxa"/>
                  <w:left w:w="108" w:type="dxa"/>
                  <w:bottom w:w="0" w:type="dxa"/>
                  <w:right w:w="108" w:type="dxa"/>
                </w:tblCellMar>
              </w:tblPrEx>
              <w:trPr>
                <w:trHeight w:val="255" w:hRule="atLeast"/>
              </w:trPr>
              <w:tc>
                <w:tcPr>
                  <w:tcW w:w="4203"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7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20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7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51"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7032"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收入</w:t>
                  </w:r>
                </w:p>
              </w:tc>
              <w:tc>
                <w:tcPr>
                  <w:tcW w:w="7032" w:type="dxa"/>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支出</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金额</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行次</w:t>
                  </w:r>
                </w:p>
              </w:tc>
              <w:tc>
                <w:tcPr>
                  <w:tcW w:w="225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金额</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　</w:t>
                  </w:r>
                </w:p>
              </w:tc>
              <w:tc>
                <w:tcPr>
                  <w:tcW w:w="2251"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一、一般公共预算财政拨款收入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一、一般公共服务支出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2,378.44</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二、政府性基金预算财政拨款收入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二、外交支出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三、国有资本经营预算财政拨款收入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三、国防支出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四、上级补助收入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四、公共安全支出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五、事业收入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五、教育支出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六、经营收入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六、科学技术支出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七、附属单位上缴收入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八、其他收入</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2,545.53</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八、社会保障和就业支出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111.15</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九、卫生健康支出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十、节能环保支出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十一、城乡社区支出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89.4</w:t>
                  </w:r>
                  <w:r>
                    <w:rPr>
                      <w:rFonts w:hint="eastAsia" w:ascii="宋体" w:hAnsi="宋体" w:cs="Arial"/>
                      <w:color w:val="000000"/>
                      <w:kern w:val="0"/>
                      <w:sz w:val="22"/>
                      <w:szCs w:val="22"/>
                      <w:lang w:val="en-US" w:eastAsia="zh-CN"/>
                    </w:rPr>
                    <w:t>2</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十二、农林水支出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1,436.28</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十三、交通运输支出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十五、商业服务业等支出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十六、金融支出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十七、援助其他地区支出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十九、住房保障支出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二十、粮油物资储备支出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23</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二十三、其他支出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24</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二十四、债务还本支出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25</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二十五、债务付息支出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26</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本年收入合计</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27</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4,328.35</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本年支出合计</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4,328.35</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使用非财政拨款结余</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28</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结余分配</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年初结转和结余</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29</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年末结转和结余</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30</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203"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31</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4,328.35</w:t>
                  </w:r>
                </w:p>
              </w:tc>
              <w:tc>
                <w:tcPr>
                  <w:tcW w:w="4203"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总计</w:t>
                  </w:r>
                </w:p>
              </w:tc>
              <w:tc>
                <w:tcPr>
                  <w:tcW w:w="57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62</w:t>
                  </w:r>
                </w:p>
              </w:tc>
              <w:tc>
                <w:tcPr>
                  <w:tcW w:w="225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4,328.35</w:t>
                  </w:r>
                </w:p>
              </w:tc>
            </w:tr>
            <w:tr>
              <w:tblPrEx>
                <w:tblCellMar>
                  <w:top w:w="0" w:type="dxa"/>
                  <w:left w:w="108" w:type="dxa"/>
                  <w:bottom w:w="0" w:type="dxa"/>
                  <w:right w:w="108" w:type="dxa"/>
                </w:tblCellMar>
              </w:tblPrEx>
              <w:trPr>
                <w:trHeight w:val="308" w:hRule="atLeast"/>
              </w:trPr>
              <w:tc>
                <w:tcPr>
                  <w:tcW w:w="14064" w:type="dxa"/>
                  <w:gridSpan w:val="6"/>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注：本表反映部门本年度的总收支和年末结转结余情况。</w:t>
                  </w:r>
                </w:p>
                <w:p>
                  <w:pPr>
                    <w:widowControl/>
                    <w:ind w:firstLine="440" w:firstLineChars="200"/>
                    <w:jc w:val="left"/>
                    <w:rPr>
                      <w:rFonts w:ascii="宋体" w:hAnsi="宋体" w:cs="Arial"/>
                      <w:color w:val="000000"/>
                      <w:kern w:val="0"/>
                      <w:sz w:val="22"/>
                    </w:rPr>
                  </w:pPr>
                  <w:r>
                    <w:rPr>
                      <w:rFonts w:hint="eastAsia" w:ascii="宋体" w:hAnsi="宋体" w:cs="Arial"/>
                      <w:color w:val="000000"/>
                      <w:kern w:val="0"/>
                      <w:sz w:val="22"/>
                      <w:szCs w:val="22"/>
                    </w:rPr>
                    <w:t>本套报表金额单位转换时可能存在尾数误差。</w:t>
                  </w:r>
                </w:p>
              </w:tc>
            </w:tr>
          </w:tbl>
          <w:p>
            <w:pPr>
              <w:widowControl/>
              <w:jc w:val="center"/>
              <w:rPr>
                <w:rFonts w:ascii="华文中宋" w:hAnsi="华文中宋" w:eastAsia="华文中宋" w:cs="Times New Roman"/>
                <w:color w:val="000000"/>
                <w:kern w:val="0"/>
                <w:sz w:val="32"/>
                <w:szCs w:val="32"/>
              </w:rPr>
            </w:pPr>
          </w:p>
        </w:tc>
      </w:tr>
    </w:tbl>
    <w:p>
      <w:pP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4796" w:type="dxa"/>
        <w:tblInd w:w="313" w:type="dxa"/>
        <w:tblLayout w:type="fixed"/>
        <w:tblCellMar>
          <w:top w:w="0" w:type="dxa"/>
          <w:left w:w="0" w:type="dxa"/>
          <w:bottom w:w="0" w:type="dxa"/>
          <w:right w:w="0" w:type="dxa"/>
        </w:tblCellMar>
      </w:tblPr>
      <w:tblGrid>
        <w:gridCol w:w="14796"/>
      </w:tblGrid>
      <w:tr>
        <w:tblPrEx>
          <w:tblCellMar>
            <w:top w:w="0" w:type="dxa"/>
            <w:left w:w="0" w:type="dxa"/>
            <w:bottom w:w="0" w:type="dxa"/>
            <w:right w:w="0" w:type="dxa"/>
          </w:tblCellMar>
        </w:tblPrEx>
        <w:trPr>
          <w:trHeight w:val="435" w:hRule="atLeast"/>
        </w:trPr>
        <w:tc>
          <w:tcPr>
            <w:tcW w:w="14796" w:type="dxa"/>
            <w:tcBorders>
              <w:top w:val="nil"/>
              <w:left w:val="nil"/>
              <w:bottom w:val="nil"/>
              <w:right w:val="nil"/>
            </w:tcBorders>
            <w:noWrap/>
            <w:tcMar>
              <w:top w:w="15" w:type="dxa"/>
              <w:left w:w="15" w:type="dxa"/>
              <w:bottom w:w="0" w:type="dxa"/>
              <w:right w:w="15" w:type="dxa"/>
            </w:tcMar>
            <w:vAlign w:val="center"/>
          </w:tcPr>
          <w:p>
            <w:pPr>
              <w:jc w:val="center"/>
              <w:rPr>
                <w:rFonts w:ascii="华文中宋" w:hAnsi="华文中宋" w:eastAsia="华文中宋" w:cs="华文中宋"/>
                <w:color w:val="000000"/>
                <w:sz w:val="32"/>
                <w:szCs w:val="32"/>
              </w:rPr>
            </w:pPr>
            <w:r>
              <w:rPr>
                <w:rFonts w:hint="eastAsia" w:ascii="华文中宋" w:hAnsi="华文中宋" w:eastAsia="华文中宋" w:cs="华文中宋"/>
                <w:color w:val="000000"/>
                <w:sz w:val="32"/>
                <w:szCs w:val="32"/>
              </w:rPr>
              <w:t>收入决算表</w:t>
            </w:r>
          </w:p>
          <w:tbl>
            <w:tblPr>
              <w:tblStyle w:val="6"/>
              <w:tblW w:w="14571" w:type="dxa"/>
              <w:tblInd w:w="0" w:type="dxa"/>
              <w:tblLayout w:type="fixed"/>
              <w:tblCellMar>
                <w:top w:w="0" w:type="dxa"/>
                <w:left w:w="108" w:type="dxa"/>
                <w:bottom w:w="0" w:type="dxa"/>
                <w:right w:w="108" w:type="dxa"/>
              </w:tblCellMar>
            </w:tblPr>
            <w:tblGrid>
              <w:gridCol w:w="340"/>
              <w:gridCol w:w="340"/>
              <w:gridCol w:w="340"/>
              <w:gridCol w:w="2778"/>
              <w:gridCol w:w="1559"/>
              <w:gridCol w:w="1701"/>
              <w:gridCol w:w="993"/>
              <w:gridCol w:w="1275"/>
              <w:gridCol w:w="1134"/>
              <w:gridCol w:w="1276"/>
              <w:gridCol w:w="2835"/>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77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公开02表</w:t>
                  </w:r>
                </w:p>
              </w:tc>
            </w:tr>
            <w:tr>
              <w:tblPrEx>
                <w:tblCellMar>
                  <w:top w:w="0" w:type="dxa"/>
                  <w:left w:w="108" w:type="dxa"/>
                  <w:bottom w:w="0" w:type="dxa"/>
                  <w:right w:w="108" w:type="dxa"/>
                </w:tblCellMar>
              </w:tblPrEx>
              <w:trPr>
                <w:trHeight w:val="255" w:hRule="atLeast"/>
              </w:trPr>
              <w:tc>
                <w:tcPr>
                  <w:tcW w:w="3798"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9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7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3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27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35"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798"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本年收入合计</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财政拨款收入</w:t>
                  </w:r>
                </w:p>
              </w:tc>
              <w:tc>
                <w:tcPr>
                  <w:tcW w:w="993"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上级补助收入</w:t>
                  </w:r>
                </w:p>
              </w:tc>
              <w:tc>
                <w:tcPr>
                  <w:tcW w:w="127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事业收入</w:t>
                  </w:r>
                </w:p>
              </w:tc>
              <w:tc>
                <w:tcPr>
                  <w:tcW w:w="1134"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经营收入</w:t>
                  </w:r>
                </w:p>
              </w:tc>
              <w:tc>
                <w:tcPr>
                  <w:tcW w:w="127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附属单位上缴收入</w:t>
                  </w:r>
                </w:p>
              </w:tc>
              <w:tc>
                <w:tcPr>
                  <w:tcW w:w="2835"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ind w:right="1690" w:rightChars="805"/>
                    <w:jc w:val="center"/>
                    <w:rPr>
                      <w:rFonts w:ascii="宋体" w:hAnsi="宋体" w:cs="Arial"/>
                      <w:color w:val="000000"/>
                      <w:kern w:val="0"/>
                      <w:sz w:val="22"/>
                    </w:rPr>
                  </w:pPr>
                  <w:r>
                    <w:rPr>
                      <w:rFonts w:hint="eastAsia" w:ascii="宋体" w:hAnsi="宋体" w:cs="Arial"/>
                      <w:color w:val="000000"/>
                      <w:kern w:val="0"/>
                      <w:sz w:val="22"/>
                      <w:szCs w:val="22"/>
                    </w:rPr>
                    <w:t>其他收入</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功能分类科目编码</w:t>
                  </w:r>
                </w:p>
              </w:tc>
              <w:tc>
                <w:tcPr>
                  <w:tcW w:w="2778"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77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3"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134"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35"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701"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99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27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134"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1276"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c>
                <w:tcPr>
                  <w:tcW w:w="2835"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7</w:t>
                  </w:r>
                </w:p>
              </w:tc>
            </w:tr>
            <w:tr>
              <w:tblPrEx>
                <w:tblCellMar>
                  <w:top w:w="0" w:type="dxa"/>
                  <w:left w:w="108" w:type="dxa"/>
                  <w:bottom w:w="0" w:type="dxa"/>
                  <w:right w:w="108" w:type="dxa"/>
                </w:tblCellMar>
              </w:tblPrEx>
              <w:trPr>
                <w:trHeight w:val="308" w:hRule="atLeast"/>
              </w:trPr>
              <w:tc>
                <w:tcPr>
                  <w:tcW w:w="3798"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4,328.35</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1,782.82</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2,545.53</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2,378.44</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1,228.56</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1,149.89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2,281.04</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1,135.74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1,145.31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2,275.12</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1,129.81</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1,145.31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3.48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3.48</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12.46</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111.15</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95.06</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16.09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16.09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16.09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63.71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63.71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63.71</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89.41</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82.47</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6.94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2120104</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1,436.28</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1,296.44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1,045.14</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1,045.14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2130701</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107.00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107.00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2130705</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938.14</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938.14</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251.29</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2139999</w:t>
                  </w:r>
                </w:p>
              </w:tc>
              <w:tc>
                <w:tcPr>
                  <w:tcW w:w="277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13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283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251.29</w:t>
                  </w:r>
                </w:p>
              </w:tc>
            </w:tr>
            <w:tr>
              <w:tblPrEx>
                <w:tblCellMar>
                  <w:top w:w="0" w:type="dxa"/>
                  <w:left w:w="108" w:type="dxa"/>
                  <w:bottom w:w="0" w:type="dxa"/>
                  <w:right w:w="108" w:type="dxa"/>
                </w:tblCellMar>
              </w:tblPrEx>
              <w:trPr>
                <w:trHeight w:val="308" w:hRule="atLeast"/>
              </w:trPr>
              <w:tc>
                <w:tcPr>
                  <w:tcW w:w="14571" w:type="dxa"/>
                  <w:gridSpan w:val="11"/>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注：本表反映部门本年度取得的各项收入情况。</w:t>
                  </w:r>
                </w:p>
              </w:tc>
            </w:tr>
          </w:tbl>
          <w:p>
            <w:pPr>
              <w:jc w:val="left"/>
              <w:rPr>
                <w:rFonts w:ascii="华文中宋" w:hAnsi="华文中宋" w:eastAsia="华文中宋" w:cs="Times New Roman"/>
                <w:color w:val="000000"/>
                <w:sz w:val="32"/>
                <w:szCs w:val="32"/>
              </w:rPr>
            </w:pPr>
          </w:p>
        </w:tc>
      </w:tr>
    </w:tbl>
    <w:p>
      <w:pPr>
        <w:widowControl/>
        <w:rPr>
          <w:rFonts w:ascii="Times New Roman" w:hAnsi="Times New Roman" w:eastAsia="方正小标宋_GBK" w:cs="Times New Roman"/>
          <w:color w:val="000000"/>
          <w:kern w:val="0"/>
          <w:sz w:val="36"/>
          <w:szCs w:val="36"/>
        </w:rPr>
      </w:pPr>
    </w:p>
    <w:tbl>
      <w:tblPr>
        <w:tblStyle w:val="6"/>
        <w:tblW w:w="13363" w:type="dxa"/>
        <w:tblInd w:w="418" w:type="dxa"/>
        <w:tblLayout w:type="fixed"/>
        <w:tblCellMar>
          <w:top w:w="0" w:type="dxa"/>
          <w:left w:w="108" w:type="dxa"/>
          <w:bottom w:w="0" w:type="dxa"/>
          <w:right w:w="108" w:type="dxa"/>
        </w:tblCellMar>
      </w:tblPr>
      <w:tblGrid>
        <w:gridCol w:w="13363"/>
      </w:tblGrid>
      <w:tr>
        <w:tblPrEx>
          <w:tblCellMar>
            <w:top w:w="0" w:type="dxa"/>
            <w:left w:w="108" w:type="dxa"/>
            <w:bottom w:w="0" w:type="dxa"/>
            <w:right w:w="108" w:type="dxa"/>
          </w:tblCellMar>
        </w:tblPrEx>
        <w:trPr>
          <w:trHeight w:val="435" w:hRule="atLeast"/>
        </w:trPr>
        <w:tc>
          <w:tcPr>
            <w:tcW w:w="13363" w:type="dxa"/>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p>
          <w:p>
            <w:pPr>
              <w:widowControl/>
              <w:jc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支出决算表</w:t>
            </w:r>
          </w:p>
          <w:tbl>
            <w:tblPr>
              <w:tblStyle w:val="6"/>
              <w:tblW w:w="13190" w:type="dxa"/>
              <w:tblInd w:w="0" w:type="dxa"/>
              <w:tblLayout w:type="fixed"/>
              <w:tblCellMar>
                <w:top w:w="0" w:type="dxa"/>
                <w:left w:w="108" w:type="dxa"/>
                <w:bottom w:w="0" w:type="dxa"/>
                <w:right w:w="108" w:type="dxa"/>
              </w:tblCellMar>
            </w:tblPr>
            <w:tblGrid>
              <w:gridCol w:w="340"/>
              <w:gridCol w:w="340"/>
              <w:gridCol w:w="340"/>
              <w:gridCol w:w="2815"/>
              <w:gridCol w:w="1559"/>
              <w:gridCol w:w="1418"/>
              <w:gridCol w:w="1559"/>
              <w:gridCol w:w="1559"/>
              <w:gridCol w:w="1701"/>
              <w:gridCol w:w="1559"/>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1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公开03表</w:t>
                  </w:r>
                </w:p>
              </w:tc>
            </w:tr>
            <w:tr>
              <w:tblPrEx>
                <w:tblCellMar>
                  <w:top w:w="0" w:type="dxa"/>
                  <w:left w:w="108" w:type="dxa"/>
                  <w:bottom w:w="0" w:type="dxa"/>
                  <w:right w:w="108" w:type="dxa"/>
                </w:tblCellMar>
              </w:tblPrEx>
              <w:trPr>
                <w:trHeight w:val="255" w:hRule="atLeast"/>
              </w:trPr>
              <w:tc>
                <w:tcPr>
                  <w:tcW w:w="3835"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1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7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59"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383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本年支出合计</w:t>
                  </w:r>
                </w:p>
              </w:tc>
              <w:tc>
                <w:tcPr>
                  <w:tcW w:w="1418"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基本支出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上缴上级支出</w:t>
                  </w:r>
                </w:p>
              </w:tc>
              <w:tc>
                <w:tcPr>
                  <w:tcW w:w="1701"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经营支出</w:t>
                  </w:r>
                </w:p>
              </w:tc>
              <w:tc>
                <w:tcPr>
                  <w:tcW w:w="155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对附属单位补助支出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功能分类科目编码</w:t>
                  </w:r>
                </w:p>
              </w:tc>
              <w:tc>
                <w:tcPr>
                  <w:tcW w:w="2815"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1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18"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701"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59" w:type="dxa"/>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418"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701"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1559"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r>
            <w:tr>
              <w:tblPrEx>
                <w:tblCellMar>
                  <w:top w:w="0" w:type="dxa"/>
                  <w:left w:w="108" w:type="dxa"/>
                  <w:bottom w:w="0" w:type="dxa"/>
                  <w:right w:w="108" w:type="dxa"/>
                </w:tblCellMar>
              </w:tblPrEx>
              <w:trPr>
                <w:trHeight w:val="308" w:hRule="atLeast"/>
              </w:trPr>
              <w:tc>
                <w:tcPr>
                  <w:tcW w:w="3835"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4,328.35</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4,328.35</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2,378.44</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2,378.44</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2,281.04</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2,281.04</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2,275.12</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2,275.12</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45.91</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财政事务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51.49</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175.30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111.15</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111.15</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55.38</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退役军人管理事务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137.76</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89.41</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89.41</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城乡社区管理事务</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2120104</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城管执法</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48.99</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40.42</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1,436.28</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1,436.28</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农村综合改革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1,045.14</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1,045.14</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2130701</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对村级一事一议的补助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107.00</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107.00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2130705</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对村民委员会和村党支部的补助</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938.14</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938.14</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2139999</w:t>
                  </w:r>
                </w:p>
              </w:tc>
              <w:tc>
                <w:tcPr>
                  <w:tcW w:w="281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41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391.13</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70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5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190" w:type="dxa"/>
                  <w:gridSpan w:val="10"/>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注：本表反映部门本年度各项支出情况。</w:t>
                  </w:r>
                </w:p>
              </w:tc>
            </w:tr>
          </w:tbl>
          <w:p>
            <w:pPr>
              <w:widowControl/>
              <w:jc w:val="left"/>
              <w:rPr>
                <w:rFonts w:ascii="华文中宋" w:hAnsi="华文中宋" w:eastAsia="华文中宋" w:cs="Times New Roman"/>
                <w:color w:val="000000"/>
                <w:kern w:val="0"/>
                <w:sz w:val="32"/>
                <w:szCs w:val="32"/>
              </w:rPr>
            </w:pPr>
          </w:p>
        </w:tc>
      </w:tr>
    </w:tbl>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ind w:left="93"/>
        <w:jc w:val="center"/>
        <w:rPr>
          <w:rFonts w:ascii="Times New Roman" w:hAnsi="Times New Roman" w:eastAsia="方正小标宋_GBK" w:cs="Times New Roman"/>
          <w:color w:val="000000"/>
          <w:kern w:val="0"/>
          <w:sz w:val="36"/>
          <w:szCs w:val="36"/>
        </w:rPr>
      </w:pPr>
    </w:p>
    <w:p>
      <w:pPr>
        <w:widowControl/>
        <w:rPr>
          <w:rFonts w:ascii="Times New Roman" w:hAnsi="Times New Roman" w:eastAsia="方正小标宋_GBK" w:cs="Times New Roman"/>
          <w:color w:val="000000"/>
          <w:kern w:val="0"/>
          <w:sz w:val="36"/>
          <w:szCs w:val="36"/>
        </w:rPr>
      </w:pPr>
    </w:p>
    <w:tbl>
      <w:tblPr>
        <w:tblStyle w:val="6"/>
        <w:tblW w:w="15720" w:type="dxa"/>
        <w:tblInd w:w="-106" w:type="dxa"/>
        <w:tblLayout w:type="autofit"/>
        <w:tblCellMar>
          <w:top w:w="0" w:type="dxa"/>
          <w:left w:w="108" w:type="dxa"/>
          <w:bottom w:w="0" w:type="dxa"/>
          <w:right w:w="108" w:type="dxa"/>
        </w:tblCellMar>
      </w:tblPr>
      <w:tblGrid>
        <w:gridCol w:w="3641"/>
        <w:gridCol w:w="442"/>
        <w:gridCol w:w="1594"/>
        <w:gridCol w:w="3592"/>
        <w:gridCol w:w="441"/>
        <w:gridCol w:w="1593"/>
        <w:gridCol w:w="1412"/>
        <w:gridCol w:w="1412"/>
        <w:gridCol w:w="1593"/>
      </w:tblGrid>
      <w:tr>
        <w:tblPrEx>
          <w:tblCellMar>
            <w:top w:w="0" w:type="dxa"/>
            <w:left w:w="108" w:type="dxa"/>
            <w:bottom w:w="0" w:type="dxa"/>
            <w:right w:w="108" w:type="dxa"/>
          </w:tblCellMar>
        </w:tblPrEx>
        <w:trPr>
          <w:trHeight w:val="285" w:hRule="atLeast"/>
        </w:trPr>
        <w:tc>
          <w:tcPr>
            <w:tcW w:w="3641" w:type="dxa"/>
            <w:tcBorders>
              <w:top w:val="nil"/>
              <w:left w:val="nil"/>
              <w:bottom w:val="nil"/>
              <w:right w:val="nil"/>
            </w:tcBorders>
            <w:noWrap/>
            <w:vAlign w:val="center"/>
          </w:tcPr>
          <w:p>
            <w:pPr>
              <w:widowControl/>
              <w:jc w:val="left"/>
              <w:rPr>
                <w:rFonts w:ascii="黑体" w:hAnsi="黑体" w:eastAsia="黑体" w:cs="Times New Roman"/>
                <w:kern w:val="0"/>
                <w:sz w:val="24"/>
                <w:szCs w:val="24"/>
              </w:rPr>
            </w:pPr>
            <w:bookmarkStart w:id="0" w:name="RANGE_A1_I22"/>
            <w:bookmarkEnd w:id="0"/>
            <w:bookmarkStart w:id="1" w:name="RANGE_A1_F16"/>
          </w:p>
        </w:tc>
        <w:tc>
          <w:tcPr>
            <w:tcW w:w="442" w:type="dxa"/>
            <w:tcBorders>
              <w:top w:val="nil"/>
              <w:left w:val="nil"/>
              <w:bottom w:val="nil"/>
              <w:right w:val="nil"/>
            </w:tcBorders>
            <w:noWrap/>
            <w:vAlign w:val="center"/>
          </w:tcPr>
          <w:p>
            <w:pPr>
              <w:widowControl/>
              <w:jc w:val="right"/>
              <w:rPr>
                <w:rFonts w:ascii="宋体" w:cs="Times New Roman"/>
                <w:kern w:val="0"/>
                <w:sz w:val="24"/>
                <w:szCs w:val="24"/>
              </w:rPr>
            </w:pPr>
          </w:p>
        </w:tc>
        <w:tc>
          <w:tcPr>
            <w:tcW w:w="1594" w:type="dxa"/>
            <w:tcBorders>
              <w:top w:val="nil"/>
              <w:left w:val="nil"/>
              <w:bottom w:val="nil"/>
              <w:right w:val="nil"/>
            </w:tcBorders>
            <w:noWrap/>
            <w:vAlign w:val="center"/>
          </w:tcPr>
          <w:p>
            <w:pPr>
              <w:widowControl/>
              <w:jc w:val="right"/>
              <w:rPr>
                <w:rFonts w:ascii="宋体" w:cs="Times New Roman"/>
                <w:kern w:val="0"/>
                <w:sz w:val="24"/>
                <w:szCs w:val="24"/>
              </w:rPr>
            </w:pPr>
          </w:p>
        </w:tc>
        <w:tc>
          <w:tcPr>
            <w:tcW w:w="3592" w:type="dxa"/>
            <w:tcBorders>
              <w:top w:val="nil"/>
              <w:left w:val="nil"/>
              <w:bottom w:val="nil"/>
              <w:right w:val="nil"/>
            </w:tcBorders>
            <w:noWrap/>
            <w:vAlign w:val="center"/>
          </w:tcPr>
          <w:p>
            <w:pPr>
              <w:widowControl/>
              <w:jc w:val="right"/>
              <w:rPr>
                <w:rFonts w:ascii="宋体" w:cs="Times New Roman"/>
                <w:kern w:val="0"/>
                <w:sz w:val="24"/>
                <w:szCs w:val="24"/>
              </w:rPr>
            </w:pPr>
          </w:p>
        </w:tc>
        <w:tc>
          <w:tcPr>
            <w:tcW w:w="441" w:type="dxa"/>
            <w:tcBorders>
              <w:top w:val="nil"/>
              <w:left w:val="nil"/>
              <w:bottom w:val="nil"/>
              <w:right w:val="nil"/>
            </w:tcBorders>
            <w:noWrap/>
            <w:vAlign w:val="center"/>
          </w:tcPr>
          <w:p>
            <w:pPr>
              <w:widowControl/>
              <w:jc w:val="right"/>
              <w:rPr>
                <w:rFonts w:ascii="宋体" w:cs="Times New Roman"/>
                <w:kern w:val="0"/>
                <w:sz w:val="24"/>
                <w:szCs w:val="24"/>
              </w:rPr>
            </w:pPr>
          </w:p>
        </w:tc>
        <w:tc>
          <w:tcPr>
            <w:tcW w:w="1593" w:type="dxa"/>
            <w:tcBorders>
              <w:top w:val="nil"/>
              <w:left w:val="nil"/>
              <w:bottom w:val="nil"/>
              <w:right w:val="nil"/>
            </w:tcBorders>
            <w:noWrap/>
            <w:vAlign w:val="center"/>
          </w:tcPr>
          <w:p>
            <w:pPr>
              <w:widowControl/>
              <w:jc w:val="right"/>
              <w:rPr>
                <w:rFonts w:ascii="宋体" w:cs="Times New Roman"/>
                <w:kern w:val="0"/>
                <w:sz w:val="24"/>
                <w:szCs w:val="24"/>
              </w:rPr>
            </w:pPr>
          </w:p>
        </w:tc>
        <w:tc>
          <w:tcPr>
            <w:tcW w:w="1412" w:type="dxa"/>
            <w:tcBorders>
              <w:top w:val="nil"/>
              <w:left w:val="nil"/>
              <w:bottom w:val="nil"/>
              <w:right w:val="nil"/>
            </w:tcBorders>
            <w:noWrap/>
            <w:vAlign w:val="center"/>
          </w:tcPr>
          <w:p>
            <w:pPr>
              <w:widowControl/>
              <w:jc w:val="right"/>
              <w:rPr>
                <w:rFonts w:ascii="宋体" w:cs="Times New Roman"/>
                <w:kern w:val="0"/>
                <w:sz w:val="24"/>
                <w:szCs w:val="24"/>
              </w:rPr>
            </w:pPr>
          </w:p>
        </w:tc>
        <w:tc>
          <w:tcPr>
            <w:tcW w:w="1412" w:type="dxa"/>
            <w:tcBorders>
              <w:top w:val="nil"/>
              <w:left w:val="nil"/>
              <w:bottom w:val="nil"/>
              <w:right w:val="nil"/>
            </w:tcBorders>
            <w:noWrap/>
            <w:vAlign w:val="center"/>
          </w:tcPr>
          <w:p>
            <w:pPr>
              <w:widowControl/>
              <w:jc w:val="right"/>
              <w:rPr>
                <w:rFonts w:ascii="宋体" w:cs="Times New Roman"/>
                <w:kern w:val="0"/>
                <w:sz w:val="24"/>
                <w:szCs w:val="24"/>
              </w:rPr>
            </w:pPr>
          </w:p>
        </w:tc>
        <w:tc>
          <w:tcPr>
            <w:tcW w:w="1593" w:type="dxa"/>
            <w:tcBorders>
              <w:top w:val="nil"/>
              <w:left w:val="nil"/>
              <w:bottom w:val="nil"/>
              <w:right w:val="nil"/>
            </w:tcBorders>
            <w:noWrap/>
            <w:vAlign w:val="center"/>
          </w:tcPr>
          <w:p>
            <w:pPr>
              <w:widowControl/>
              <w:jc w:val="right"/>
              <w:rPr>
                <w:rFonts w:ascii="宋体" w:cs="Times New Roman"/>
                <w:kern w:val="0"/>
                <w:sz w:val="24"/>
                <w:szCs w:val="24"/>
              </w:rPr>
            </w:pPr>
          </w:p>
        </w:tc>
      </w:tr>
      <w:tr>
        <w:tblPrEx>
          <w:tblCellMar>
            <w:top w:w="0" w:type="dxa"/>
            <w:left w:w="108" w:type="dxa"/>
            <w:bottom w:w="0" w:type="dxa"/>
            <w:right w:w="108" w:type="dxa"/>
          </w:tblCellMar>
        </w:tblPrEx>
        <w:trPr>
          <w:trHeight w:val="360" w:hRule="atLeast"/>
        </w:trPr>
        <w:tc>
          <w:tcPr>
            <w:tcW w:w="15720" w:type="dxa"/>
            <w:gridSpan w:val="9"/>
            <w:tcBorders>
              <w:top w:val="nil"/>
              <w:left w:val="nil"/>
              <w:bottom w:val="nil"/>
              <w:right w:val="nil"/>
            </w:tcBorders>
            <w:noWrap/>
            <w:vAlign w:val="center"/>
          </w:tcPr>
          <w:p>
            <w:pPr>
              <w:widowControl/>
              <w:jc w:val="center"/>
              <w:rPr>
                <w:rFonts w:ascii="华文中宋" w:hAnsi="华文中宋" w:eastAsia="华文中宋" w:cs="华文中宋"/>
                <w:color w:val="000000"/>
                <w:kern w:val="0"/>
                <w:sz w:val="32"/>
                <w:szCs w:val="32"/>
              </w:rPr>
            </w:pPr>
            <w:r>
              <w:rPr>
                <w:rFonts w:hint="eastAsia" w:ascii="华文中宋" w:hAnsi="华文中宋" w:eastAsia="华文中宋" w:cs="华文中宋"/>
                <w:color w:val="000000"/>
                <w:kern w:val="0"/>
                <w:sz w:val="32"/>
                <w:szCs w:val="32"/>
              </w:rPr>
              <w:t>财政拨款收入支出决算总表</w:t>
            </w:r>
          </w:p>
          <w:tbl>
            <w:tblPr>
              <w:tblStyle w:val="6"/>
              <w:tblW w:w="15504" w:type="dxa"/>
              <w:tblInd w:w="0" w:type="dxa"/>
              <w:tblLayout w:type="autofit"/>
              <w:tblCellMar>
                <w:top w:w="0" w:type="dxa"/>
                <w:left w:w="108" w:type="dxa"/>
                <w:bottom w:w="0" w:type="dxa"/>
                <w:right w:w="108" w:type="dxa"/>
              </w:tblCellMar>
            </w:tblPr>
            <w:tblGrid>
              <w:gridCol w:w="3046"/>
              <w:gridCol w:w="552"/>
              <w:gridCol w:w="1569"/>
              <w:gridCol w:w="3398"/>
              <w:gridCol w:w="552"/>
              <w:gridCol w:w="1569"/>
              <w:gridCol w:w="1569"/>
              <w:gridCol w:w="1569"/>
              <w:gridCol w:w="1680"/>
            </w:tblGrid>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公开04表</w:t>
                  </w:r>
                </w:p>
              </w:tc>
            </w:tr>
            <w:tr>
              <w:tblPrEx>
                <w:tblCellMar>
                  <w:top w:w="0" w:type="dxa"/>
                  <w:left w:w="108" w:type="dxa"/>
                  <w:bottom w:w="0" w:type="dxa"/>
                  <w:right w:w="108" w:type="dxa"/>
                </w:tblCellMar>
              </w:tblPrEx>
              <w:trPr>
                <w:trHeight w:val="255" w:hRule="atLeast"/>
              </w:trPr>
              <w:tc>
                <w:tcPr>
                  <w:tcW w:w="3046"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55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39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55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569"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680"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167"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收     入</w:t>
                  </w:r>
                </w:p>
              </w:tc>
              <w:tc>
                <w:tcPr>
                  <w:tcW w:w="10337"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支     出</w:t>
                  </w:r>
                </w:p>
              </w:tc>
            </w:tr>
            <w:tr>
              <w:tblPrEx>
                <w:tblCellMar>
                  <w:top w:w="0" w:type="dxa"/>
                  <w:left w:w="108" w:type="dxa"/>
                  <w:bottom w:w="0" w:type="dxa"/>
                  <w:right w:w="108" w:type="dxa"/>
                </w:tblCellMar>
              </w:tblPrEx>
              <w:trPr>
                <w:trHeight w:val="312" w:hRule="atLeast"/>
              </w:trPr>
              <w:tc>
                <w:tcPr>
                  <w:tcW w:w="3046"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金额</w:t>
                  </w:r>
                </w:p>
              </w:tc>
              <w:tc>
                <w:tcPr>
                  <w:tcW w:w="339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55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行次</w:t>
                  </w:r>
                </w:p>
              </w:tc>
              <w:tc>
                <w:tcPr>
                  <w:tcW w:w="1569"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56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一般公共预算财政拨款</w:t>
                  </w:r>
                </w:p>
              </w:tc>
              <w:tc>
                <w:tcPr>
                  <w:tcW w:w="1569"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政府性基金预算财政拨款</w:t>
                  </w:r>
                </w:p>
              </w:tc>
              <w:tc>
                <w:tcPr>
                  <w:tcW w:w="168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国有资本经营预算财政拨款</w:t>
                  </w:r>
                </w:p>
              </w:tc>
            </w:tr>
            <w:tr>
              <w:tblPrEx>
                <w:tblCellMar>
                  <w:top w:w="0" w:type="dxa"/>
                  <w:left w:w="108" w:type="dxa"/>
                  <w:bottom w:w="0" w:type="dxa"/>
                  <w:right w:w="108" w:type="dxa"/>
                </w:tblCellMar>
              </w:tblPrEx>
              <w:trPr>
                <w:trHeight w:val="615" w:hRule="atLeast"/>
              </w:trPr>
              <w:tc>
                <w:tcPr>
                  <w:tcW w:w="304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39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55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69"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68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680"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一、一般公共服务支出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1,228.56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1,228.56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二、外交支出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三、国有资本经营财政拨款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三、国防支出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四、公共安全支出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五、教育支出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六、科学技术支出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七、文化旅游体育与传媒支出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八、社会保障和就业支出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九、卫生健康支出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十、节能环保支出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十一、城乡社区支出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82.47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82.47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十二、农林水支出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十三、交通运输支出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十四、资源勘探工业信息等支出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十五、商业服务业等支出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十六、金融支出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十七、援助其他地区支出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十八、自然资源海洋气象等支出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十九、住房保障支出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二十、粮油物资储备支出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二十一、国有资本经营预算支出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二十二、灾害防治及应急管理支出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二十三、其他支出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0"/>
                      <w:szCs w:val="20"/>
                    </w:rPr>
                  </w:pPr>
                  <w:r>
                    <w:rPr>
                      <w:rFonts w:hint="eastAsia" w:ascii="宋体" w:hAnsi="宋体" w:cs="Arial"/>
                      <w:b/>
                      <w:bCs/>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二十四、债务还本支出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25</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二十五、债务付息支出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26</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二十六、抗疫特别国债安排的支出</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本年收入合计</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27</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本年支出合计</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年初财政拨款结转和结余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28</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年末财政拨款结转和结余</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一般公共预算财政拨款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29</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政府性基金预算财政拨款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30</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国有资本经营预算财政拨款</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31</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63</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046"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3398"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b/>
                      <w:bCs/>
                      <w:color w:val="000000"/>
                      <w:kern w:val="0"/>
                      <w:sz w:val="22"/>
                    </w:rPr>
                  </w:pPr>
                  <w:r>
                    <w:rPr>
                      <w:rFonts w:hint="eastAsia" w:ascii="宋体" w:hAnsi="宋体" w:cs="Arial"/>
                      <w:b/>
                      <w:bCs/>
                      <w:color w:val="000000"/>
                      <w:kern w:val="0"/>
                      <w:sz w:val="22"/>
                      <w:szCs w:val="22"/>
                    </w:rPr>
                    <w:t>总计</w:t>
                  </w:r>
                </w:p>
              </w:tc>
              <w:tc>
                <w:tcPr>
                  <w:tcW w:w="552"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64</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1,782.82</w:t>
                  </w:r>
                </w:p>
              </w:tc>
              <w:tc>
                <w:tcPr>
                  <w:tcW w:w="156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68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3824" w:type="dxa"/>
                  <w:gridSpan w:val="8"/>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注：本表反映部门本年度一般公共预算财政拨款、政府性基金预算财政拨款和国有资本经营预算财政拨款的总收支和年末结转结余情况。</w:t>
                  </w:r>
                </w:p>
              </w:tc>
              <w:tc>
                <w:tcPr>
                  <w:tcW w:w="1680"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r>
          </w:tbl>
          <w:p>
            <w:pPr>
              <w:widowControl/>
              <w:jc w:val="left"/>
              <w:rPr>
                <w:rFonts w:ascii="华文中宋" w:hAnsi="华文中宋" w:eastAsia="华文中宋" w:cs="Times New Roman"/>
                <w:color w:val="000000"/>
                <w:kern w:val="0"/>
                <w:sz w:val="32"/>
                <w:szCs w:val="32"/>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方正小标宋_GBK"/>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tbl>
      <w:tblPr>
        <w:tblStyle w:val="6"/>
        <w:tblW w:w="14070" w:type="dxa"/>
        <w:tblInd w:w="93" w:type="dxa"/>
        <w:tblLayout w:type="autofit"/>
        <w:tblCellMar>
          <w:top w:w="0" w:type="dxa"/>
          <w:left w:w="108" w:type="dxa"/>
          <w:bottom w:w="0" w:type="dxa"/>
          <w:right w:w="108" w:type="dxa"/>
        </w:tblCellMar>
      </w:tblPr>
      <w:tblGrid>
        <w:gridCol w:w="340"/>
        <w:gridCol w:w="340"/>
        <w:gridCol w:w="340"/>
        <w:gridCol w:w="4665"/>
        <w:gridCol w:w="2645"/>
        <w:gridCol w:w="2937"/>
        <w:gridCol w:w="2803"/>
      </w:tblGrid>
      <w:tr>
        <w:tblPrEx>
          <w:tblCellMar>
            <w:top w:w="0" w:type="dxa"/>
            <w:left w:w="108" w:type="dxa"/>
            <w:bottom w:w="0" w:type="dxa"/>
            <w:right w:w="108" w:type="dxa"/>
          </w:tblCellMar>
        </w:tblPrEx>
        <w:trPr>
          <w:trHeight w:val="255" w:hRule="atLeast"/>
        </w:trPr>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40"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466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64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公开05表</w:t>
            </w:r>
          </w:p>
        </w:tc>
      </w:tr>
      <w:tr>
        <w:tblPrEx>
          <w:tblCellMar>
            <w:top w:w="0" w:type="dxa"/>
            <w:left w:w="108" w:type="dxa"/>
            <w:bottom w:w="0" w:type="dxa"/>
            <w:right w:w="108" w:type="dxa"/>
          </w:tblCellMar>
        </w:tblPrEx>
        <w:trPr>
          <w:trHeight w:val="255" w:hRule="atLeast"/>
        </w:trPr>
        <w:tc>
          <w:tcPr>
            <w:tcW w:w="5685"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264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93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03"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金额单位：万元</w:t>
            </w:r>
          </w:p>
        </w:tc>
      </w:tr>
      <w:tr>
        <w:tblPrEx>
          <w:tblCellMar>
            <w:top w:w="0" w:type="dxa"/>
            <w:left w:w="108" w:type="dxa"/>
            <w:bottom w:w="0" w:type="dxa"/>
            <w:right w:w="108" w:type="dxa"/>
          </w:tblCellMar>
        </w:tblPrEx>
        <w:trPr>
          <w:trHeight w:val="308" w:hRule="atLeast"/>
        </w:trPr>
        <w:tc>
          <w:tcPr>
            <w:tcW w:w="5685"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w:t>
            </w:r>
          </w:p>
        </w:tc>
        <w:tc>
          <w:tcPr>
            <w:tcW w:w="8385"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本年支出</w:t>
            </w:r>
          </w:p>
        </w:tc>
      </w:tr>
      <w:tr>
        <w:tblPrEx>
          <w:tblCellMar>
            <w:top w:w="0" w:type="dxa"/>
            <w:left w:w="108" w:type="dxa"/>
            <w:bottom w:w="0" w:type="dxa"/>
            <w:right w:w="108" w:type="dxa"/>
          </w:tblCellMar>
        </w:tblPrEx>
        <w:trPr>
          <w:trHeight w:val="312" w:hRule="atLeast"/>
        </w:trPr>
        <w:tc>
          <w:tcPr>
            <w:tcW w:w="102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功能分类科目编码</w:t>
            </w:r>
          </w:p>
        </w:tc>
        <w:tc>
          <w:tcPr>
            <w:tcW w:w="4665"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2645"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2937" w:type="dxa"/>
            <w:vMerge w:val="restart"/>
            <w:tcBorders>
              <w:top w:val="nil"/>
              <w:left w:val="nil"/>
              <w:bottom w:val="single" w:color="000000" w:sz="4" w:space="0"/>
              <w:right w:val="single" w:color="000000" w:sz="4" w:space="0"/>
            </w:tcBorders>
            <w:shd w:val="clear" w:color="FFFFFF" w:fill="C0C0C0"/>
            <w:vAlign w:val="center"/>
          </w:tcPr>
          <w:p>
            <w:pPr>
              <w:widowControl/>
              <w:ind w:right="-248" w:rightChars="-118"/>
              <w:jc w:val="center"/>
              <w:rPr>
                <w:rFonts w:ascii="宋体" w:hAnsi="宋体" w:cs="Arial"/>
                <w:color w:val="000000"/>
                <w:kern w:val="0"/>
                <w:sz w:val="22"/>
              </w:rPr>
            </w:pPr>
            <w:r>
              <w:rPr>
                <w:rFonts w:hint="eastAsia" w:ascii="宋体" w:hAnsi="宋体" w:cs="Arial"/>
                <w:color w:val="000000"/>
                <w:kern w:val="0"/>
                <w:sz w:val="22"/>
                <w:szCs w:val="22"/>
              </w:rPr>
              <w:t>基本支出</w:t>
            </w:r>
          </w:p>
        </w:tc>
        <w:tc>
          <w:tcPr>
            <w:tcW w:w="2803"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项目支出</w:t>
            </w: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12" w:hRule="atLeast"/>
        </w:trPr>
        <w:tc>
          <w:tcPr>
            <w:tcW w:w="102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466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645"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93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803"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栏次</w:t>
            </w:r>
          </w:p>
        </w:tc>
        <w:tc>
          <w:tcPr>
            <w:tcW w:w="2645"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2937"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2803" w:type="dxa"/>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r>
      <w:tr>
        <w:tblPrEx>
          <w:tblCellMar>
            <w:top w:w="0" w:type="dxa"/>
            <w:left w:w="108" w:type="dxa"/>
            <w:bottom w:w="0" w:type="dxa"/>
            <w:right w:w="108" w:type="dxa"/>
          </w:tblCellMar>
        </w:tblPrEx>
        <w:trPr>
          <w:trHeight w:val="308" w:hRule="atLeast"/>
        </w:trPr>
        <w:tc>
          <w:tcPr>
            <w:tcW w:w="5685"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1,782.82</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1,782.82</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b/>
                <w:bCs/>
                <w:color w:val="000000"/>
                <w:kern w:val="0"/>
                <w:sz w:val="22"/>
              </w:rPr>
            </w:pPr>
            <w:r>
              <w:rPr>
                <w:rFonts w:hint="eastAsia" w:ascii="宋体" w:hAnsi="宋体" w:cs="Arial"/>
                <w:b/>
                <w:bCs/>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一般公共服务支出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1,228.56</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1,228.56</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政府办公厅（室）及相关机构事务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1,135.74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1,135.74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1,129.81</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1,129.81</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2010399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其他政府办公厅（室）及相关机构事务支出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5.93</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发展与改革事务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2010499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其他发展与改革事务支出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42.43</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财政事务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2010601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行政运行</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50.39</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公共安全支出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2049901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其他公共安全支出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162.84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社会保障和就业支出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95.06</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95.06</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人力资源和社会保障管理事务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2080199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其他人力资源和社会保障管理事务支出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39.29</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退役军人管理事务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2082899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其他退役军人事务管理支出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55.78</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卫生健康管理事务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2100199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其他卫生健康管理事务支出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74.05</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82.47</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82.47</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城乡社区管理事务</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2120104</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城管执法</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45.97</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2120501</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城乡社区环境卫生</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36.50</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农林水支出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02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2139999</w:t>
            </w:r>
          </w:p>
        </w:tc>
        <w:tc>
          <w:tcPr>
            <w:tcW w:w="466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其他农林水支出</w:t>
            </w:r>
          </w:p>
        </w:tc>
        <w:tc>
          <w:tcPr>
            <w:tcW w:w="2645"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9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139.84</w:t>
            </w:r>
          </w:p>
        </w:tc>
        <w:tc>
          <w:tcPr>
            <w:tcW w:w="28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14070" w:type="dxa"/>
            <w:gridSpan w:val="7"/>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注：本表反映部门本年度一般公共预算财政拨款支出情况。</w:t>
            </w:r>
          </w:p>
        </w:tc>
      </w:tr>
    </w:tbl>
    <w:p>
      <w:pPr>
        <w:widowControl/>
        <w:jc w:val="left"/>
        <w:rPr>
          <w:rFonts w:ascii="Times New Roman" w:hAnsi="Times New Roman" w:eastAsia="方正小标宋_GBK" w:cs="Times New Roman"/>
          <w:kern w:val="0"/>
          <w:sz w:val="36"/>
          <w:szCs w:val="36"/>
        </w:rPr>
      </w:pPr>
    </w:p>
    <w:p>
      <w:pPr>
        <w:widowControl/>
        <w:spacing w:beforeLines="50"/>
        <w:jc w:val="left"/>
        <w:rPr>
          <w:rFonts w:ascii="Times New Roman" w:hAnsi="Times New Roman" w:eastAsia="仿宋_GB2312" w:cs="Times New Roman"/>
          <w:kern w:val="0"/>
        </w:rPr>
      </w:pPr>
      <w:r>
        <w:rPr>
          <w:rFonts w:ascii="Times New Roman" w:hAnsi="Times New Roman" w:eastAsia="仿宋_GB2312" w:cs="Times New Roman"/>
          <w:color w:val="000000"/>
          <w:kern w:val="0"/>
        </w:rPr>
        <w:t xml:space="preserve">                                                                                                         </w:t>
      </w:r>
    </w:p>
    <w:p>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autofit"/>
        <w:tblCellMar>
          <w:top w:w="0" w:type="dxa"/>
          <w:left w:w="108" w:type="dxa"/>
          <w:bottom w:w="0" w:type="dxa"/>
          <w:right w:w="108" w:type="dxa"/>
        </w:tblCellMar>
      </w:tblPr>
      <w:tblGrid>
        <w:gridCol w:w="15529"/>
      </w:tblGrid>
      <w:tr>
        <w:tblPrEx>
          <w:tblCellMar>
            <w:top w:w="0" w:type="dxa"/>
            <w:left w:w="108" w:type="dxa"/>
            <w:bottom w:w="0" w:type="dxa"/>
            <w:right w:w="108" w:type="dxa"/>
          </w:tblCellMar>
        </w:tblPrEx>
        <w:trPr>
          <w:trHeight w:val="113" w:hRule="atLeast"/>
        </w:trPr>
        <w:tc>
          <w:tcPr>
            <w:tcW w:w="0" w:type="auto"/>
            <w:tcBorders>
              <w:top w:val="nil"/>
              <w:left w:val="nil"/>
              <w:bottom w:val="nil"/>
              <w:right w:val="nil"/>
            </w:tcBorders>
            <w:noWrap/>
            <w:vAlign w:val="center"/>
          </w:tcPr>
          <w:p>
            <w:pPr>
              <w:widowControl/>
              <w:jc w:val="center"/>
              <w:rPr>
                <w:rFonts w:ascii="华文中宋" w:hAnsi="华文中宋" w:eastAsia="华文中宋" w:cs="华文中宋"/>
                <w:color w:val="000000"/>
                <w:kern w:val="0"/>
              </w:rPr>
            </w:pPr>
            <w:bookmarkStart w:id="2" w:name="RANGE_A1_I34"/>
            <w:r>
              <w:rPr>
                <w:rFonts w:hint="eastAsia" w:ascii="华文中宋" w:hAnsi="华文中宋" w:eastAsia="华文中宋" w:cs="华文中宋"/>
                <w:color w:val="000000"/>
                <w:kern w:val="0"/>
              </w:rPr>
              <w:t>一般公共预算财政拨款基本支出决算表</w:t>
            </w:r>
            <w:bookmarkEnd w:id="2"/>
          </w:p>
          <w:tbl>
            <w:tblPr>
              <w:tblStyle w:val="6"/>
              <w:tblW w:w="15304" w:type="dxa"/>
              <w:tblInd w:w="0" w:type="dxa"/>
              <w:tblLayout w:type="autofit"/>
              <w:tblCellMar>
                <w:top w:w="0" w:type="dxa"/>
                <w:left w:w="108" w:type="dxa"/>
                <w:bottom w:w="0" w:type="dxa"/>
                <w:right w:w="108" w:type="dxa"/>
              </w:tblCellMar>
            </w:tblPr>
            <w:tblGrid>
              <w:gridCol w:w="935"/>
              <w:gridCol w:w="2573"/>
              <w:gridCol w:w="1442"/>
              <w:gridCol w:w="964"/>
              <w:gridCol w:w="2201"/>
              <w:gridCol w:w="1442"/>
              <w:gridCol w:w="766"/>
              <w:gridCol w:w="3548"/>
              <w:gridCol w:w="1442"/>
            </w:tblGrid>
            <w:tr>
              <w:tblPrEx>
                <w:tblCellMar>
                  <w:top w:w="0" w:type="dxa"/>
                  <w:left w:w="108" w:type="dxa"/>
                  <w:bottom w:w="0" w:type="dxa"/>
                  <w:right w:w="108" w:type="dxa"/>
                </w:tblCellMar>
              </w:tblPrEx>
              <w:trPr>
                <w:trHeight w:val="255" w:hRule="atLeast"/>
              </w:trPr>
              <w:tc>
                <w:tcPr>
                  <w:tcW w:w="935"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573"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公开06表</w:t>
                  </w:r>
                </w:p>
              </w:tc>
            </w:tr>
            <w:tr>
              <w:tblPrEx>
                <w:tblCellMar>
                  <w:top w:w="0" w:type="dxa"/>
                  <w:left w:w="108" w:type="dxa"/>
                  <w:bottom w:w="0" w:type="dxa"/>
                  <w:right w:w="108" w:type="dxa"/>
                </w:tblCellMar>
              </w:tblPrEx>
              <w:trPr>
                <w:trHeight w:val="255" w:hRule="atLeast"/>
              </w:trPr>
              <w:tc>
                <w:tcPr>
                  <w:tcW w:w="3508" w:type="dxa"/>
                  <w:gridSpan w:val="2"/>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4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964"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201"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757"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3548"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42" w:type="dxa"/>
                  <w:tcBorders>
                    <w:top w:val="nil"/>
                    <w:left w:val="nil"/>
                    <w:bottom w:val="nil"/>
                    <w:right w:val="nil"/>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金额单位：万元</w:t>
                  </w:r>
                </w:p>
              </w:tc>
            </w:tr>
            <w:tr>
              <w:tblPrEx>
                <w:tblCellMar>
                  <w:top w:w="0" w:type="dxa"/>
                  <w:left w:w="108" w:type="dxa"/>
                  <w:bottom w:w="0" w:type="dxa"/>
                  <w:right w:w="108" w:type="dxa"/>
                </w:tblCellMar>
              </w:tblPrEx>
              <w:trPr>
                <w:trHeight w:val="308" w:hRule="atLeast"/>
              </w:trPr>
              <w:tc>
                <w:tcPr>
                  <w:tcW w:w="4950"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人员经费</w:t>
                  </w:r>
                </w:p>
              </w:tc>
              <w:tc>
                <w:tcPr>
                  <w:tcW w:w="10354" w:type="dxa"/>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公用经费</w:t>
                  </w:r>
                </w:p>
              </w:tc>
            </w:tr>
            <w:tr>
              <w:tblPrEx>
                <w:tblCellMar>
                  <w:top w:w="0" w:type="dxa"/>
                  <w:left w:w="108" w:type="dxa"/>
                  <w:bottom w:w="0" w:type="dxa"/>
                  <w:right w:w="108" w:type="dxa"/>
                </w:tblCellMar>
              </w:tblPrEx>
              <w:trPr>
                <w:trHeight w:val="312" w:hRule="atLeast"/>
              </w:trPr>
              <w:tc>
                <w:tcPr>
                  <w:tcW w:w="935"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科目编码</w:t>
                  </w:r>
                </w:p>
              </w:tc>
              <w:tc>
                <w:tcPr>
                  <w:tcW w:w="2573"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决算数</w:t>
                  </w:r>
                </w:p>
              </w:tc>
              <w:tc>
                <w:tcPr>
                  <w:tcW w:w="964"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科目编码</w:t>
                  </w:r>
                </w:p>
              </w:tc>
              <w:tc>
                <w:tcPr>
                  <w:tcW w:w="2201"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决算数</w:t>
                  </w:r>
                </w:p>
              </w:tc>
              <w:tc>
                <w:tcPr>
                  <w:tcW w:w="757"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科目编码</w:t>
                  </w:r>
                </w:p>
              </w:tc>
              <w:tc>
                <w:tcPr>
                  <w:tcW w:w="354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1442"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12" w:hRule="atLeast"/>
              </w:trPr>
              <w:tc>
                <w:tcPr>
                  <w:tcW w:w="935"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573"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64"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2201"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757"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3548"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442"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工资福利支出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1,143.08</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494.63</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307</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债务利息及费用支出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46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30101</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基本工资</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312.43</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30201</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办公费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84.98</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30701</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国内债务付息</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30102</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津贴补贴</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96.99</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30202</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印刷费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42.26</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30702</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国外债务付息</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30103</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奖金</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179.85</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30203</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咨询费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1.50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资本性支出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30106</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伙食补助费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43.4</w:t>
                  </w:r>
                  <w:r>
                    <w:rPr>
                      <w:rFonts w:hint="eastAsia" w:ascii="宋体" w:hAnsi="宋体" w:cs="Arial"/>
                      <w:color w:val="000000"/>
                      <w:kern w:val="0"/>
                      <w:sz w:val="22"/>
                      <w:szCs w:val="22"/>
                      <w:lang w:val="en-US" w:eastAsia="zh-CN"/>
                    </w:rPr>
                    <w:t>3</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30204</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手续费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31001</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房屋建筑物购建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30107</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绩效工资</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178.88</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30205</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31002</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办公设备购置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30108</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机关事业单位基本养老保险缴费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128.8</w:t>
                  </w:r>
                  <w:r>
                    <w:rPr>
                      <w:rFonts w:hint="eastAsia" w:ascii="宋体" w:hAnsi="宋体" w:cs="Arial"/>
                      <w:color w:val="000000"/>
                      <w:kern w:val="0"/>
                      <w:sz w:val="22"/>
                      <w:szCs w:val="22"/>
                      <w:lang w:val="en-US" w:eastAsia="zh-CN"/>
                    </w:rPr>
                    <w:t>6</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30206</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电费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13.44</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31003</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专用设备购置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30109</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职业年金缴费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22.99</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30207</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邮电费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19.79</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31005</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基础设施建设</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30110</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职工基本医疗保险缴费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76.22</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30208</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取暖费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31006</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大型修缮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30111</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公务员医疗补助缴费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30209</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物业管理费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31007</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信息网络及软件购置更新</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30112</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其他社会保障缴费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2.51</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30211</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差旅费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33.54</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31008</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物资储备</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30113</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住房公积金</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100.92</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30212</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因公出国（境）费用</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31009</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土地补偿</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30114</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医疗费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30213</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维修（护）费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24.12</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31010</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安置补助</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30199</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其他工资福利支出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30214</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租赁费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15.75</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31011</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地上附着物和青苗补偿</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95.11</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30215</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会议费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13.90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31012</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拆迁补偿</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30301</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离休费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30216</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培训费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0.79</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31013</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公务用车购置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30302</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退休费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30217</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公务接待费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5.36</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31019</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其他交通工具购置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30303</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退职（役）费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30218</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专用材料费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66.5</w:t>
                  </w:r>
                  <w:r>
                    <w:rPr>
                      <w:rFonts w:hint="eastAsia" w:ascii="宋体" w:hAnsi="宋体" w:cs="Arial"/>
                      <w:color w:val="000000"/>
                      <w:kern w:val="0"/>
                      <w:sz w:val="22"/>
                      <w:szCs w:val="22"/>
                      <w:lang w:val="en-US" w:eastAsia="zh-CN"/>
                    </w:rPr>
                    <w:t>6</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31021</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文物和陈列品购置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30304</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抚恤金</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3.82</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30224</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被装购置费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31022</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无形资产购置</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30305</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生活补助</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30.98</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30225</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专用燃料费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31099</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其他资本性支出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30306</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救济费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17.18</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30226</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劳务费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399</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其他支出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30307</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医疗费补助</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hint="eastAsia" w:ascii="宋体" w:hAnsi="宋体" w:eastAsia="宋体" w:cs="Arial"/>
                      <w:color w:val="000000"/>
                      <w:kern w:val="0"/>
                      <w:sz w:val="22"/>
                      <w:lang w:eastAsia="zh-CN"/>
                    </w:rPr>
                  </w:pPr>
                  <w:r>
                    <w:rPr>
                      <w:rFonts w:hint="eastAsia" w:ascii="宋体" w:hAnsi="宋体" w:cs="Arial"/>
                      <w:color w:val="000000"/>
                      <w:kern w:val="0"/>
                      <w:sz w:val="22"/>
                      <w:szCs w:val="22"/>
                    </w:rPr>
                    <w:t>1.0</w:t>
                  </w:r>
                  <w:r>
                    <w:rPr>
                      <w:rFonts w:hint="eastAsia" w:ascii="宋体" w:hAnsi="宋体" w:cs="Arial"/>
                      <w:color w:val="000000"/>
                      <w:kern w:val="0"/>
                      <w:sz w:val="22"/>
                      <w:szCs w:val="22"/>
                      <w:lang w:val="en-US" w:eastAsia="zh-CN"/>
                    </w:rPr>
                    <w:t>4</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30227</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委托业务费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39906</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赠与</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30308</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助学金</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30228</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工会经费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39907</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国家赔偿费用支出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30309</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奖励金</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11.90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30229</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福利费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21.28</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39908</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对民间非营利组织和群众性自治组织补贴</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30310</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个人农业生产补贴</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3.20</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30231</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公务用车运行维护费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39999</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30311</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代缴社会保险费</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4.48</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30239</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其他交通费用</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54.94</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30399</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其他对个人和家庭的补助</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22.51</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30240</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税金及附加费用</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935" w:type="dxa"/>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2573"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c>
                <w:tcPr>
                  <w:tcW w:w="964"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30299</w:t>
                  </w:r>
                </w:p>
              </w:tc>
              <w:tc>
                <w:tcPr>
                  <w:tcW w:w="2201"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xml:space="preserve">  其他商品和服务支出</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96.42</w:t>
                  </w:r>
                </w:p>
              </w:tc>
              <w:tc>
                <w:tcPr>
                  <w:tcW w:w="757"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3548" w:type="dxa"/>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　</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3508" w:type="dxa"/>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人员经费合计</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1,238.19</w:t>
                  </w:r>
                </w:p>
              </w:tc>
              <w:tc>
                <w:tcPr>
                  <w:tcW w:w="8912" w:type="dxa"/>
                  <w:gridSpan w:val="5"/>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公用经费合计</w:t>
                  </w:r>
                </w:p>
              </w:tc>
              <w:tc>
                <w:tcPr>
                  <w:tcW w:w="144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544.63</w:t>
                  </w:r>
                </w:p>
              </w:tc>
            </w:tr>
            <w:tr>
              <w:tblPrEx>
                <w:tblCellMar>
                  <w:top w:w="0" w:type="dxa"/>
                  <w:left w:w="108" w:type="dxa"/>
                  <w:bottom w:w="0" w:type="dxa"/>
                  <w:right w:w="108" w:type="dxa"/>
                </w:tblCellMar>
              </w:tblPrEx>
              <w:trPr>
                <w:trHeight w:val="308" w:hRule="atLeast"/>
              </w:trPr>
              <w:tc>
                <w:tcPr>
                  <w:tcW w:w="15304" w:type="dxa"/>
                  <w:gridSpan w:val="9"/>
                  <w:tcBorders>
                    <w:top w:val="nil"/>
                    <w:left w:val="nil"/>
                    <w:bottom w:val="nil"/>
                    <w:right w:val="nil"/>
                  </w:tcBorders>
                  <w:shd w:val="clear" w:color="auto" w:fill="auto"/>
                  <w:noWrap/>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注：本表反映部门本年度一般公共预算财政拨款基本支出明细情况。</w:t>
                  </w:r>
                </w:p>
              </w:tc>
            </w:tr>
          </w:tbl>
          <w:p>
            <w:pPr>
              <w:widowControl/>
              <w:jc w:val="left"/>
              <w:rPr>
                <w:rFonts w:ascii="华文中宋" w:hAnsi="华文中宋" w:eastAsia="华文中宋" w:cs="Times New Roman"/>
                <w:color w:val="000000"/>
                <w:kern w:val="0"/>
              </w:rPr>
            </w:pPr>
          </w:p>
          <w:p>
            <w:pPr>
              <w:widowControl/>
              <w:wordWrap w:val="0"/>
              <w:jc w:val="right"/>
              <w:rPr>
                <w:rFonts w:ascii="华文中宋" w:hAnsi="华文中宋" w:eastAsia="华文中宋" w:cs="Times New Roman"/>
                <w:color w:val="000000"/>
                <w:kern w:val="0"/>
              </w:rPr>
            </w:pPr>
          </w:p>
        </w:tc>
      </w:tr>
    </w:tbl>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p>
    <w:p>
      <w:pPr>
        <w:widowControl/>
        <w:jc w:val="center"/>
        <w:rPr>
          <w:rFonts w:ascii="Times New Roman" w:hAnsi="Times New Roman" w:eastAsia="方正小标宋_GBK" w:cs="方正小标宋_GBK"/>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tbl>
      <w:tblPr>
        <w:tblStyle w:val="6"/>
        <w:tblW w:w="15806" w:type="dxa"/>
        <w:tblInd w:w="93" w:type="dxa"/>
        <w:tblLayout w:type="autofit"/>
        <w:tblCellMar>
          <w:top w:w="0" w:type="dxa"/>
          <w:left w:w="108" w:type="dxa"/>
          <w:bottom w:w="0" w:type="dxa"/>
          <w:right w:w="108" w:type="dxa"/>
        </w:tblCellMar>
      </w:tblPr>
      <w:tblGrid>
        <w:gridCol w:w="1291"/>
        <w:gridCol w:w="129"/>
        <w:gridCol w:w="1147"/>
        <w:gridCol w:w="273"/>
        <w:gridCol w:w="1003"/>
        <w:gridCol w:w="417"/>
        <w:gridCol w:w="858"/>
        <w:gridCol w:w="562"/>
        <w:gridCol w:w="714"/>
        <w:gridCol w:w="706"/>
        <w:gridCol w:w="286"/>
        <w:gridCol w:w="1560"/>
        <w:gridCol w:w="994"/>
        <w:gridCol w:w="281"/>
        <w:gridCol w:w="993"/>
        <w:gridCol w:w="146"/>
        <w:gridCol w:w="1271"/>
        <w:gridCol w:w="149"/>
        <w:gridCol w:w="702"/>
        <w:gridCol w:w="425"/>
        <w:gridCol w:w="1417"/>
        <w:gridCol w:w="482"/>
      </w:tblGrid>
      <w:tr>
        <w:tblPrEx>
          <w:tblCellMar>
            <w:top w:w="0" w:type="dxa"/>
            <w:left w:w="108" w:type="dxa"/>
            <w:bottom w:w="0" w:type="dxa"/>
            <w:right w:w="108" w:type="dxa"/>
          </w:tblCellMar>
        </w:tblPrEx>
        <w:trPr>
          <w:trHeight w:val="255" w:hRule="atLeast"/>
        </w:trPr>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702"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324" w:type="dxa"/>
            <w:gridSpan w:val="3"/>
            <w:tcBorders>
              <w:top w:val="nil"/>
              <w:left w:val="nil"/>
              <w:bottom w:val="nil"/>
              <w:right w:val="nil"/>
            </w:tcBorders>
            <w:shd w:val="clear" w:color="auto" w:fill="auto"/>
            <w:noWrap/>
            <w:vAlign w:val="bottom"/>
          </w:tcPr>
          <w:p>
            <w:pPr>
              <w:widowControl/>
              <w:ind w:right="420"/>
              <w:jc w:val="right"/>
              <w:rPr>
                <w:rFonts w:ascii="Times New Roman" w:hAnsi="Times New Roman" w:eastAsia="仿宋_GB2312" w:cs="Times New Roman"/>
                <w:color w:val="000000"/>
                <w:kern w:val="0"/>
              </w:rPr>
            </w:pPr>
          </w:p>
        </w:tc>
      </w:tr>
      <w:tr>
        <w:tblPrEx>
          <w:tblCellMar>
            <w:top w:w="0" w:type="dxa"/>
            <w:left w:w="108" w:type="dxa"/>
            <w:bottom w:w="0" w:type="dxa"/>
            <w:right w:w="108" w:type="dxa"/>
          </w:tblCellMar>
        </w:tblPrEx>
        <w:trPr>
          <w:gridAfter w:val="1"/>
          <w:wAfter w:w="482" w:type="dxa"/>
          <w:trHeight w:val="255" w:hRule="atLeast"/>
        </w:trPr>
        <w:tc>
          <w:tcPr>
            <w:tcW w:w="2840" w:type="dxa"/>
            <w:gridSpan w:val="4"/>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部门：湘潭县锦石乡人民政府</w:t>
            </w: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86" w:type="dxa"/>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2554"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3"/>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20"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127" w:type="dxa"/>
            <w:gridSpan w:val="2"/>
            <w:tcBorders>
              <w:top w:val="nil"/>
              <w:left w:val="nil"/>
              <w:bottom w:val="nil"/>
              <w:right w:val="nil"/>
            </w:tcBorders>
            <w:shd w:val="clear" w:color="auto" w:fill="auto"/>
            <w:noWrap/>
            <w:vAlign w:val="bottom"/>
          </w:tcPr>
          <w:p>
            <w:pPr>
              <w:widowControl/>
              <w:jc w:val="left"/>
              <w:rPr>
                <w:rFonts w:ascii="Arial" w:hAnsi="Arial" w:cs="Arial"/>
                <w:color w:val="000000"/>
                <w:kern w:val="0"/>
                <w:sz w:val="20"/>
                <w:szCs w:val="20"/>
              </w:rPr>
            </w:pPr>
          </w:p>
        </w:tc>
        <w:tc>
          <w:tcPr>
            <w:tcW w:w="1417" w:type="dxa"/>
            <w:tcBorders>
              <w:top w:val="nil"/>
              <w:left w:val="nil"/>
              <w:bottom w:val="nil"/>
              <w:right w:val="nil"/>
            </w:tcBorders>
            <w:shd w:val="clear" w:color="auto" w:fill="auto"/>
            <w:noWrap/>
            <w:vAlign w:val="bottom"/>
          </w:tcPr>
          <w:p>
            <w:pPr>
              <w:widowControl/>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pPr>
              <w:widowControl/>
              <w:jc w:val="left"/>
              <w:rPr>
                <w:rFonts w:ascii="Arial" w:hAnsi="Arial" w:cs="Arial"/>
                <w:color w:val="000000"/>
                <w:kern w:val="0"/>
                <w:sz w:val="20"/>
                <w:szCs w:val="20"/>
              </w:rPr>
            </w:pPr>
            <w:r>
              <w:rPr>
                <w:rFonts w:hint="eastAsia" w:ascii="Times New Roman" w:hAnsi="Times New Roman" w:eastAsia="仿宋_GB2312" w:cs="仿宋_GB2312"/>
                <w:color w:val="000000"/>
                <w:kern w:val="0"/>
              </w:rPr>
              <w:t>单位：万元</w:t>
            </w:r>
          </w:p>
        </w:tc>
      </w:tr>
      <w:tr>
        <w:tblPrEx>
          <w:tblCellMar>
            <w:top w:w="0" w:type="dxa"/>
            <w:left w:w="108" w:type="dxa"/>
            <w:bottom w:w="0" w:type="dxa"/>
            <w:right w:w="108" w:type="dxa"/>
          </w:tblCellMar>
        </w:tblPrEx>
        <w:trPr>
          <w:trHeight w:val="308" w:hRule="atLeast"/>
        </w:trPr>
        <w:tc>
          <w:tcPr>
            <w:tcW w:w="7386" w:type="dxa"/>
            <w:gridSpan w:val="11"/>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预算数</w:t>
            </w:r>
          </w:p>
        </w:tc>
        <w:tc>
          <w:tcPr>
            <w:tcW w:w="8420" w:type="dxa"/>
            <w:gridSpan w:val="11"/>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决算数</w:t>
            </w:r>
          </w:p>
        </w:tc>
      </w:tr>
      <w:tr>
        <w:tblPrEx>
          <w:tblCellMar>
            <w:top w:w="0" w:type="dxa"/>
            <w:left w:w="108" w:type="dxa"/>
            <w:bottom w:w="0" w:type="dxa"/>
            <w:right w:w="108" w:type="dxa"/>
          </w:tblCellMar>
        </w:tblPrEx>
        <w:trPr>
          <w:trHeight w:val="308" w:hRule="atLeast"/>
        </w:trPr>
        <w:tc>
          <w:tcPr>
            <w:tcW w:w="1291"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276"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因公出国（境）费</w:t>
            </w:r>
          </w:p>
        </w:tc>
        <w:tc>
          <w:tcPr>
            <w:tcW w:w="3827" w:type="dxa"/>
            <w:gridSpan w:val="6"/>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公务用车购置及运行费</w:t>
            </w:r>
          </w:p>
        </w:tc>
        <w:tc>
          <w:tcPr>
            <w:tcW w:w="992"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公务接待费</w:t>
            </w:r>
          </w:p>
        </w:tc>
        <w:tc>
          <w:tcPr>
            <w:tcW w:w="15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合计</w:t>
            </w:r>
          </w:p>
        </w:tc>
        <w:tc>
          <w:tcPr>
            <w:tcW w:w="1275"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因公出国（境）费</w:t>
            </w:r>
          </w:p>
        </w:tc>
        <w:tc>
          <w:tcPr>
            <w:tcW w:w="3686" w:type="dxa"/>
            <w:gridSpan w:val="6"/>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公务用车购置及运行费</w:t>
            </w:r>
          </w:p>
        </w:tc>
        <w:tc>
          <w:tcPr>
            <w:tcW w:w="1899" w:type="dxa"/>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公务接待费</w:t>
            </w:r>
          </w:p>
        </w:tc>
      </w:tr>
      <w:tr>
        <w:tblPrEx>
          <w:tblCellMar>
            <w:top w:w="0" w:type="dxa"/>
            <w:left w:w="108" w:type="dxa"/>
            <w:bottom w:w="0" w:type="dxa"/>
            <w:right w:w="108" w:type="dxa"/>
          </w:tblCellMar>
        </w:tblPrEx>
        <w:trPr>
          <w:trHeight w:val="615" w:hRule="atLeast"/>
        </w:trPr>
        <w:tc>
          <w:tcPr>
            <w:tcW w:w="129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6"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1275"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公务用车运行费</w:t>
            </w:r>
          </w:p>
        </w:tc>
        <w:tc>
          <w:tcPr>
            <w:tcW w:w="992"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560" w:type="dxa"/>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1275"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c>
          <w:tcPr>
            <w:tcW w:w="99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1417"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公务用车购置费</w:t>
            </w:r>
          </w:p>
        </w:tc>
        <w:tc>
          <w:tcPr>
            <w:tcW w:w="1276"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公务用车运行费</w:t>
            </w:r>
          </w:p>
        </w:tc>
        <w:tc>
          <w:tcPr>
            <w:tcW w:w="1899" w:type="dxa"/>
            <w:gridSpan w:val="2"/>
            <w:vMerge w:val="continue"/>
            <w:tcBorders>
              <w:top w:val="nil"/>
              <w:left w:val="nil"/>
              <w:bottom w:val="single" w:color="000000" w:sz="4" w:space="0"/>
              <w:right w:val="single" w:color="000000" w:sz="4" w:space="0"/>
            </w:tcBorders>
            <w:vAlign w:val="center"/>
          </w:tcPr>
          <w:p>
            <w:pPr>
              <w:widowControl/>
              <w:jc w:val="left"/>
              <w:rPr>
                <w:rFonts w:ascii="宋体" w:hAnsi="宋体" w:cs="Arial"/>
                <w:color w:val="000000"/>
                <w:kern w:val="0"/>
                <w:sz w:val="22"/>
              </w:rPr>
            </w:pP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w:t>
            </w:r>
          </w:p>
        </w:tc>
        <w:tc>
          <w:tcPr>
            <w:tcW w:w="1276"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2</w:t>
            </w:r>
          </w:p>
        </w:tc>
        <w:tc>
          <w:tcPr>
            <w:tcW w:w="1276"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3</w:t>
            </w:r>
          </w:p>
        </w:tc>
        <w:tc>
          <w:tcPr>
            <w:tcW w:w="1275"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4</w:t>
            </w:r>
          </w:p>
        </w:tc>
        <w:tc>
          <w:tcPr>
            <w:tcW w:w="1276"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5</w:t>
            </w:r>
          </w:p>
        </w:tc>
        <w:tc>
          <w:tcPr>
            <w:tcW w:w="992"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6</w:t>
            </w:r>
          </w:p>
        </w:tc>
        <w:tc>
          <w:tcPr>
            <w:tcW w:w="1560"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7</w:t>
            </w:r>
          </w:p>
        </w:tc>
        <w:tc>
          <w:tcPr>
            <w:tcW w:w="1275"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8</w:t>
            </w:r>
          </w:p>
        </w:tc>
        <w:tc>
          <w:tcPr>
            <w:tcW w:w="993" w:type="dxa"/>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9</w:t>
            </w:r>
          </w:p>
        </w:tc>
        <w:tc>
          <w:tcPr>
            <w:tcW w:w="1417"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10</w:t>
            </w:r>
          </w:p>
        </w:tc>
        <w:tc>
          <w:tcPr>
            <w:tcW w:w="1276" w:type="dxa"/>
            <w:gridSpan w:val="3"/>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11</w:t>
            </w:r>
          </w:p>
        </w:tc>
        <w:tc>
          <w:tcPr>
            <w:tcW w:w="1899" w:type="dxa"/>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12</w:t>
            </w:r>
          </w:p>
        </w:tc>
      </w:tr>
      <w:tr>
        <w:tblPrEx>
          <w:tblCellMar>
            <w:top w:w="0" w:type="dxa"/>
            <w:left w:w="108" w:type="dxa"/>
            <w:bottom w:w="0" w:type="dxa"/>
            <w:right w:w="108" w:type="dxa"/>
          </w:tblCellMar>
        </w:tblPrEx>
        <w:trPr>
          <w:trHeight w:val="308" w:hRule="atLeast"/>
        </w:trPr>
        <w:tc>
          <w:tcPr>
            <w:tcW w:w="1291" w:type="dxa"/>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18.90</w:t>
            </w:r>
          </w:p>
        </w:tc>
        <w:tc>
          <w:tcPr>
            <w:tcW w:w="1276"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2"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18.90</w:t>
            </w:r>
          </w:p>
        </w:tc>
        <w:tc>
          <w:tcPr>
            <w:tcW w:w="1560"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5.36</w:t>
            </w:r>
          </w:p>
        </w:tc>
        <w:tc>
          <w:tcPr>
            <w:tcW w:w="127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99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417"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276" w:type="dxa"/>
            <w:gridSpan w:val="3"/>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0.00</w:t>
            </w:r>
          </w:p>
        </w:tc>
        <w:tc>
          <w:tcPr>
            <w:tcW w:w="1899"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2"/>
              </w:rPr>
            </w:pPr>
            <w:r>
              <w:rPr>
                <w:rFonts w:hint="eastAsia" w:ascii="宋体" w:hAnsi="宋体" w:cs="Arial"/>
                <w:color w:val="000000"/>
                <w:kern w:val="0"/>
                <w:sz w:val="22"/>
                <w:szCs w:val="22"/>
              </w:rPr>
              <w:t>5.36</w:t>
            </w:r>
          </w:p>
        </w:tc>
      </w:tr>
      <w:tr>
        <w:tblPrEx>
          <w:tblCellMar>
            <w:top w:w="0" w:type="dxa"/>
            <w:left w:w="108" w:type="dxa"/>
            <w:bottom w:w="0" w:type="dxa"/>
            <w:right w:w="108" w:type="dxa"/>
          </w:tblCellMar>
        </w:tblPrEx>
        <w:trPr>
          <w:trHeight w:val="615" w:hRule="atLeast"/>
        </w:trPr>
        <w:tc>
          <w:tcPr>
            <w:tcW w:w="15806" w:type="dxa"/>
            <w:gridSpan w:val="22"/>
            <w:tcBorders>
              <w:top w:val="nil"/>
              <w:left w:val="nil"/>
              <w:bottom w:val="nil"/>
              <w:right w:val="nil"/>
            </w:tcBorders>
            <w:shd w:val="clear" w:color="auto" w:fill="auto"/>
            <w:vAlign w:val="center"/>
          </w:tcPr>
          <w:p>
            <w:pPr>
              <w:widowControl/>
              <w:jc w:val="left"/>
              <w:rPr>
                <w:rFonts w:ascii="宋体" w:hAnsi="宋体" w:cs="Arial"/>
                <w:color w:val="000000"/>
                <w:kern w:val="0"/>
                <w:sz w:val="22"/>
              </w:rPr>
            </w:pPr>
            <w:r>
              <w:rPr>
                <w:rFonts w:hint="eastAsia" w:ascii="宋体" w:hAnsi="宋体" w:cs="Arial"/>
                <w:color w:val="000000"/>
                <w:kern w:val="0"/>
                <w:sz w:val="22"/>
                <w:szCs w:val="22"/>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widowControl/>
        <w:jc w:val="left"/>
        <w:rPr>
          <w:rFonts w:ascii="宋体" w:cs="Times New Roman"/>
          <w:kern w:val="0"/>
          <w:sz w:val="24"/>
          <w:szCs w:val="24"/>
        </w:rPr>
      </w:pPr>
      <w:r>
        <w:rPr>
          <w:rFonts w:ascii="宋体" w:cs="Times New Roman"/>
          <w:kern w:val="0"/>
          <w:sz w:val="24"/>
          <w:szCs w:val="24"/>
        </w:rPr>
        <w:br w:type="page"/>
      </w:r>
    </w:p>
    <w:p>
      <w:pPr>
        <w:autoSpaceDE w:val="0"/>
        <w:autoSpaceDN w:val="0"/>
        <w:adjustRightInd w:val="0"/>
        <w:ind w:left="315" w:leftChars="150"/>
        <w:jc w:val="left"/>
        <w:rPr>
          <w:rFonts w:ascii="宋体" w:cs="Times New Roman"/>
          <w:kern w:val="0"/>
          <w:sz w:val="24"/>
          <w:szCs w:val="24"/>
        </w:rPr>
      </w:pPr>
    </w:p>
    <w:p>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w:t>
            </w:r>
            <w:r>
              <w:rPr>
                <w:rFonts w:ascii="宋体" w:hAnsi="宋体" w:cs="Arial"/>
                <w:color w:val="000000"/>
                <w:kern w:val="0"/>
                <w:sz w:val="22"/>
                <w:szCs w:val="22"/>
              </w:rPr>
              <w:t xml:space="preserve">    </w:t>
            </w:r>
            <w:r>
              <w:rPr>
                <w:rFonts w:hint="eastAsia" w:ascii="宋体" w:hAnsi="宋体" w:cs="Arial"/>
                <w:color w:val="000000"/>
                <w:kern w:val="0"/>
                <w:sz w:val="22"/>
                <w:szCs w:val="22"/>
              </w:rPr>
              <w:t>目</w:t>
            </w:r>
          </w:p>
        </w:tc>
        <w:tc>
          <w:tcPr>
            <w:tcW w:w="200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年初结转和结余</w:t>
            </w:r>
          </w:p>
        </w:tc>
        <w:tc>
          <w:tcPr>
            <w:tcW w:w="200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本年收入</w:t>
            </w:r>
          </w:p>
        </w:tc>
        <w:tc>
          <w:tcPr>
            <w:tcW w:w="6000" w:type="dxa"/>
            <w:gridSpan w:val="3"/>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本年支出</w:t>
            </w:r>
          </w:p>
        </w:tc>
        <w:tc>
          <w:tcPr>
            <w:tcW w:w="2000" w:type="dxa"/>
            <w:vMerge w:val="restart"/>
            <w:shd w:val="clear" w:color="auto" w:fill="BEBEBE" w:themeFill="background1" w:themeFillShade="BF"/>
            <w:vAlign w:val="center"/>
          </w:tcPr>
          <w:p>
            <w:pPr>
              <w:widowControl/>
              <w:jc w:val="center"/>
              <w:rPr>
                <w:rFonts w:ascii="Times New Roman" w:hAnsi="Times New Roman" w:eastAsia="仿宋_GB2312" w:cs="Times New Roman"/>
                <w:b/>
                <w:bCs/>
                <w:kern w:val="0"/>
              </w:rPr>
            </w:pPr>
            <w:r>
              <w:rPr>
                <w:rFonts w:hint="eastAsia" w:ascii="宋体" w:hAnsi="宋体" w:cs="Arial"/>
                <w:color w:val="000000"/>
                <w:kern w:val="0"/>
                <w:sz w:val="22"/>
                <w:szCs w:val="22"/>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功能分类科目编码</w:t>
            </w:r>
          </w:p>
        </w:tc>
        <w:tc>
          <w:tcPr>
            <w:tcW w:w="132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科目名称</w:t>
            </w:r>
          </w:p>
        </w:tc>
        <w:tc>
          <w:tcPr>
            <w:tcW w:w="2000" w:type="dxa"/>
            <w:vMerge w:val="continue"/>
            <w:shd w:val="clear" w:color="auto" w:fill="BEBEBE" w:themeFill="background1" w:themeFillShade="BF"/>
            <w:vAlign w:val="center"/>
          </w:tcPr>
          <w:p>
            <w:pPr>
              <w:widowControl/>
              <w:jc w:val="left"/>
              <w:rPr>
                <w:rFonts w:ascii="宋体" w:hAnsi="宋体" w:cs="Arial"/>
                <w:color w:val="000000"/>
                <w:kern w:val="0"/>
                <w:sz w:val="22"/>
              </w:rPr>
            </w:pPr>
          </w:p>
        </w:tc>
        <w:tc>
          <w:tcPr>
            <w:tcW w:w="2000" w:type="dxa"/>
            <w:vMerge w:val="continue"/>
            <w:shd w:val="clear" w:color="auto" w:fill="BEBEBE" w:themeFill="background1" w:themeFillShade="BF"/>
            <w:vAlign w:val="center"/>
          </w:tcPr>
          <w:p>
            <w:pPr>
              <w:widowControl/>
              <w:jc w:val="left"/>
              <w:rPr>
                <w:rFonts w:ascii="宋体" w:hAnsi="宋体" w:cs="Arial"/>
                <w:color w:val="000000"/>
                <w:kern w:val="0"/>
                <w:sz w:val="22"/>
              </w:rPr>
            </w:pPr>
          </w:p>
        </w:tc>
        <w:tc>
          <w:tcPr>
            <w:tcW w:w="200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小计</w:t>
            </w:r>
          </w:p>
        </w:tc>
        <w:tc>
          <w:tcPr>
            <w:tcW w:w="200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基本支出</w:t>
            </w:r>
            <w:r>
              <w:rPr>
                <w:rFonts w:ascii="宋体" w:hAnsi="宋体" w:cs="Arial"/>
                <w:color w:val="000000"/>
                <w:kern w:val="0"/>
                <w:sz w:val="22"/>
                <w:szCs w:val="22"/>
              </w:rPr>
              <w:t xml:space="preserve">  </w:t>
            </w:r>
          </w:p>
        </w:tc>
        <w:tc>
          <w:tcPr>
            <w:tcW w:w="2000" w:type="dxa"/>
            <w:vMerge w:val="restart"/>
            <w:shd w:val="clear" w:color="auto" w:fill="BEBEBE" w:themeFill="background1" w:themeFillShade="BF"/>
            <w:vAlign w:val="center"/>
          </w:tcPr>
          <w:p>
            <w:pPr>
              <w:widowControl/>
              <w:jc w:val="center"/>
              <w:rPr>
                <w:rFonts w:ascii="宋体" w:hAnsi="宋体" w:cs="Arial"/>
                <w:color w:val="000000"/>
                <w:kern w:val="0"/>
                <w:sz w:val="22"/>
              </w:rPr>
            </w:pPr>
            <w:r>
              <w:rPr>
                <w:rFonts w:hint="eastAsia" w:ascii="宋体" w:hAnsi="宋体" w:cs="Arial"/>
                <w:color w:val="000000"/>
                <w:kern w:val="0"/>
                <w:sz w:val="22"/>
                <w:szCs w:val="22"/>
              </w:rPr>
              <w:t>项目支出</w:t>
            </w: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b/>
                <w:bCs/>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132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132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c>
          <w:tcPr>
            <w:tcW w:w="2000" w:type="dxa"/>
            <w:vMerge w:val="continue"/>
            <w:shd w:val="clear" w:color="auto" w:fill="BEBEBE" w:themeFill="background1" w:themeFillShade="BF"/>
            <w:vAlign w:val="center"/>
          </w:tcPr>
          <w:p>
            <w:pPr>
              <w:widowControl/>
              <w:jc w:val="left"/>
              <w:rPr>
                <w:rFonts w:ascii="Times New Roman" w:hAnsi="Times New Roman" w:eastAsia="仿宋_GB2312" w:cs="Times New Roman"/>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BEBEBE" w:themeFill="background1" w:themeFillShade="BF"/>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BEBEBE" w:themeFill="background1" w:themeFillShade="BF"/>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说明：</w:t>
      </w:r>
      <w:r>
        <w:rPr>
          <w:rFonts w:hint="eastAsia" w:ascii="Times New Roman" w:hAnsi="Times New Roman" w:eastAsia="仿宋_GB2312" w:cs="Times New Roman"/>
          <w:kern w:val="0"/>
        </w:rPr>
        <w:t>锦石乡人民政府</w:t>
      </w:r>
      <w:r>
        <w:rPr>
          <w:rFonts w:hint="eastAsia" w:ascii="Times New Roman" w:hAnsi="Times New Roman" w:eastAsia="仿宋_GB2312" w:cs="仿宋_GB2312"/>
          <w:kern w:val="0"/>
        </w:rPr>
        <w:t>没有政府性基金收入，也没有使用政府性基金安排的支出，故本表无数据</w:t>
      </w:r>
      <w:r>
        <w:rPr>
          <w:rFonts w:hint="eastAsia" w:ascii="Times New Roman" w:hAnsi="Times New Roman" w:eastAsia="仿宋_GB2312" w:cs="Times New Roman"/>
          <w:kern w:val="0"/>
        </w:rPr>
        <w:t>。</w:t>
      </w:r>
    </w:p>
    <w:p>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shd w:val="clear" w:color="auto" w:fill="BEBEBE" w:themeFill="background1" w:themeFillShade="BF"/>
            <w:vAlign w:val="center"/>
          </w:tcPr>
          <w:p>
            <w:pPr>
              <w:widowControl/>
              <w:jc w:val="left"/>
              <w:rPr>
                <w:rFonts w:ascii="宋体" w:cs="Times New Roman"/>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ascii="宋体" w:hAnsi="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BEBEBE" w:themeFill="background1" w:themeFillShade="BF"/>
            <w:vAlign w:val="center"/>
          </w:tcPr>
          <w:p>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sz w:val="22"/>
              </w:rPr>
              <w:t>本表无数据</w:t>
            </w:r>
          </w:p>
        </w:tc>
        <w:tc>
          <w:tcPr>
            <w:tcW w:w="2977" w:type="dxa"/>
            <w:gridSpan w:val="2"/>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pPr>
              <w:widowControl/>
              <w:jc w:val="left"/>
              <w:rPr>
                <w:rFonts w:ascii="宋体" w:cs="Times New Roman"/>
                <w:kern w:val="0"/>
                <w:sz w:val="24"/>
                <w:szCs w:val="24"/>
              </w:rPr>
            </w:pPr>
            <w:r>
              <w:rPr>
                <w:rFonts w:hint="eastAsia" w:ascii="宋体" w:hAnsi="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pPr>
        <w:pStyle w:val="8"/>
        <w:rPr>
          <w:rFonts w:cs="Times New Roman"/>
          <w:sz w:val="72"/>
          <w:szCs w:val="72"/>
        </w:rPr>
        <w:sectPr>
          <w:pgSz w:w="16838" w:h="11906" w:orient="landscape"/>
          <w:pgMar w:top="720" w:right="720" w:bottom="720" w:left="720" w:header="851" w:footer="992" w:gutter="0"/>
          <w:cols w:space="425" w:num="1"/>
          <w:docGrid w:type="lines" w:linePitch="312" w:charSpace="0"/>
        </w:sectPr>
      </w:pPr>
    </w:p>
    <w:p>
      <w:pPr>
        <w:pStyle w:val="8"/>
        <w:ind w:firstLine="2520" w:firstLineChars="350"/>
        <w:rPr>
          <w:rFonts w:cs="Times New Roman"/>
          <w:sz w:val="72"/>
          <w:szCs w:val="72"/>
        </w:rPr>
      </w:pPr>
    </w:p>
    <w:p>
      <w:pPr>
        <w:pStyle w:val="8"/>
        <w:ind w:firstLine="2520" w:firstLineChars="350"/>
        <w:rPr>
          <w:rFonts w:cs="Times New Roman"/>
          <w:sz w:val="72"/>
          <w:szCs w:val="72"/>
        </w:rPr>
      </w:pPr>
    </w:p>
    <w:p>
      <w:pPr>
        <w:pStyle w:val="8"/>
        <w:ind w:firstLine="2520" w:firstLineChars="350"/>
        <w:rPr>
          <w:rFonts w:cs="Times New Roman"/>
          <w:sz w:val="72"/>
          <w:szCs w:val="72"/>
        </w:rPr>
      </w:pPr>
    </w:p>
    <w:p>
      <w:pPr>
        <w:pStyle w:val="8"/>
        <w:ind w:firstLine="2520" w:firstLineChars="350"/>
        <w:rPr>
          <w:rFonts w:cs="Times New Roman"/>
          <w:sz w:val="72"/>
          <w:szCs w:val="72"/>
        </w:rPr>
      </w:pPr>
    </w:p>
    <w:p>
      <w:pPr>
        <w:pStyle w:val="8"/>
        <w:ind w:firstLine="2520" w:firstLineChars="350"/>
        <w:rPr>
          <w:rFonts w:ascii="宋体" w:hAnsi="宋体" w:eastAsia="宋体" w:cs="宋体"/>
          <w:sz w:val="72"/>
          <w:szCs w:val="72"/>
        </w:rPr>
      </w:pPr>
    </w:p>
    <w:p>
      <w:pPr>
        <w:pStyle w:val="8"/>
        <w:ind w:firstLine="3240" w:firstLineChars="450"/>
        <w:rPr>
          <w:rFonts w:ascii="宋体" w:hAnsi="宋体" w:eastAsia="宋体" w:cs="宋体"/>
          <w:sz w:val="72"/>
          <w:szCs w:val="72"/>
        </w:rPr>
      </w:pPr>
      <w:r>
        <w:rPr>
          <w:rFonts w:hint="eastAsia" w:ascii="宋体" w:hAnsi="宋体" w:eastAsia="宋体" w:cs="宋体"/>
          <w:sz w:val="72"/>
          <w:szCs w:val="72"/>
        </w:rPr>
        <w:t>第三部分</w:t>
      </w:r>
    </w:p>
    <w:p>
      <w:pPr>
        <w:pStyle w:val="8"/>
        <w:jc w:val="center"/>
        <w:rPr>
          <w:rFonts w:ascii="宋体" w:hAnsi="宋体" w:eastAsia="宋体" w:cs="宋体"/>
          <w:sz w:val="72"/>
          <w:szCs w:val="72"/>
        </w:rPr>
      </w:pPr>
    </w:p>
    <w:p>
      <w:pPr>
        <w:pStyle w:val="8"/>
        <w:jc w:val="center"/>
        <w:rPr>
          <w:rFonts w:ascii="宋体" w:hAnsi="宋体" w:eastAsia="宋体" w:cs="宋体"/>
          <w:sz w:val="72"/>
          <w:szCs w:val="72"/>
        </w:rPr>
      </w:pPr>
      <w:r>
        <w:rPr>
          <w:rFonts w:hint="eastAsia" w:ascii="宋体" w:hAnsi="宋体" w:eastAsia="宋体" w:cs="宋体"/>
          <w:sz w:val="72"/>
          <w:szCs w:val="72"/>
        </w:rPr>
        <w:t>2020年度部门决算情况说明</w:t>
      </w:r>
    </w:p>
    <w:p>
      <w:pPr>
        <w:widowControl/>
        <w:jc w:val="left"/>
        <w:rPr>
          <w:rFonts w:cs="Times New Roman"/>
          <w:sz w:val="70"/>
          <w:szCs w:val="70"/>
        </w:rPr>
        <w:sectPr>
          <w:pgSz w:w="11906" w:h="16838"/>
          <w:pgMar w:top="720" w:right="720" w:bottom="720" w:left="720" w:header="851" w:footer="992" w:gutter="0"/>
          <w:cols w:space="425" w:num="1"/>
          <w:docGrid w:type="linesAndChars" w:linePitch="312" w:charSpace="0"/>
        </w:sectPr>
      </w:pPr>
    </w:p>
    <w:p>
      <w:pPr>
        <w:pStyle w:val="8"/>
        <w:rPr>
          <w:rFonts w:hAnsi="黑体" w:cs="Times New Roman"/>
          <w:b/>
          <w:bCs/>
          <w:sz w:val="32"/>
          <w:szCs w:val="32"/>
        </w:rPr>
      </w:pPr>
      <w:r>
        <w:rPr>
          <w:rFonts w:hint="eastAsia" w:hAnsi="黑体"/>
          <w:b/>
          <w:bCs/>
          <w:sz w:val="32"/>
          <w:szCs w:val="32"/>
        </w:rPr>
        <w:t>一、收入支出决算总体情况说明</w:t>
      </w:r>
    </w:p>
    <w:p>
      <w:pPr>
        <w:pStyle w:val="8"/>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年度收、支总计4328.35万元。与上年相比，减少138.49万元，减少3.1</w:t>
      </w:r>
      <w:r>
        <w:rPr>
          <w:rFonts w:ascii="宋体" w:hAnsi="宋体" w:eastAsia="宋体" w:cs="宋体"/>
          <w:sz w:val="32"/>
          <w:szCs w:val="32"/>
        </w:rPr>
        <w:t>%</w:t>
      </w:r>
      <w:r>
        <w:rPr>
          <w:rFonts w:hint="eastAsia" w:ascii="宋体" w:hAnsi="宋体" w:eastAsia="宋体" w:cs="宋体"/>
          <w:sz w:val="32"/>
          <w:szCs w:val="32"/>
        </w:rPr>
        <w:t>，主要是因为经费预算从紧，且严格控制各项非必要性开支。</w:t>
      </w:r>
    </w:p>
    <w:p>
      <w:pPr>
        <w:pStyle w:val="8"/>
        <w:rPr>
          <w:rFonts w:hAnsi="黑体" w:cs="Times New Roman"/>
          <w:b/>
          <w:bCs/>
          <w:sz w:val="32"/>
          <w:szCs w:val="32"/>
        </w:rPr>
      </w:pPr>
      <w:r>
        <w:rPr>
          <w:rFonts w:hint="eastAsia" w:hAnsi="黑体"/>
          <w:b/>
          <w:bCs/>
          <w:sz w:val="32"/>
          <w:szCs w:val="32"/>
        </w:rPr>
        <w:t>二、收入决算情况说明</w:t>
      </w:r>
    </w:p>
    <w:p>
      <w:pPr>
        <w:pStyle w:val="8"/>
        <w:ind w:firstLine="640" w:firstLineChars="200"/>
        <w:rPr>
          <w:rFonts w:ascii="宋体" w:hAnsi="宋体" w:eastAsia="宋体" w:cs="Times New Roman"/>
          <w:sz w:val="32"/>
          <w:szCs w:val="32"/>
        </w:rPr>
      </w:pPr>
      <w:r>
        <w:rPr>
          <w:rFonts w:hint="eastAsia" w:ascii="宋体" w:hAnsi="宋体" w:eastAsia="宋体" w:cs="宋体"/>
          <w:sz w:val="32"/>
          <w:szCs w:val="32"/>
        </w:rPr>
        <w:t>本年收入合计4328.35万元，其中：财政拨款收入1782.82万元，占41.19</w:t>
      </w:r>
      <w:r>
        <w:rPr>
          <w:rFonts w:ascii="宋体" w:hAnsi="宋体" w:eastAsia="宋体" w:cs="宋体"/>
          <w:sz w:val="32"/>
          <w:szCs w:val="32"/>
        </w:rPr>
        <w:t>%</w:t>
      </w:r>
      <w:r>
        <w:rPr>
          <w:rFonts w:hint="eastAsia" w:ascii="宋体" w:hAnsi="宋体" w:eastAsia="宋体" w:cs="宋体"/>
          <w:sz w:val="32"/>
          <w:szCs w:val="32"/>
        </w:rPr>
        <w:t>；上级补助收入0万元，占0</w:t>
      </w:r>
      <w:r>
        <w:rPr>
          <w:rFonts w:ascii="宋体" w:hAnsi="宋体" w:eastAsia="宋体" w:cs="宋体"/>
          <w:sz w:val="32"/>
          <w:szCs w:val="32"/>
        </w:rPr>
        <w:t>%</w:t>
      </w:r>
      <w:r>
        <w:rPr>
          <w:rFonts w:hint="eastAsia" w:ascii="宋体" w:hAnsi="宋体" w:eastAsia="宋体" w:cs="宋体"/>
          <w:sz w:val="32"/>
          <w:szCs w:val="32"/>
        </w:rPr>
        <w:t>；事业收入0万元，占0</w:t>
      </w:r>
      <w:r>
        <w:rPr>
          <w:rFonts w:ascii="宋体" w:hAnsi="宋体" w:eastAsia="宋体" w:cs="宋体"/>
          <w:sz w:val="32"/>
          <w:szCs w:val="32"/>
        </w:rPr>
        <w:t>%</w:t>
      </w:r>
      <w:r>
        <w:rPr>
          <w:rFonts w:hint="eastAsia" w:ascii="宋体" w:hAnsi="宋体" w:eastAsia="宋体" w:cs="宋体"/>
          <w:sz w:val="32"/>
          <w:szCs w:val="32"/>
        </w:rPr>
        <w:t>；经营收入0万元，占0</w:t>
      </w:r>
      <w:r>
        <w:rPr>
          <w:rFonts w:ascii="宋体" w:hAnsi="宋体" w:eastAsia="宋体" w:cs="宋体"/>
          <w:sz w:val="32"/>
          <w:szCs w:val="32"/>
        </w:rPr>
        <w:t>%</w:t>
      </w:r>
      <w:r>
        <w:rPr>
          <w:rFonts w:hint="eastAsia" w:ascii="宋体" w:hAnsi="宋体" w:eastAsia="宋体" w:cs="宋体"/>
          <w:sz w:val="32"/>
          <w:szCs w:val="32"/>
        </w:rPr>
        <w:t>；附属单位上缴收入0万元，占0</w:t>
      </w:r>
      <w:r>
        <w:rPr>
          <w:rFonts w:ascii="宋体" w:hAnsi="宋体" w:eastAsia="宋体" w:cs="宋体"/>
          <w:sz w:val="32"/>
          <w:szCs w:val="32"/>
        </w:rPr>
        <w:t>%</w:t>
      </w:r>
      <w:r>
        <w:rPr>
          <w:rFonts w:hint="eastAsia" w:ascii="宋体" w:hAnsi="宋体" w:eastAsia="宋体" w:cs="宋体"/>
          <w:sz w:val="32"/>
          <w:szCs w:val="32"/>
        </w:rPr>
        <w:t>；其他收入2545.53万元，占58.81</w:t>
      </w:r>
      <w:r>
        <w:rPr>
          <w:rFonts w:ascii="宋体" w:hAnsi="宋体" w:eastAsia="宋体" w:cs="宋体"/>
          <w:sz w:val="32"/>
          <w:szCs w:val="32"/>
        </w:rPr>
        <w:t>%</w:t>
      </w:r>
      <w:r>
        <w:rPr>
          <w:rFonts w:hint="eastAsia" w:ascii="宋体" w:hAnsi="宋体" w:eastAsia="宋体" w:cs="宋体"/>
          <w:sz w:val="32"/>
          <w:szCs w:val="32"/>
        </w:rPr>
        <w:t>。</w:t>
      </w:r>
    </w:p>
    <w:p>
      <w:pPr>
        <w:pStyle w:val="8"/>
        <w:rPr>
          <w:rFonts w:hAnsi="黑体" w:cs="Times New Roman"/>
          <w:b/>
          <w:bCs/>
          <w:sz w:val="32"/>
          <w:szCs w:val="32"/>
        </w:rPr>
      </w:pPr>
      <w:r>
        <w:rPr>
          <w:rFonts w:hint="eastAsia" w:hAnsi="黑体"/>
          <w:b/>
          <w:bCs/>
          <w:sz w:val="32"/>
          <w:szCs w:val="32"/>
        </w:rPr>
        <w:t>三、支出决算情况说明</w:t>
      </w:r>
    </w:p>
    <w:p>
      <w:pPr>
        <w:pStyle w:val="8"/>
        <w:ind w:firstLine="640" w:firstLineChars="200"/>
        <w:rPr>
          <w:rFonts w:ascii="宋体" w:hAnsi="宋体" w:eastAsia="宋体" w:cs="Times New Roman"/>
          <w:sz w:val="32"/>
          <w:szCs w:val="32"/>
        </w:rPr>
      </w:pPr>
      <w:r>
        <w:rPr>
          <w:rFonts w:hint="eastAsia" w:ascii="宋体" w:hAnsi="宋体" w:eastAsia="宋体" w:cs="宋体"/>
          <w:sz w:val="32"/>
          <w:szCs w:val="32"/>
        </w:rPr>
        <w:t>本年支出合计4328.35万元，其中：基本支出4328.35万元，占100</w:t>
      </w:r>
      <w:r>
        <w:rPr>
          <w:rFonts w:ascii="宋体" w:hAnsi="宋体" w:eastAsia="宋体" w:cs="宋体"/>
          <w:sz w:val="32"/>
          <w:szCs w:val="32"/>
        </w:rPr>
        <w:t>%</w:t>
      </w:r>
      <w:r>
        <w:rPr>
          <w:rFonts w:hint="eastAsia" w:ascii="宋体" w:hAnsi="宋体" w:eastAsia="宋体" w:cs="宋体"/>
          <w:sz w:val="32"/>
          <w:szCs w:val="32"/>
        </w:rPr>
        <w:t>。</w:t>
      </w:r>
    </w:p>
    <w:p>
      <w:pPr>
        <w:pStyle w:val="8"/>
        <w:rPr>
          <w:rFonts w:hAnsi="黑体" w:cs="Times New Roman"/>
          <w:b/>
          <w:bCs/>
          <w:sz w:val="32"/>
          <w:szCs w:val="32"/>
        </w:rPr>
      </w:pPr>
      <w:r>
        <w:rPr>
          <w:rFonts w:hint="eastAsia" w:hAnsi="黑体"/>
          <w:b/>
          <w:bCs/>
          <w:sz w:val="32"/>
          <w:szCs w:val="32"/>
        </w:rPr>
        <w:t>四、财政拨款收入支出决算总体情况说明</w:t>
      </w:r>
    </w:p>
    <w:p>
      <w:pPr>
        <w:pStyle w:val="8"/>
        <w:rPr>
          <w:rFonts w:ascii="宋体" w:hAnsi="宋体" w:eastAsia="宋体" w:cs="Times New Roman"/>
          <w:sz w:val="32"/>
          <w:szCs w:val="32"/>
        </w:rPr>
      </w:pPr>
      <w:r>
        <w:rPr>
          <w:rFonts w:ascii="宋体" w:hAnsi="宋体" w:eastAsia="宋体" w:cs="宋体"/>
          <w:sz w:val="32"/>
          <w:szCs w:val="32"/>
        </w:rPr>
        <w:t xml:space="preserve">    2020</w:t>
      </w:r>
      <w:r>
        <w:rPr>
          <w:rFonts w:hint="eastAsia" w:ascii="宋体" w:hAnsi="宋体" w:eastAsia="宋体" w:cs="宋体"/>
          <w:sz w:val="32"/>
          <w:szCs w:val="32"/>
        </w:rPr>
        <w:t>年度财政拨款收、支总计1782.82万元，与上年相比，增加244.14万元</w:t>
      </w:r>
      <w:r>
        <w:rPr>
          <w:rFonts w:ascii="宋体" w:hAnsi="宋体" w:eastAsia="宋体" w:cs="宋体"/>
          <w:sz w:val="32"/>
          <w:szCs w:val="32"/>
        </w:rPr>
        <w:t>,</w:t>
      </w:r>
      <w:r>
        <w:rPr>
          <w:rFonts w:hint="eastAsia" w:ascii="宋体" w:hAnsi="宋体" w:eastAsia="宋体" w:cs="宋体"/>
          <w:sz w:val="32"/>
          <w:szCs w:val="32"/>
        </w:rPr>
        <w:t>增长15.87</w:t>
      </w:r>
      <w:r>
        <w:rPr>
          <w:rFonts w:ascii="宋体" w:hAnsi="宋体" w:eastAsia="宋体" w:cs="宋体"/>
          <w:sz w:val="32"/>
          <w:szCs w:val="32"/>
        </w:rPr>
        <w:t>%</w:t>
      </w:r>
      <w:r>
        <w:rPr>
          <w:rFonts w:hint="eastAsia" w:ascii="宋体" w:hAnsi="宋体" w:eastAsia="宋体" w:cs="宋体"/>
          <w:sz w:val="32"/>
          <w:szCs w:val="32"/>
        </w:rPr>
        <w:t>，主要是因为体制基数调整，镇区基础设施投入加大。</w:t>
      </w:r>
    </w:p>
    <w:p>
      <w:pPr>
        <w:pStyle w:val="8"/>
        <w:rPr>
          <w:rFonts w:hAnsi="黑体" w:cs="Times New Roman"/>
          <w:b/>
          <w:bCs/>
          <w:sz w:val="32"/>
          <w:szCs w:val="32"/>
        </w:rPr>
      </w:pPr>
      <w:r>
        <w:rPr>
          <w:rFonts w:hint="eastAsia" w:hAnsi="黑体"/>
          <w:b/>
          <w:bCs/>
          <w:sz w:val="32"/>
          <w:szCs w:val="32"/>
        </w:rPr>
        <w:t>五、一般公共预算财政拨款支出决算情况说明</w:t>
      </w:r>
    </w:p>
    <w:p>
      <w:pPr>
        <w:pStyle w:val="8"/>
        <w:ind w:firstLine="643" w:firstLineChars="200"/>
        <w:rPr>
          <w:rFonts w:ascii="宋体" w:hAnsi="宋体" w:eastAsia="宋体" w:cs="Times New Roman"/>
          <w:b/>
          <w:bCs/>
          <w:color w:val="auto"/>
          <w:sz w:val="32"/>
          <w:szCs w:val="32"/>
        </w:rPr>
      </w:pPr>
      <w:r>
        <w:rPr>
          <w:rFonts w:hint="eastAsia" w:ascii="宋体" w:hAnsi="宋体" w:eastAsia="宋体" w:cs="宋体"/>
          <w:b/>
          <w:bCs/>
          <w:color w:val="auto"/>
          <w:sz w:val="32"/>
          <w:szCs w:val="32"/>
        </w:rPr>
        <w:t>（一）财政拨款支出决算总体情况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auto"/>
          <w:spacing w:val="0"/>
          <w:sz w:val="24"/>
          <w:szCs w:val="24"/>
        </w:rPr>
      </w:pPr>
      <w:r>
        <w:rPr>
          <w:rFonts w:ascii="宋体" w:hAnsi="宋体" w:eastAsia="宋体" w:cs="宋体"/>
          <w:color w:val="auto"/>
          <w:sz w:val="32"/>
          <w:szCs w:val="32"/>
        </w:rPr>
        <w:t>2020</w:t>
      </w:r>
      <w:r>
        <w:rPr>
          <w:rFonts w:hint="eastAsia" w:ascii="宋体" w:hAnsi="宋体" w:eastAsia="宋体" w:cs="宋体"/>
          <w:color w:val="auto"/>
          <w:sz w:val="32"/>
          <w:szCs w:val="32"/>
        </w:rPr>
        <w:t>年度财政拨款支出1782.82万元，占本年支出合计的41.19</w:t>
      </w:r>
      <w:r>
        <w:rPr>
          <w:rFonts w:ascii="宋体" w:hAnsi="宋体" w:eastAsia="宋体" w:cs="宋体"/>
          <w:color w:val="auto"/>
          <w:sz w:val="32"/>
          <w:szCs w:val="32"/>
        </w:rPr>
        <w:t>%</w:t>
      </w:r>
      <w:r>
        <w:rPr>
          <w:rFonts w:hint="eastAsia" w:ascii="宋体" w:hAnsi="宋体" w:eastAsia="宋体" w:cs="宋体"/>
          <w:color w:val="auto"/>
          <w:sz w:val="32"/>
          <w:szCs w:val="32"/>
        </w:rPr>
        <w:t>，与上年相比，财政拨款支出增加244.14万元，增长15.87</w:t>
      </w:r>
      <w:r>
        <w:rPr>
          <w:rFonts w:ascii="宋体" w:hAnsi="宋体" w:eastAsia="宋体" w:cs="宋体"/>
          <w:color w:val="auto"/>
          <w:sz w:val="32"/>
          <w:szCs w:val="32"/>
        </w:rPr>
        <w:t>%</w:t>
      </w:r>
      <w:r>
        <w:rPr>
          <w:rFonts w:hint="eastAsia" w:ascii="宋体" w:hAnsi="宋体" w:eastAsia="宋体" w:cs="宋体"/>
          <w:color w:val="auto"/>
          <w:sz w:val="32"/>
          <w:szCs w:val="32"/>
        </w:rPr>
        <w:t>，主要是因为体制基数调整，镇区基础设施投入加大。</w:t>
      </w:r>
    </w:p>
    <w:p>
      <w:pPr>
        <w:pStyle w:val="8"/>
        <w:ind w:firstLine="800" w:firstLineChars="250"/>
        <w:rPr>
          <w:rFonts w:hint="eastAsia" w:ascii="宋体" w:hAnsi="宋体" w:eastAsia="宋体" w:cs="宋体"/>
          <w:sz w:val="32"/>
          <w:szCs w:val="32"/>
        </w:rPr>
      </w:pPr>
    </w:p>
    <w:p>
      <w:pPr>
        <w:pStyle w:val="8"/>
        <w:ind w:firstLine="803" w:firstLineChars="2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pPr>
        <w:pStyle w:val="8"/>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年度财政拨款支出1782.82万元，主要用于以下方面：一般公共服务（类）支出1228.56万元，占68.91</w:t>
      </w:r>
      <w:r>
        <w:rPr>
          <w:rFonts w:ascii="宋体" w:hAnsi="宋体" w:eastAsia="宋体" w:cs="宋体"/>
          <w:sz w:val="32"/>
          <w:szCs w:val="32"/>
        </w:rPr>
        <w:t>%</w:t>
      </w:r>
      <w:r>
        <w:rPr>
          <w:rFonts w:hint="eastAsia" w:ascii="宋体" w:hAnsi="宋体" w:eastAsia="宋体" w:cs="宋体"/>
          <w:sz w:val="32"/>
          <w:szCs w:val="32"/>
        </w:rPr>
        <w:t>；公共安全（类）支出162.84万元，占9.13</w:t>
      </w:r>
      <w:r>
        <w:rPr>
          <w:rFonts w:ascii="宋体" w:hAnsi="宋体" w:eastAsia="宋体" w:cs="宋体"/>
          <w:sz w:val="32"/>
          <w:szCs w:val="32"/>
        </w:rPr>
        <w:t>%;</w:t>
      </w:r>
      <w:r>
        <w:rPr>
          <w:rFonts w:hint="eastAsia" w:ascii="宋体" w:hAnsi="宋体" w:eastAsia="宋体" w:cs="宋体"/>
          <w:sz w:val="32"/>
          <w:szCs w:val="32"/>
        </w:rPr>
        <w:t>社会保障和就业（类）支出95.06万元，占5.33</w:t>
      </w:r>
      <w:r>
        <w:rPr>
          <w:rFonts w:ascii="宋体" w:hAnsi="宋体" w:eastAsia="宋体" w:cs="宋体"/>
          <w:sz w:val="32"/>
          <w:szCs w:val="32"/>
        </w:rPr>
        <w:t>%</w:t>
      </w:r>
      <w:r>
        <w:rPr>
          <w:rFonts w:hint="eastAsia" w:ascii="宋体" w:hAnsi="宋体" w:eastAsia="宋体" w:cs="宋体"/>
          <w:sz w:val="32"/>
          <w:szCs w:val="32"/>
        </w:rPr>
        <w:t>；卫生健康（类）支出74.05万元，占4.15</w:t>
      </w:r>
      <w:r>
        <w:rPr>
          <w:rFonts w:ascii="宋体" w:hAnsi="宋体" w:eastAsia="宋体" w:cs="宋体"/>
          <w:sz w:val="32"/>
          <w:szCs w:val="32"/>
        </w:rPr>
        <w:t>%</w:t>
      </w:r>
      <w:r>
        <w:rPr>
          <w:rFonts w:hint="eastAsia" w:ascii="宋体" w:hAnsi="宋体" w:eastAsia="宋体" w:cs="宋体"/>
          <w:sz w:val="32"/>
          <w:szCs w:val="32"/>
        </w:rPr>
        <w:t>；城乡社区（类）支出82.47万元，占4.64</w:t>
      </w:r>
      <w:r>
        <w:rPr>
          <w:rFonts w:ascii="宋体" w:hAnsi="宋体" w:eastAsia="宋体" w:cs="宋体"/>
          <w:sz w:val="32"/>
          <w:szCs w:val="32"/>
        </w:rPr>
        <w:t>%</w:t>
      </w:r>
      <w:r>
        <w:rPr>
          <w:rFonts w:hint="eastAsia" w:ascii="宋体" w:hAnsi="宋体" w:eastAsia="宋体" w:cs="宋体"/>
          <w:sz w:val="32"/>
          <w:szCs w:val="32"/>
        </w:rPr>
        <w:t>；农林水（类）支出139.84万元，占7.84</w:t>
      </w:r>
      <w:r>
        <w:rPr>
          <w:rFonts w:ascii="宋体" w:hAnsi="宋体" w:eastAsia="宋体" w:cs="宋体"/>
          <w:sz w:val="32"/>
          <w:szCs w:val="32"/>
        </w:rPr>
        <w:t>%</w:t>
      </w:r>
      <w:r>
        <w:rPr>
          <w:rFonts w:hint="eastAsia" w:ascii="宋体" w:hAnsi="宋体" w:eastAsia="宋体" w:cs="宋体"/>
          <w:sz w:val="32"/>
          <w:szCs w:val="32"/>
        </w:rPr>
        <w:t>。</w:t>
      </w:r>
    </w:p>
    <w:p>
      <w:pPr>
        <w:pStyle w:val="8"/>
        <w:ind w:firstLine="803" w:firstLineChars="250"/>
        <w:rPr>
          <w:rFonts w:ascii="宋体" w:hAnsi="宋体" w:eastAsia="宋体" w:cs="Times New Roman"/>
          <w:b/>
          <w:bCs/>
          <w:sz w:val="32"/>
          <w:szCs w:val="32"/>
        </w:rPr>
      </w:pPr>
      <w:r>
        <w:rPr>
          <w:rFonts w:hint="eastAsia" w:ascii="宋体" w:hAnsi="宋体" w:eastAsia="宋体" w:cs="宋体"/>
          <w:b/>
          <w:bCs/>
          <w:sz w:val="32"/>
          <w:szCs w:val="32"/>
        </w:rPr>
        <w:t>（三）财政拨款支出决算具体情况</w:t>
      </w:r>
    </w:p>
    <w:p>
      <w:pPr>
        <w:pStyle w:val="8"/>
        <w:ind w:firstLine="800" w:firstLineChars="25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年度财政拨款支出年初预算数为1782.82万元，支出决算数为1782.82万元，完成年初预算的100</w:t>
      </w:r>
      <w:r>
        <w:rPr>
          <w:rFonts w:ascii="宋体" w:hAnsi="宋体" w:eastAsia="宋体" w:cs="宋体"/>
          <w:sz w:val="32"/>
          <w:szCs w:val="32"/>
        </w:rPr>
        <w:t>%</w:t>
      </w:r>
      <w:r>
        <w:rPr>
          <w:rFonts w:hint="eastAsia" w:ascii="宋体" w:hAnsi="宋体" w:eastAsia="宋体" w:cs="宋体"/>
          <w:sz w:val="32"/>
          <w:szCs w:val="32"/>
        </w:rPr>
        <w:t>，其中：</w:t>
      </w:r>
    </w:p>
    <w:p>
      <w:pPr>
        <w:pStyle w:val="8"/>
        <w:ind w:firstLine="800" w:firstLineChars="25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、一般公共服务支出。</w:t>
      </w:r>
    </w:p>
    <w:p>
      <w:pPr>
        <w:pStyle w:val="8"/>
        <w:ind w:firstLine="800" w:firstLineChars="250"/>
        <w:rPr>
          <w:rFonts w:ascii="宋体" w:hAnsi="宋体" w:eastAsia="宋体" w:cs="Times New Roman"/>
          <w:sz w:val="32"/>
          <w:szCs w:val="32"/>
        </w:rPr>
      </w:pPr>
      <w:r>
        <w:rPr>
          <w:rFonts w:hint="eastAsia" w:ascii="宋体" w:hAnsi="宋体" w:eastAsia="宋体" w:cs="宋体"/>
          <w:sz w:val="32"/>
          <w:szCs w:val="32"/>
        </w:rPr>
        <w:t>年初预算为1228.56万元，支出决算为1228.56万元，完成年初预算的100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Times New Roman"/>
          <w:sz w:val="32"/>
          <w:szCs w:val="32"/>
        </w:rPr>
      </w:pPr>
      <w:r>
        <w:rPr>
          <w:rFonts w:ascii="宋体" w:hAnsi="宋体" w:eastAsia="宋体" w:cs="宋体"/>
          <w:sz w:val="32"/>
          <w:szCs w:val="32"/>
        </w:rPr>
        <w:t>2</w:t>
      </w:r>
      <w:r>
        <w:rPr>
          <w:rFonts w:hint="eastAsia" w:ascii="宋体" w:hAnsi="宋体" w:eastAsia="宋体" w:cs="宋体"/>
          <w:sz w:val="32"/>
          <w:szCs w:val="32"/>
        </w:rPr>
        <w:t>、公共安全支出。</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年初预算为162.84万元，支出决算为162.84万元，完成年初预算的100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Times New Roman"/>
          <w:sz w:val="32"/>
          <w:szCs w:val="32"/>
        </w:rPr>
      </w:pPr>
      <w:r>
        <w:rPr>
          <w:rFonts w:hint="eastAsia" w:ascii="宋体" w:hAnsi="宋体" w:eastAsia="宋体" w:cs="宋体"/>
          <w:sz w:val="32"/>
          <w:szCs w:val="32"/>
        </w:rPr>
        <w:t>3、社会保障和就业支出。</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年初预算为95.06万元，支出决算为95.06万元，完成年初预算的100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4、卫生健康支出。</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年初预算为74.05万元，支出决算为74.05万元，完成年初预算的100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5、城乡社区支出。</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年初预算为82.47万元，支出决算为82.47万元，完成年初预算的100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6、农林水支出。</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年初预算为139.84万元，支出决算为139.84万元，完成年初预算的100</w:t>
      </w:r>
      <w:r>
        <w:rPr>
          <w:rFonts w:ascii="宋体" w:hAnsi="宋体" w:eastAsia="宋体" w:cs="宋体"/>
          <w:sz w:val="32"/>
          <w:szCs w:val="32"/>
        </w:rPr>
        <w:t>%</w:t>
      </w:r>
      <w:r>
        <w:rPr>
          <w:rFonts w:hint="eastAsia" w:ascii="宋体" w:hAnsi="宋体" w:eastAsia="宋体" w:cs="宋体"/>
          <w:sz w:val="32"/>
          <w:szCs w:val="32"/>
        </w:rPr>
        <w:t>。</w:t>
      </w:r>
    </w:p>
    <w:p>
      <w:pPr>
        <w:pStyle w:val="8"/>
        <w:rPr>
          <w:rFonts w:hAnsi="黑体" w:cs="Times New Roman"/>
          <w:b/>
          <w:bCs/>
          <w:sz w:val="32"/>
          <w:szCs w:val="32"/>
        </w:rPr>
      </w:pPr>
      <w:r>
        <w:rPr>
          <w:rFonts w:hint="eastAsia" w:hAnsi="黑体"/>
          <w:b/>
          <w:bCs/>
          <w:sz w:val="32"/>
          <w:szCs w:val="32"/>
        </w:rPr>
        <w:t>六、一般公共预算财政拨款基本支出决算情况说明</w:t>
      </w:r>
    </w:p>
    <w:p>
      <w:pPr>
        <w:pStyle w:val="8"/>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年度财政拨款基本支出1782.82万元，其中：人员经费1238.19万元，占基本支出的69.45</w:t>
      </w:r>
      <w:r>
        <w:rPr>
          <w:rFonts w:ascii="宋体" w:hAnsi="宋体" w:eastAsia="宋体" w:cs="宋体"/>
          <w:sz w:val="32"/>
          <w:szCs w:val="32"/>
        </w:rPr>
        <w:t>%,</w:t>
      </w:r>
      <w:r>
        <w:rPr>
          <w:rFonts w:hint="eastAsia" w:ascii="宋体" w:hAnsi="宋体" w:eastAsia="宋体" w:cs="宋体"/>
          <w:sz w:val="32"/>
          <w:szCs w:val="32"/>
        </w:rPr>
        <w:t>主要包括基本工资、津贴补贴、奖金、伙食补助费、绩效工资、机关事业单位基本养老保险缴费、职业年金缴费、职工基本医疗保险缴费、住房公积金、生活补助、救济费、奖励金、其他对个人和家庭的补助等；公用经费544.63万元，占基本支出的30.55</w:t>
      </w:r>
      <w:r>
        <w:rPr>
          <w:rFonts w:ascii="宋体" w:hAnsi="宋体" w:eastAsia="宋体" w:cs="宋体"/>
          <w:sz w:val="32"/>
          <w:szCs w:val="32"/>
        </w:rPr>
        <w:t>%</w:t>
      </w:r>
      <w:r>
        <w:rPr>
          <w:rFonts w:hint="eastAsia" w:ascii="宋体" w:hAnsi="宋体" w:eastAsia="宋体" w:cs="宋体"/>
          <w:sz w:val="32"/>
          <w:szCs w:val="32"/>
        </w:rPr>
        <w:t>，主要包括办公费、印刷费、咨询费、电费、邮电费、差旅费、维修（护）费、租赁费、会议费、培训费、公务接待费、专用材料费、福利费、其他交通费用、其他商品和服务支出等。</w:t>
      </w:r>
    </w:p>
    <w:p>
      <w:pPr>
        <w:pStyle w:val="8"/>
        <w:rPr>
          <w:rFonts w:hAnsi="黑体" w:cs="Times New Roman"/>
          <w:b/>
          <w:bCs/>
          <w:sz w:val="32"/>
          <w:szCs w:val="32"/>
        </w:rPr>
      </w:pPr>
      <w:r>
        <w:rPr>
          <w:rFonts w:hint="eastAsia" w:hAnsi="黑体"/>
          <w:b/>
          <w:bCs/>
          <w:sz w:val="32"/>
          <w:szCs w:val="32"/>
        </w:rPr>
        <w:t>七、一般公共预算财政拨款三公经费支出决算情况说明</w:t>
      </w:r>
    </w:p>
    <w:p>
      <w:pPr>
        <w:pStyle w:val="8"/>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pPr>
        <w:pStyle w:val="8"/>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“三公”经费财政拨款支出预算为18.90万元，支出决算为5.36万元，完成预算的28.36</w:t>
      </w:r>
      <w:r>
        <w:rPr>
          <w:rFonts w:ascii="宋体" w:hAnsi="宋体" w:eastAsia="宋体" w:cs="宋体"/>
          <w:sz w:val="32"/>
          <w:szCs w:val="32"/>
        </w:rPr>
        <w:t>%</w:t>
      </w:r>
      <w:r>
        <w:rPr>
          <w:rFonts w:hint="eastAsia" w:ascii="宋体" w:hAnsi="宋体" w:eastAsia="宋体" w:cs="宋体"/>
          <w:sz w:val="32"/>
          <w:szCs w:val="32"/>
        </w:rPr>
        <w:t>，其中：</w:t>
      </w:r>
    </w:p>
    <w:p>
      <w:pPr>
        <w:pStyle w:val="8"/>
        <w:ind w:firstLine="800" w:firstLineChars="250"/>
        <w:rPr>
          <w:rFonts w:ascii="宋体" w:hAnsi="宋体" w:eastAsia="宋体" w:cs="Times New Roman"/>
          <w:sz w:val="32"/>
          <w:szCs w:val="32"/>
        </w:rPr>
      </w:pPr>
      <w:r>
        <w:rPr>
          <w:rFonts w:hint="eastAsia" w:ascii="宋体" w:hAnsi="宋体" w:eastAsia="宋体" w:cs="宋体"/>
          <w:sz w:val="32"/>
          <w:szCs w:val="32"/>
        </w:rPr>
        <w:t>因公出国（境）费支出预算为0万元，支出决算为0万元，完成预算的0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pPr>
        <w:pStyle w:val="8"/>
        <w:ind w:firstLine="800" w:firstLineChars="250"/>
        <w:rPr>
          <w:rFonts w:ascii="宋体" w:hAnsi="宋体" w:eastAsia="宋体" w:cs="宋体"/>
          <w:sz w:val="32"/>
          <w:szCs w:val="32"/>
        </w:rPr>
      </w:pPr>
      <w:r>
        <w:rPr>
          <w:rFonts w:hint="eastAsia" w:ascii="宋体" w:hAnsi="宋体" w:eastAsia="宋体" w:cs="宋体"/>
          <w:sz w:val="32"/>
          <w:szCs w:val="32"/>
        </w:rPr>
        <w:t>公务接待费支出预算为18.90万元，支出决算为5.36万元，完成预算的28.36</w:t>
      </w:r>
      <w:r>
        <w:rPr>
          <w:rFonts w:ascii="宋体" w:hAnsi="宋体" w:eastAsia="宋体" w:cs="宋体"/>
          <w:sz w:val="32"/>
          <w:szCs w:val="32"/>
        </w:rPr>
        <w:t>%</w:t>
      </w:r>
      <w:r>
        <w:rPr>
          <w:rFonts w:hint="eastAsia" w:ascii="宋体" w:hAnsi="宋体" w:eastAsia="宋体" w:cs="宋体"/>
          <w:sz w:val="32"/>
          <w:szCs w:val="32"/>
        </w:rPr>
        <w:t>，决算数小于预算数的主要原因是严格执行上级公务接待的相关要求，控制效果明显，与上年相比减少2.22万元，减少29.29</w:t>
      </w:r>
      <w:r>
        <w:rPr>
          <w:rFonts w:ascii="宋体" w:hAnsi="宋体" w:eastAsia="宋体" w:cs="宋体"/>
          <w:sz w:val="32"/>
          <w:szCs w:val="32"/>
        </w:rPr>
        <w:t>%,</w:t>
      </w:r>
      <w:r>
        <w:rPr>
          <w:rFonts w:hint="eastAsia" w:ascii="宋体" w:hAnsi="宋体" w:eastAsia="宋体" w:cs="宋体"/>
          <w:sz w:val="32"/>
          <w:szCs w:val="32"/>
        </w:rPr>
        <w:t>减少的主要原因是进一步落实上级要求，严格压缩“三公”消费支出，并严格审批“三公”消费支出的申报，确定执行有效果。</w:t>
      </w:r>
    </w:p>
    <w:p>
      <w:pPr>
        <w:pStyle w:val="8"/>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公务用车购置费及运行维护费支出预算为0万元，支出决算为0万元，完成预算的0</w:t>
      </w:r>
      <w:r>
        <w:rPr>
          <w:rFonts w:ascii="宋体" w:hAnsi="宋体" w:eastAsia="宋体" w:cs="宋体"/>
          <w:sz w:val="32"/>
          <w:szCs w:val="32"/>
        </w:rPr>
        <w:t>%</w:t>
      </w:r>
      <w:r>
        <w:rPr>
          <w:rFonts w:hint="eastAsia" w:ascii="宋体" w:hAnsi="宋体" w:eastAsia="宋体" w:cs="宋体"/>
          <w:sz w:val="32"/>
          <w:szCs w:val="32"/>
        </w:rPr>
        <w:t>。</w:t>
      </w:r>
    </w:p>
    <w:p>
      <w:pPr>
        <w:pStyle w:val="8"/>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pPr>
        <w:pStyle w:val="8"/>
        <w:ind w:firstLine="640" w:firstLineChars="200"/>
        <w:rPr>
          <w:rFonts w:ascii="宋体" w:hAnsi="宋体" w:eastAsia="宋体" w:cs="Times New Roman"/>
          <w:sz w:val="32"/>
          <w:szCs w:val="32"/>
        </w:rPr>
      </w:pPr>
      <w:r>
        <w:rPr>
          <w:rFonts w:ascii="宋体" w:hAnsi="宋体" w:eastAsia="宋体" w:cs="宋体"/>
          <w:sz w:val="32"/>
          <w:szCs w:val="32"/>
        </w:rPr>
        <w:t>2020</w:t>
      </w:r>
      <w:r>
        <w:rPr>
          <w:rFonts w:hint="eastAsia" w:ascii="宋体" w:hAnsi="宋体" w:eastAsia="宋体" w:cs="宋体"/>
          <w:sz w:val="32"/>
          <w:szCs w:val="32"/>
        </w:rPr>
        <w:t>年度“三公”经费财政拨款支出决算中，公务接待费支出决算5.36万元，占100</w:t>
      </w:r>
      <w:r>
        <w:rPr>
          <w:rFonts w:ascii="宋体" w:hAnsi="宋体" w:eastAsia="宋体" w:cs="宋体"/>
          <w:sz w:val="32"/>
          <w:szCs w:val="32"/>
        </w:rPr>
        <w:t>%,</w:t>
      </w:r>
      <w:r>
        <w:rPr>
          <w:rFonts w:hint="eastAsia" w:ascii="宋体" w:hAnsi="宋体" w:eastAsia="宋体" w:cs="宋体"/>
          <w:sz w:val="32"/>
          <w:szCs w:val="32"/>
        </w:rPr>
        <w:t>因公出国（境）费支出决算0万元，占0</w:t>
      </w:r>
      <w:r>
        <w:rPr>
          <w:rFonts w:ascii="宋体" w:hAnsi="宋体" w:eastAsia="宋体" w:cs="宋体"/>
          <w:sz w:val="32"/>
          <w:szCs w:val="32"/>
        </w:rPr>
        <w:t>%,</w:t>
      </w:r>
      <w:r>
        <w:rPr>
          <w:rFonts w:hint="eastAsia" w:ascii="宋体" w:hAnsi="宋体" w:eastAsia="宋体" w:cs="宋体"/>
          <w:sz w:val="32"/>
          <w:szCs w:val="32"/>
        </w:rPr>
        <w:t>公务用车购置费及运行维护费支出决算0万元，占0</w:t>
      </w:r>
      <w:r>
        <w:rPr>
          <w:rFonts w:ascii="宋体" w:hAnsi="宋体" w:eastAsia="宋体" w:cs="宋体"/>
          <w:sz w:val="32"/>
          <w:szCs w:val="32"/>
        </w:rPr>
        <w:t>%</w:t>
      </w:r>
      <w:r>
        <w:rPr>
          <w:rFonts w:hint="eastAsia" w:ascii="宋体" w:hAnsi="宋体" w:eastAsia="宋体" w:cs="宋体"/>
          <w:sz w:val="32"/>
          <w:szCs w:val="32"/>
        </w:rPr>
        <w:t>。其中：</w:t>
      </w:r>
    </w:p>
    <w:p>
      <w:pPr>
        <w:pStyle w:val="8"/>
        <w:ind w:firstLine="640" w:firstLineChars="200"/>
        <w:rPr>
          <w:rFonts w:ascii="宋体" w:hAnsi="宋体" w:eastAsia="宋体" w:cs="Times New Roman"/>
          <w:sz w:val="32"/>
          <w:szCs w:val="32"/>
        </w:rPr>
      </w:pPr>
      <w:r>
        <w:rPr>
          <w:rFonts w:ascii="宋体" w:hAnsi="宋体" w:eastAsia="宋体" w:cs="宋体"/>
          <w:sz w:val="32"/>
          <w:szCs w:val="32"/>
        </w:rPr>
        <w:t>1</w:t>
      </w:r>
      <w:r>
        <w:rPr>
          <w:rFonts w:hint="eastAsia" w:ascii="宋体" w:hAnsi="宋体" w:eastAsia="宋体" w:cs="宋体"/>
          <w:sz w:val="32"/>
          <w:szCs w:val="32"/>
        </w:rPr>
        <w:t>、因公出国（境）费支出决算为0万元，全年安排因公出国（境）团组0个，累计0人次。</w:t>
      </w:r>
    </w:p>
    <w:p>
      <w:pPr>
        <w:pStyle w:val="8"/>
        <w:ind w:firstLine="800" w:firstLineChars="250"/>
        <w:rPr>
          <w:rFonts w:ascii="宋体" w:hAnsi="宋体" w:eastAsia="宋体" w:cs="Times New Roman"/>
          <w:color w:val="auto"/>
          <w:sz w:val="32"/>
          <w:szCs w:val="32"/>
        </w:rPr>
      </w:pPr>
      <w:r>
        <w:rPr>
          <w:rFonts w:ascii="宋体" w:hAnsi="宋体" w:eastAsia="宋体" w:cs="宋体"/>
          <w:color w:val="auto"/>
          <w:sz w:val="32"/>
          <w:szCs w:val="32"/>
        </w:rPr>
        <w:t>2</w:t>
      </w:r>
      <w:r>
        <w:rPr>
          <w:rFonts w:hint="eastAsia" w:ascii="宋体" w:hAnsi="宋体" w:eastAsia="宋体" w:cs="宋体"/>
          <w:color w:val="auto"/>
          <w:sz w:val="32"/>
          <w:szCs w:val="32"/>
        </w:rPr>
        <w:t>、公务接待费支出决算为5.36万元，</w:t>
      </w:r>
      <w:r>
        <w:rPr>
          <w:rFonts w:hint="eastAsia" w:ascii="宋体" w:hAnsi="宋体" w:eastAsia="宋体" w:cs="宋体"/>
          <w:color w:val="auto"/>
          <w:sz w:val="32"/>
          <w:szCs w:val="32"/>
          <w:lang w:eastAsia="zh-CN"/>
        </w:rPr>
        <w:t>全年共接待来访团组</w:t>
      </w:r>
      <w:r>
        <w:rPr>
          <w:rFonts w:hint="eastAsia" w:ascii="宋体" w:hAnsi="宋体" w:eastAsia="宋体" w:cs="宋体"/>
          <w:color w:val="auto"/>
          <w:sz w:val="32"/>
          <w:szCs w:val="32"/>
          <w:lang w:val="en-US" w:eastAsia="zh-CN"/>
        </w:rPr>
        <w:t>132人，来宾278人次，</w:t>
      </w:r>
      <w:r>
        <w:rPr>
          <w:rFonts w:hint="eastAsia" w:ascii="宋体" w:hAnsi="宋体" w:eastAsia="宋体" w:cs="宋体"/>
          <w:color w:val="auto"/>
          <w:sz w:val="32"/>
          <w:szCs w:val="32"/>
        </w:rPr>
        <w:t>主要是政府公务发生的接待支出。</w:t>
      </w:r>
    </w:p>
    <w:p>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、公务用车购置费及运行维护费支出决算为0万元，其中：公务用车购置费0万元。截止</w:t>
      </w:r>
      <w:r>
        <w:rPr>
          <w:rFonts w:ascii="宋体" w:hAnsi="宋体" w:cs="宋体"/>
          <w:sz w:val="32"/>
          <w:szCs w:val="32"/>
        </w:rPr>
        <w:t>2020</w:t>
      </w:r>
      <w:r>
        <w:rPr>
          <w:rFonts w:hint="eastAsia" w:ascii="宋体" w:hAnsi="宋体" w:cs="宋体"/>
          <w:sz w:val="32"/>
          <w:szCs w:val="32"/>
        </w:rPr>
        <w:t>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日，我单位开支财政拨款的公务用车保有量为0辆。</w:t>
      </w:r>
    </w:p>
    <w:p>
      <w:pPr>
        <w:pStyle w:val="8"/>
        <w:rPr>
          <w:rFonts w:hAnsi="黑体" w:cs="Times New Roman"/>
          <w:b/>
          <w:bCs/>
          <w:sz w:val="32"/>
          <w:szCs w:val="32"/>
        </w:rPr>
      </w:pPr>
      <w:r>
        <w:rPr>
          <w:rFonts w:hint="eastAsia" w:hAnsi="黑体"/>
          <w:b/>
          <w:bCs/>
          <w:sz w:val="32"/>
          <w:szCs w:val="32"/>
        </w:rPr>
        <w:t>八、政府性基金预算收入支出决算情况</w:t>
      </w:r>
    </w:p>
    <w:p>
      <w:pPr>
        <w:pStyle w:val="8"/>
        <w:rPr>
          <w:rFonts w:ascii="宋体" w:hAnsi="宋体" w:eastAsia="宋体" w:cs="Times New Roman"/>
          <w:i/>
          <w:iCs/>
          <w:color w:val="FF0000"/>
          <w:sz w:val="32"/>
          <w:szCs w:val="32"/>
        </w:rPr>
      </w:pPr>
      <w:r>
        <w:rPr>
          <w:rFonts w:ascii="宋体" w:hAnsi="宋体" w:eastAsia="宋体" w:cs="宋体"/>
          <w:sz w:val="32"/>
          <w:szCs w:val="32"/>
        </w:rPr>
        <w:t xml:space="preserve">     </w:t>
      </w:r>
      <w:r>
        <w:rPr>
          <w:rFonts w:hint="eastAsia" w:ascii="宋体" w:hAnsi="宋体" w:eastAsia="宋体" w:cs="宋体"/>
          <w:sz w:val="32"/>
          <w:szCs w:val="32"/>
        </w:rPr>
        <w:t>本单位无政府性基金收支。</w:t>
      </w:r>
    </w:p>
    <w:p>
      <w:pPr>
        <w:pStyle w:val="8"/>
        <w:rPr>
          <w:rFonts w:hAnsi="黑体" w:cs="Times New Roman"/>
          <w:b/>
          <w:bCs/>
          <w:sz w:val="32"/>
          <w:szCs w:val="32"/>
        </w:rPr>
      </w:pPr>
      <w:r>
        <w:rPr>
          <w:rFonts w:hint="eastAsia" w:hAnsi="黑体"/>
          <w:b/>
          <w:bCs/>
          <w:sz w:val="32"/>
          <w:szCs w:val="32"/>
        </w:rPr>
        <w:t>九、关于机关运行经费支出说明</w:t>
      </w:r>
    </w:p>
    <w:p>
      <w:pPr>
        <w:pStyle w:val="8"/>
        <w:ind w:firstLine="640" w:firstLineChars="200"/>
        <w:rPr>
          <w:rFonts w:ascii="宋体" w:hAnsi="宋体" w:eastAsia="宋体" w:cs="宋体"/>
          <w:sz w:val="32"/>
          <w:szCs w:val="32"/>
        </w:rPr>
      </w:pPr>
      <w:r>
        <w:rPr>
          <w:rFonts w:hint="eastAsia" w:ascii="宋体" w:hAnsi="宋体" w:eastAsia="宋体" w:cs="宋体"/>
          <w:sz w:val="32"/>
          <w:szCs w:val="32"/>
        </w:rPr>
        <w:t>本部门</w:t>
      </w:r>
      <w:r>
        <w:rPr>
          <w:rFonts w:ascii="宋体" w:hAnsi="宋体" w:eastAsia="宋体" w:cs="宋体"/>
          <w:sz w:val="32"/>
          <w:szCs w:val="32"/>
        </w:rPr>
        <w:t>2020</w:t>
      </w:r>
      <w:r>
        <w:rPr>
          <w:rFonts w:hint="eastAsia" w:ascii="宋体" w:hAnsi="宋体" w:eastAsia="宋体" w:cs="宋体"/>
          <w:sz w:val="32"/>
          <w:szCs w:val="32"/>
        </w:rPr>
        <w:t>年度机关运行经费支出544.63万元，比上年决算数减少82.75</w:t>
      </w:r>
      <w:r>
        <w:rPr>
          <w:rFonts w:ascii="宋体" w:hAnsi="宋体" w:eastAsia="宋体" w:cs="宋体"/>
          <w:sz w:val="32"/>
          <w:szCs w:val="32"/>
        </w:rPr>
        <w:t xml:space="preserve"> </w:t>
      </w:r>
      <w:r>
        <w:rPr>
          <w:rFonts w:hint="eastAsia" w:ascii="宋体" w:hAnsi="宋体" w:eastAsia="宋体" w:cs="宋体"/>
          <w:sz w:val="32"/>
          <w:szCs w:val="32"/>
        </w:rPr>
        <w:t>万元，降低13.19</w:t>
      </w:r>
      <w:r>
        <w:rPr>
          <w:rFonts w:ascii="宋体" w:hAnsi="宋体" w:eastAsia="宋体" w:cs="宋体"/>
          <w:sz w:val="32"/>
          <w:szCs w:val="32"/>
        </w:rPr>
        <w:t>%</w:t>
      </w:r>
      <w:r>
        <w:rPr>
          <w:rFonts w:hint="eastAsia" w:ascii="宋体" w:hAnsi="宋体" w:eastAsia="宋体" w:cs="宋体"/>
          <w:sz w:val="32"/>
          <w:szCs w:val="32"/>
        </w:rPr>
        <w:t>。主要原因是：严格控制各项非必要性开支。</w:t>
      </w:r>
    </w:p>
    <w:p>
      <w:pPr>
        <w:pStyle w:val="8"/>
        <w:rPr>
          <w:rFonts w:hAnsi="黑体" w:cs="Times New Roman"/>
          <w:b/>
          <w:bCs/>
          <w:sz w:val="32"/>
          <w:szCs w:val="32"/>
        </w:rPr>
      </w:pPr>
      <w:r>
        <w:rPr>
          <w:rFonts w:hint="eastAsia" w:hAnsi="黑体"/>
          <w:b/>
          <w:bCs/>
          <w:sz w:val="32"/>
          <w:szCs w:val="32"/>
        </w:rPr>
        <w:t>十、一般性支出情况</w:t>
      </w:r>
    </w:p>
    <w:p>
      <w:pPr>
        <w:pStyle w:val="8"/>
        <w:ind w:firstLine="640" w:firstLineChars="200"/>
        <w:rPr>
          <w:rFonts w:ascii="宋体" w:hAnsi="宋体" w:eastAsia="宋体" w:cs="宋体"/>
          <w:color w:val="FF0000"/>
          <w:sz w:val="32"/>
          <w:szCs w:val="32"/>
        </w:rPr>
      </w:pPr>
      <w:r>
        <w:rPr>
          <w:rFonts w:ascii="宋体" w:hAnsi="宋体" w:eastAsia="宋体" w:cs="宋体"/>
          <w:sz w:val="32"/>
          <w:szCs w:val="32"/>
        </w:rPr>
        <w:t>2020</w:t>
      </w:r>
      <w:r>
        <w:rPr>
          <w:rFonts w:hint="eastAsia" w:ascii="宋体" w:hAnsi="宋体" w:eastAsia="宋体" w:cs="宋体"/>
          <w:sz w:val="32"/>
          <w:szCs w:val="32"/>
        </w:rPr>
        <w:t>年本部门开支会议费13.90万元，用于召开村干部会议，人大会等。开支培训费</w:t>
      </w:r>
      <w:r>
        <w:rPr>
          <w:rFonts w:hint="eastAsia" w:ascii="宋体" w:hAnsi="宋体" w:eastAsia="宋体" w:cs="宋体"/>
          <w:sz w:val="32"/>
          <w:szCs w:val="32"/>
          <w:lang w:val="en-US" w:eastAsia="zh-CN"/>
        </w:rPr>
        <w:t>0.79</w:t>
      </w:r>
      <w:r>
        <w:rPr>
          <w:rFonts w:hint="eastAsia" w:ascii="宋体" w:hAnsi="宋体" w:eastAsia="宋体" w:cs="宋体"/>
          <w:sz w:val="32"/>
          <w:szCs w:val="32"/>
        </w:rPr>
        <w:t>万元，用于开展单位各类业务培训；</w:t>
      </w:r>
    </w:p>
    <w:p>
      <w:pPr>
        <w:pStyle w:val="8"/>
        <w:rPr>
          <w:rFonts w:hAnsi="黑体" w:cs="Times New Roman"/>
          <w:b/>
          <w:bCs/>
          <w:sz w:val="32"/>
          <w:szCs w:val="32"/>
        </w:rPr>
      </w:pPr>
      <w:r>
        <w:rPr>
          <w:rFonts w:hint="eastAsia" w:hAnsi="黑体"/>
          <w:b/>
          <w:bCs/>
          <w:sz w:val="32"/>
          <w:szCs w:val="32"/>
        </w:rPr>
        <w:t>十一、关于政府采购支出说明</w:t>
      </w:r>
    </w:p>
    <w:p>
      <w:pPr>
        <w:spacing w:line="600" w:lineRule="exact"/>
        <w:ind w:firstLine="640" w:firstLineChars="200"/>
        <w:rPr>
          <w:rFonts w:ascii="宋体" w:hAnsi="宋体" w:eastAsia="宋体" w:cs="Times New Roman"/>
          <w:color w:val="FF0000"/>
          <w:sz w:val="32"/>
          <w:szCs w:val="32"/>
        </w:rPr>
      </w:pPr>
      <w:r>
        <w:rPr>
          <w:rFonts w:hint="eastAsia" w:ascii="宋体" w:hAnsi="宋体" w:eastAsia="宋体" w:cs="宋体"/>
          <w:color w:val="000000"/>
          <w:kern w:val="0"/>
          <w:sz w:val="32"/>
          <w:szCs w:val="32"/>
          <w:lang w:val="en-US" w:eastAsia="zh-CN" w:bidi="ar-SA"/>
        </w:rPr>
        <w:t>本部门2020年度政府采购支出总额50万元，其中：政府采购货物支出36万元、政府采购服务支出14万元。授予中小企业合同金额10万元，占政府采购支出总额的20%，其中：授予小微企业合同金额40万元，占政府采购支出总额的80%。（政府采购金额的计算口径为：本部门纳入2020年 度部门预算范围的各项政府采购支出金额之和，不包括涉密采购项目的支出金额）</w:t>
      </w:r>
    </w:p>
    <w:p>
      <w:pPr>
        <w:pStyle w:val="8"/>
        <w:rPr>
          <w:rFonts w:hAnsi="黑体" w:cs="Times New Roman"/>
          <w:b/>
          <w:bCs/>
          <w:sz w:val="32"/>
          <w:szCs w:val="32"/>
        </w:rPr>
      </w:pPr>
      <w:r>
        <w:rPr>
          <w:rFonts w:hint="eastAsia" w:hAnsi="黑体"/>
          <w:b/>
          <w:bCs/>
          <w:sz w:val="32"/>
          <w:szCs w:val="32"/>
        </w:rPr>
        <w:t>十二、关于国有资产占用情况说明</w:t>
      </w:r>
    </w:p>
    <w:p>
      <w:pPr>
        <w:pStyle w:val="8"/>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2020</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日，本单位共有车辆1辆，其中，执法执勤用车1辆。单位价值</w:t>
      </w:r>
      <w:r>
        <w:rPr>
          <w:rFonts w:ascii="宋体" w:hAnsi="宋体" w:eastAsia="宋体" w:cs="宋体"/>
          <w:sz w:val="32"/>
          <w:szCs w:val="32"/>
        </w:rPr>
        <w:t>50</w:t>
      </w:r>
      <w:r>
        <w:rPr>
          <w:rFonts w:hint="eastAsia" w:ascii="宋体" w:hAnsi="宋体" w:eastAsia="宋体" w:cs="宋体"/>
          <w:sz w:val="32"/>
          <w:szCs w:val="32"/>
        </w:rPr>
        <w:t>万元以上通用设备0台（套）；单位价值</w:t>
      </w:r>
      <w:r>
        <w:rPr>
          <w:rFonts w:ascii="宋体" w:hAnsi="宋体" w:eastAsia="宋体" w:cs="宋体"/>
          <w:sz w:val="32"/>
          <w:szCs w:val="32"/>
        </w:rPr>
        <w:t>100</w:t>
      </w:r>
      <w:r>
        <w:rPr>
          <w:rFonts w:hint="eastAsia" w:ascii="宋体" w:hAnsi="宋体" w:eastAsia="宋体" w:cs="宋体"/>
          <w:sz w:val="32"/>
          <w:szCs w:val="32"/>
        </w:rPr>
        <w:t>万元以上专用设备0台（套）。</w:t>
      </w:r>
    </w:p>
    <w:p>
      <w:pPr>
        <w:pStyle w:val="8"/>
        <w:rPr>
          <w:rFonts w:hAnsi="黑体" w:cs="Times New Roman"/>
          <w:b/>
          <w:bCs/>
          <w:sz w:val="32"/>
          <w:szCs w:val="32"/>
        </w:rPr>
      </w:pPr>
      <w:r>
        <w:rPr>
          <w:rFonts w:hint="eastAsia" w:hAnsi="黑体"/>
          <w:b/>
          <w:bCs/>
          <w:sz w:val="32"/>
          <w:szCs w:val="32"/>
        </w:rPr>
        <w:t>十三、关于</w:t>
      </w:r>
      <w:r>
        <w:rPr>
          <w:rFonts w:hAnsi="黑体"/>
          <w:b/>
          <w:bCs/>
          <w:sz w:val="32"/>
          <w:szCs w:val="32"/>
        </w:rPr>
        <w:t>2020</w:t>
      </w:r>
      <w:r>
        <w:rPr>
          <w:rFonts w:hint="eastAsia" w:hAnsi="黑体"/>
          <w:b/>
          <w:bCs/>
          <w:sz w:val="32"/>
          <w:szCs w:val="32"/>
        </w:rPr>
        <w:t>年度预算绩效情况的说明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 w:lineRule="atLeast"/>
        <w:ind w:left="0" w:right="0" w:firstLine="420"/>
        <w:jc w:val="both"/>
        <w:rPr>
          <w:rFonts w:hint="eastAsia" w:ascii="宋体" w:hAnsi="宋体" w:eastAsia="宋体" w:cs="宋体"/>
          <w:i w:val="0"/>
          <w:iCs w:val="0"/>
          <w:caps w:val="0"/>
          <w:color w:val="FF0000"/>
          <w:spacing w:val="0"/>
          <w:sz w:val="24"/>
          <w:szCs w:val="24"/>
        </w:rPr>
      </w:pPr>
      <w:r>
        <w:rPr>
          <w:rFonts w:hint="eastAsia" w:ascii="宋体" w:hAnsi="宋体" w:eastAsia="宋体" w:cs="宋体"/>
          <w:sz w:val="32"/>
          <w:szCs w:val="32"/>
        </w:rPr>
        <w:t xml:space="preserve">  </w:t>
      </w:r>
      <w:r>
        <w:rPr>
          <w:rFonts w:hint="eastAsia" w:ascii="宋体" w:hAnsi="宋体" w:eastAsia="宋体" w:cs="宋体"/>
          <w:color w:val="000000"/>
          <w:kern w:val="0"/>
          <w:sz w:val="32"/>
          <w:szCs w:val="32"/>
          <w:lang w:val="en-US" w:eastAsia="zh-CN" w:bidi="ar-SA"/>
        </w:rPr>
        <w:t>本部门预算绩效管理开展情况于2021年6月份开始开展，其中绩效目标和绩效评价报告等严格按照上级业务部门要求进行相关业务处理，本部门预算绩效管理开展情况、绩效目标和绩效评价报告等按照财政绩效部门要求已公开。</w:t>
      </w:r>
    </w:p>
    <w:p>
      <w:pPr>
        <w:pStyle w:val="8"/>
        <w:ind w:right="-57" w:rightChars="-27"/>
        <w:rPr>
          <w:rFonts w:hint="eastAsia" w:ascii="宋体" w:hAnsi="宋体" w:eastAsia="宋体" w:cs="宋体"/>
          <w:sz w:val="32"/>
          <w:szCs w:val="32"/>
          <w:lang w:eastAsia="zh-CN"/>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both"/>
        <w:rPr>
          <w:rFonts w:cs="Times New Roman"/>
          <w:sz w:val="72"/>
          <w:szCs w:val="72"/>
        </w:rPr>
      </w:pPr>
    </w:p>
    <w:p>
      <w:pPr>
        <w:pStyle w:val="8"/>
        <w:jc w:val="center"/>
        <w:rPr>
          <w:rFonts w:cs="Times New Roman"/>
          <w:sz w:val="72"/>
          <w:szCs w:val="72"/>
        </w:rPr>
      </w:pPr>
    </w:p>
    <w:p>
      <w:pPr>
        <w:pStyle w:val="8"/>
        <w:jc w:val="center"/>
        <w:rPr>
          <w:rFonts w:ascii="宋体" w:hAnsi="宋体" w:eastAsia="宋体" w:cs="宋体"/>
          <w:sz w:val="72"/>
          <w:szCs w:val="72"/>
        </w:rPr>
      </w:pPr>
      <w:r>
        <w:rPr>
          <w:rFonts w:hint="eastAsia" w:ascii="宋体" w:hAnsi="宋体" w:eastAsia="宋体" w:cs="宋体"/>
          <w:sz w:val="72"/>
          <w:szCs w:val="72"/>
        </w:rPr>
        <w:t>第四部分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名词解释</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hint="eastAsia"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一、基本支出：指单位为保障机构正常运转、完成日常工作任务而发生的各项支出（包括基本工资、津贴补贴等）和公用支出（包括办公费、邮电费、差旅费及印刷费）。</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二、项目支出：指单位为完成特定的行政工作任务或事业发展目标，在基本支出之外发生的各项支出。</w:t>
      </w:r>
    </w:p>
    <w:p>
      <w:pPr>
        <w:widowControl/>
        <w:ind w:firstLine="960" w:firstLineChars="300"/>
        <w:jc w:val="left"/>
        <w:rPr>
          <w:rFonts w:ascii="宋体" w:hAnsi="宋体" w:cs="宋体"/>
          <w:color w:val="000000"/>
          <w:kern w:val="0"/>
          <w:sz w:val="32"/>
          <w:szCs w:val="32"/>
        </w:rPr>
      </w:pPr>
      <w:r>
        <w:rPr>
          <w:rFonts w:hint="eastAsia" w:ascii="宋体" w:hAnsi="宋体" w:cs="宋体"/>
          <w:color w:val="000000"/>
          <w:kern w:val="0"/>
          <w:sz w:val="32"/>
          <w:szCs w:val="32"/>
        </w:rPr>
        <w:t>三、“三公”经费：指因公出国（境）经费、公务用车购置及运行维护费、公务接待费。其中：因公出国（境）经费指公务出国（境）的住宿费、旅费、伙食补助费、杂费、培训费等支出；公务用车购置及运行费反映单位公务用车车辆购置支出（含车辆购置税）及租用费、燃料费、维修费、过桥过路费、保险费等支出；公务接待费反映单位按规定开支的各类公务接待支出。</w:t>
      </w:r>
    </w:p>
    <w:p>
      <w:pPr>
        <w:widowControl/>
        <w:ind w:firstLine="960" w:firstLineChars="300"/>
        <w:jc w:val="left"/>
        <w:rPr>
          <w:rFonts w:ascii="宋体" w:cs="Times New Roman"/>
          <w:color w:val="000000"/>
          <w:kern w:val="0"/>
          <w:sz w:val="32"/>
          <w:szCs w:val="32"/>
        </w:rPr>
      </w:pPr>
      <w:r>
        <w:rPr>
          <w:rFonts w:hint="eastAsia" w:ascii="宋体" w:hAnsi="宋体" w:cs="宋体"/>
          <w:color w:val="000000"/>
          <w:kern w:val="0"/>
          <w:sz w:val="32"/>
          <w:szCs w:val="32"/>
        </w:rPr>
        <w:t>四、机关运行经费：行政单位（包括参照公务员法管理的事业单位）一般公共预算财政拨款基本支出中的公用支出，包 括办公费、邮电费、差旅费及印刷费等。</w:t>
      </w: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jc w:val="center"/>
        <w:rPr>
          <w:rFonts w:cs="Times New Roman"/>
          <w:sz w:val="72"/>
          <w:szCs w:val="72"/>
        </w:rPr>
      </w:pPr>
    </w:p>
    <w:p>
      <w:pPr>
        <w:pStyle w:val="8"/>
        <w:ind w:firstLine="2880" w:firstLineChars="400"/>
        <w:rPr>
          <w:rFonts w:hint="eastAsia" w:ascii="宋体" w:hAnsi="宋体" w:eastAsia="宋体" w:cs="宋体"/>
          <w:sz w:val="72"/>
          <w:szCs w:val="72"/>
        </w:rPr>
      </w:pPr>
    </w:p>
    <w:p>
      <w:pPr>
        <w:pStyle w:val="8"/>
        <w:ind w:firstLine="2880" w:firstLineChars="400"/>
        <w:rPr>
          <w:rFonts w:hint="eastAsia" w:ascii="宋体" w:hAnsi="宋体" w:eastAsia="宋体" w:cs="宋体"/>
          <w:sz w:val="72"/>
          <w:szCs w:val="72"/>
        </w:rPr>
      </w:pPr>
    </w:p>
    <w:p>
      <w:pPr>
        <w:pStyle w:val="8"/>
        <w:ind w:firstLine="2880" w:firstLineChars="400"/>
        <w:rPr>
          <w:rFonts w:hint="eastAsia" w:ascii="宋体" w:hAnsi="宋体" w:eastAsia="宋体" w:cs="宋体"/>
          <w:sz w:val="72"/>
          <w:szCs w:val="72"/>
        </w:rPr>
      </w:pPr>
    </w:p>
    <w:p>
      <w:pPr>
        <w:pStyle w:val="8"/>
        <w:ind w:firstLine="2880" w:firstLineChars="400"/>
        <w:rPr>
          <w:rFonts w:ascii="宋体" w:hAnsi="宋体" w:eastAsia="宋体" w:cs="宋体"/>
          <w:sz w:val="72"/>
          <w:szCs w:val="72"/>
        </w:rPr>
      </w:pPr>
      <w:r>
        <w:rPr>
          <w:rFonts w:hint="eastAsia" w:ascii="宋体" w:hAnsi="宋体" w:eastAsia="宋体" w:cs="宋体"/>
          <w:sz w:val="72"/>
          <w:szCs w:val="72"/>
        </w:rPr>
        <w:t>第五部分</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r>
        <w:rPr>
          <w:rFonts w:hint="eastAsia" w:ascii="宋体" w:hAnsi="宋体" w:cs="宋体"/>
          <w:color w:val="000000"/>
          <w:kern w:val="0"/>
          <w:sz w:val="72"/>
          <w:szCs w:val="72"/>
        </w:rPr>
        <w:t>附件</w:t>
      </w: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jc w:val="center"/>
        <w:rPr>
          <w:rFonts w:ascii="宋体" w:hAnsi="宋体" w:cs="宋体"/>
          <w:color w:val="000000"/>
          <w:kern w:val="0"/>
          <w:sz w:val="72"/>
          <w:szCs w:val="72"/>
        </w:rPr>
      </w:pPr>
    </w:p>
    <w:p>
      <w:pPr>
        <w:widowControl/>
        <w:ind w:firstLine="964" w:firstLineChars="300"/>
        <w:jc w:val="left"/>
        <w:rPr>
          <w:rFonts w:ascii="黑体" w:eastAsia="黑体" w:cs="Times New Roman"/>
          <w:color w:val="000000"/>
          <w:kern w:val="0"/>
          <w:sz w:val="70"/>
          <w:szCs w:val="70"/>
        </w:rPr>
      </w:pPr>
      <w:r>
        <w:rPr>
          <w:rFonts w:ascii="宋体" w:hAnsi="宋体" w:cs="宋体"/>
          <w:b/>
          <w:bCs/>
          <w:color w:val="000000"/>
          <w:kern w:val="0"/>
          <w:sz w:val="32"/>
          <w:szCs w:val="32"/>
        </w:rPr>
        <w:t>2020</w:t>
      </w:r>
      <w:r>
        <w:rPr>
          <w:rFonts w:hint="eastAsia" w:ascii="宋体" w:hAnsi="宋体" w:cs="宋体"/>
          <w:b/>
          <w:bCs/>
          <w:color w:val="000000"/>
          <w:kern w:val="0"/>
          <w:sz w:val="32"/>
          <w:szCs w:val="32"/>
        </w:rPr>
        <w:t>年度部门整体支出绩效评价报告</w:t>
      </w: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ind w:firstLine="643" w:firstLineChars="200"/>
        <w:rPr>
          <w:rFonts w:ascii="宋体" w:hAnsi="宋体" w:cs="宋体"/>
          <w:b/>
          <w:color w:val="000000"/>
          <w:kern w:val="0"/>
          <w:sz w:val="32"/>
          <w:szCs w:val="32"/>
        </w:rPr>
      </w:pPr>
    </w:p>
    <w:p>
      <w:pPr>
        <w:rPr>
          <w:rFonts w:ascii="宋体" w:hAnsi="宋体" w:cs="宋体"/>
          <w:b/>
          <w:color w:val="000000"/>
          <w:kern w:val="0"/>
          <w:sz w:val="32"/>
          <w:szCs w:val="32"/>
        </w:rPr>
      </w:pPr>
    </w:p>
    <w:p>
      <w:pPr>
        <w:spacing w:line="576" w:lineRule="exact"/>
        <w:jc w:val="center"/>
        <w:rPr>
          <w:rFonts w:ascii="仿宋_GB2312" w:hAnsi="仿宋" w:eastAsia="仿宋_GB2312" w:cs="方正小标宋简体"/>
          <w:sz w:val="36"/>
          <w:szCs w:val="36"/>
        </w:rPr>
      </w:pPr>
      <w:r>
        <w:rPr>
          <w:rFonts w:hint="eastAsia" w:ascii="仿宋_GB2312" w:hAnsi="仿宋" w:eastAsia="仿宋_GB2312" w:cs="方正小标宋简体"/>
          <w:sz w:val="36"/>
          <w:szCs w:val="36"/>
        </w:rPr>
        <w:t>湘潭县锦石</w:t>
      </w:r>
      <w:r>
        <w:rPr>
          <w:rFonts w:ascii="仿宋_GB2312" w:hAnsi="仿宋" w:eastAsia="仿宋_GB2312" w:cs="方正小标宋简体"/>
          <w:sz w:val="36"/>
          <w:szCs w:val="36"/>
        </w:rPr>
        <w:t>乡</w:t>
      </w:r>
      <w:r>
        <w:rPr>
          <w:rFonts w:hint="eastAsia" w:ascii="仿宋_GB2312" w:hAnsi="仿宋" w:eastAsia="仿宋_GB2312" w:cs="方正小标宋简体"/>
          <w:sz w:val="36"/>
          <w:szCs w:val="36"/>
        </w:rPr>
        <w:t>人民政府</w:t>
      </w:r>
    </w:p>
    <w:p>
      <w:pPr>
        <w:spacing w:line="576" w:lineRule="exact"/>
        <w:jc w:val="center"/>
        <w:rPr>
          <w:rFonts w:ascii="仿宋_GB2312" w:hAnsi="仿宋" w:eastAsia="仿宋_GB2312" w:cs="方正小标宋简体"/>
          <w:sz w:val="36"/>
          <w:szCs w:val="36"/>
        </w:rPr>
      </w:pPr>
      <w:r>
        <w:rPr>
          <w:rFonts w:hint="eastAsia" w:ascii="仿宋_GB2312" w:hAnsi="仿宋" w:eastAsia="仿宋_GB2312" w:cs="方正小标宋简体"/>
          <w:bCs/>
          <w:sz w:val="36"/>
          <w:szCs w:val="36"/>
        </w:rPr>
        <w:t>部门整体支出绩效评价报告</w:t>
      </w:r>
    </w:p>
    <w:tbl>
      <w:tblPr>
        <w:tblStyle w:val="6"/>
        <w:tblW w:w="10122"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276"/>
        <w:gridCol w:w="8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709" w:type="dxa"/>
            <w:vMerge w:val="restart"/>
          </w:tcPr>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部门概况</w:t>
            </w:r>
          </w:p>
        </w:tc>
        <w:tc>
          <w:tcPr>
            <w:tcW w:w="1276"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单位名称</w:t>
            </w:r>
          </w:p>
        </w:tc>
        <w:tc>
          <w:tcPr>
            <w:tcW w:w="8137" w:type="dxa"/>
            <w:vAlign w:val="center"/>
          </w:tcPr>
          <w:p>
            <w:pPr>
              <w:spacing w:line="576" w:lineRule="exact"/>
              <w:jc w:val="center"/>
              <w:rPr>
                <w:rFonts w:ascii="仿宋_GB2312" w:hAnsi="仿宋" w:eastAsia="仿宋_GB2312" w:cs="方正小标宋简体"/>
                <w:sz w:val="24"/>
              </w:rPr>
            </w:pPr>
            <w:r>
              <w:rPr>
                <w:rFonts w:hint="eastAsia" w:ascii="仿宋_GB2312" w:eastAsia="仿宋_GB2312"/>
                <w:sz w:val="24"/>
              </w:rPr>
              <w:t>湘潭县锦石乡人民政府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autoSpaceDN w:val="0"/>
              <w:spacing w:line="320" w:lineRule="exact"/>
              <w:jc w:val="center"/>
              <w:textAlignment w:val="center"/>
              <w:rPr>
                <w:rFonts w:ascii="仿宋_GB2312" w:hAnsi="仿宋" w:eastAsia="仿宋_GB2312" w:cs="方正小标宋简体"/>
                <w:sz w:val="24"/>
              </w:rPr>
            </w:pPr>
            <w:r>
              <w:rPr>
                <w:rFonts w:hint="eastAsia" w:ascii="仿宋_GB2312" w:hAnsi="仿宋_GB2312" w:eastAsia="仿宋_GB2312" w:cs="仿宋_GB2312"/>
                <w:color w:val="000000"/>
                <w:sz w:val="24"/>
              </w:rPr>
              <w:t>年度预算金额</w:t>
            </w:r>
          </w:p>
        </w:tc>
        <w:tc>
          <w:tcPr>
            <w:tcW w:w="8137" w:type="dxa"/>
            <w:vAlign w:val="center"/>
          </w:tcPr>
          <w:p>
            <w:pPr>
              <w:spacing w:line="576" w:lineRule="exact"/>
              <w:jc w:val="center"/>
              <w:rPr>
                <w:rFonts w:ascii="仿宋_GB2312" w:hAnsi="仿宋" w:eastAsia="仿宋_GB2312" w:cs="方正小标宋简体"/>
                <w:sz w:val="24"/>
              </w:rPr>
            </w:pPr>
            <w:r>
              <w:rPr>
                <w:rFonts w:hint="eastAsia" w:ascii="仿宋_GB2312" w:hAnsi="等线" w:eastAsia="仿宋_GB2312"/>
                <w:sz w:val="24"/>
              </w:rPr>
              <w:t>48,437,269.00</w:t>
            </w:r>
            <w:r>
              <w:rPr>
                <w:rFonts w:hint="eastAsia" w:ascii="仿宋_GB2312" w:eastAsia="仿宋_GB2312"/>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主管部门</w:t>
            </w:r>
          </w:p>
        </w:tc>
        <w:tc>
          <w:tcPr>
            <w:tcW w:w="8137"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8"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单位基本职能</w:t>
            </w:r>
          </w:p>
        </w:tc>
        <w:tc>
          <w:tcPr>
            <w:tcW w:w="8137" w:type="dxa"/>
            <w:vAlign w:val="center"/>
          </w:tcPr>
          <w:p>
            <w:pPr>
              <w:widowControl/>
              <w:shd w:val="clear" w:color="auto" w:fill="FFFFFF"/>
              <w:spacing w:line="360" w:lineRule="auto"/>
              <w:ind w:firstLine="480"/>
              <w:rPr>
                <w:rFonts w:ascii="仿宋_GB2312" w:eastAsia="仿宋_GB2312"/>
                <w:sz w:val="24"/>
              </w:rPr>
            </w:pPr>
            <w:r>
              <w:rPr>
                <w:rFonts w:ascii="仿宋_GB2312" w:eastAsia="仿宋_GB2312"/>
                <w:sz w:val="24"/>
              </w:rPr>
              <w:t>（1）制定和组织实施经济、科技和社会发展计划，制定资源开发技术改造和产业结构调整方案，组织指导好各业生产，搞好商品流通，协调好本乡与外地区的经济交流与合作，抓好招商引资，人才引进项目开发，不断培育市场体系，组织经济运行，促进经济发展。</w:t>
            </w:r>
          </w:p>
          <w:p>
            <w:pPr>
              <w:widowControl/>
              <w:shd w:val="clear" w:color="auto" w:fill="FFFFFF"/>
              <w:spacing w:line="360" w:lineRule="auto"/>
              <w:ind w:firstLine="480"/>
              <w:rPr>
                <w:rFonts w:ascii="仿宋_GB2312" w:eastAsia="仿宋_GB2312"/>
                <w:sz w:val="24"/>
              </w:rPr>
            </w:pPr>
            <w:r>
              <w:rPr>
                <w:rFonts w:ascii="仿宋_GB2312" w:eastAsia="仿宋_GB2312"/>
                <w:sz w:val="24"/>
              </w:rPr>
              <w:t>（2）制定并组织实施村镇建设规划，部署重点工程建设，地方道路建设及公共设施，水利设施的管理，负责土地、林木、水等自然资源和生态环境的保护，做好护林防火工作。</w:t>
            </w:r>
          </w:p>
          <w:p>
            <w:pPr>
              <w:widowControl/>
              <w:shd w:val="clear" w:color="auto" w:fill="FFFFFF"/>
              <w:spacing w:line="360" w:lineRule="auto"/>
              <w:ind w:firstLine="480"/>
              <w:rPr>
                <w:rFonts w:ascii="仿宋_GB2312" w:eastAsia="仿宋_GB2312"/>
                <w:sz w:val="24"/>
              </w:rPr>
            </w:pPr>
            <w:r>
              <w:rPr>
                <w:rFonts w:ascii="仿宋_GB2312" w:eastAsia="仿宋_GB2312"/>
                <w:sz w:val="24"/>
              </w:rPr>
              <w:t>（3）负责本行政区域内的民政、计划生育、文化教育、卫生、体育等社会公益事业的综合性工作，维护一切经济单位和个人的正当经济权益，取缔非法经济活动，调解和处理民事纠纷，打击刑事犯罪维护社会稳定。</w:t>
            </w:r>
          </w:p>
          <w:p>
            <w:pPr>
              <w:widowControl/>
              <w:shd w:val="clear" w:color="auto" w:fill="FFFFFF"/>
              <w:spacing w:line="360" w:lineRule="auto"/>
              <w:ind w:firstLine="480"/>
              <w:rPr>
                <w:rFonts w:ascii="仿宋_GB2312" w:eastAsia="仿宋_GB2312"/>
                <w:sz w:val="24"/>
              </w:rPr>
            </w:pPr>
            <w:r>
              <w:rPr>
                <w:rFonts w:ascii="仿宋_GB2312" w:eastAsia="仿宋_GB2312"/>
                <w:sz w:val="24"/>
              </w:rPr>
              <w:t>（4）按计划组织本级财政收入和地方税的征收，完成国家财政计划，不断培植税源，管好财政资金，增强财政实力。</w:t>
            </w:r>
          </w:p>
          <w:p>
            <w:pPr>
              <w:widowControl/>
              <w:shd w:val="clear" w:color="auto" w:fill="FFFFFF"/>
              <w:spacing w:line="360" w:lineRule="auto"/>
              <w:ind w:firstLine="480"/>
              <w:rPr>
                <w:rFonts w:ascii="仿宋_GB2312" w:eastAsia="仿宋_GB2312"/>
                <w:sz w:val="24"/>
              </w:rPr>
            </w:pPr>
            <w:r>
              <w:rPr>
                <w:rFonts w:ascii="仿宋_GB2312" w:eastAsia="仿宋_GB2312"/>
                <w:sz w:val="24"/>
              </w:rPr>
              <w:t>（5）抓好精神文明建设，丰富群众文化生活，提倡移风易俗，反对封建迷信，破除陈规陋习，树立社会主义新风尚。</w:t>
            </w:r>
          </w:p>
          <w:p>
            <w:pPr>
              <w:autoSpaceDN w:val="0"/>
              <w:spacing w:line="360" w:lineRule="auto"/>
              <w:jc w:val="left"/>
              <w:textAlignment w:val="center"/>
              <w:rPr>
                <w:rFonts w:ascii="仿宋_GB2312" w:hAnsi="仿宋" w:eastAsia="仿宋_GB2312" w:cs="方正小标宋简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709" w:type="dxa"/>
            <w:vMerge w:val="restart"/>
          </w:tcPr>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p>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绩效完成情况</w:t>
            </w:r>
          </w:p>
        </w:tc>
        <w:tc>
          <w:tcPr>
            <w:tcW w:w="1276"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部门整体支出管理和使用基本情况</w:t>
            </w:r>
          </w:p>
        </w:tc>
        <w:tc>
          <w:tcPr>
            <w:tcW w:w="8137" w:type="dxa"/>
            <w:vAlign w:val="center"/>
          </w:tcPr>
          <w:p>
            <w:pPr>
              <w:pStyle w:val="14"/>
              <w:spacing w:line="360" w:lineRule="auto"/>
              <w:ind w:firstLine="480" w:firstLineChars="200"/>
              <w:rPr>
                <w:rFonts w:ascii="仿宋_GB2312" w:eastAsia="仿宋_GB2312"/>
                <w:sz w:val="24"/>
              </w:rPr>
            </w:pPr>
            <w:r>
              <w:rPr>
                <w:rFonts w:hint="eastAsia" w:ascii="仿宋_GB2312" w:eastAsia="仿宋_GB2312"/>
                <w:sz w:val="24"/>
              </w:rPr>
              <w:t>始终认真贯彻执行《会计法》、《预算法》、《行政单位会计制度》等法律法规，各项经费支出严格按照政府采购、国库集中支付等有关规定执行。同时我镇先后制订了《湘潭县锦石乡预算管理制度》、《湘潭县锦石乡政府采购管理办法》、《湘潭县锦石乡财务管理制度》、《湘潭县锦石乡支出管理制度》、《湘潭县锦石乡固定资产管理办法》等相关制度，明确了经费审批权限及程序，经费预算、核算管理、资产购置与处置、财务监督等。在“三公”经费管理方面，规范了公务接待的审批管理，较好地控制了行政运行成本。20</w:t>
            </w:r>
            <w:r>
              <w:rPr>
                <w:rFonts w:ascii="仿宋_GB2312" w:eastAsia="仿宋_GB2312"/>
                <w:sz w:val="24"/>
              </w:rPr>
              <w:t>20</w:t>
            </w:r>
            <w:r>
              <w:rPr>
                <w:rFonts w:hint="eastAsia" w:ascii="仿宋_GB2312" w:eastAsia="仿宋_GB2312"/>
                <w:sz w:val="24"/>
              </w:rPr>
              <w:t>年部门整体支出4328.35万元，支出按支出性质分类为：基本支出4328.35万元（其中：人员经费1238.19万元，日常公用经费3090.16万元），无项目资金支出。支出按经济分类为：工资福利支出1143.08万元，商品和服务支出2825.99万元，对个人和家庭的补助95.11万元，资本性支出264.17万元。20</w:t>
            </w:r>
            <w:r>
              <w:rPr>
                <w:rFonts w:ascii="仿宋_GB2312" w:eastAsia="仿宋_GB2312"/>
                <w:sz w:val="24"/>
              </w:rPr>
              <w:t>20</w:t>
            </w:r>
            <w:r>
              <w:rPr>
                <w:rFonts w:hint="eastAsia" w:ascii="仿宋_GB2312" w:eastAsia="仿宋_GB2312"/>
                <w:sz w:val="24"/>
              </w:rPr>
              <w:t>年“三公”经费5.36万元，全部为</w:t>
            </w:r>
            <w:r>
              <w:rPr>
                <w:rFonts w:hint="eastAsia" w:ascii="仿宋_GB2312" w:hAnsi="等线" w:eastAsia="仿宋_GB2312" w:cs="宋体"/>
                <w:sz w:val="24"/>
              </w:rPr>
              <w:t>公务接待费5.36元</w:t>
            </w:r>
            <w:r>
              <w:rPr>
                <w:rFonts w:hint="eastAsia" w:ascii="仿宋_GB2312" w:eastAsia="仿宋_GB2312"/>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1"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spacing w:line="576" w:lineRule="exact"/>
              <w:jc w:val="center"/>
              <w:rPr>
                <w:rFonts w:ascii="仿宋_GB2312" w:hAnsi="仿宋" w:eastAsia="仿宋_GB2312" w:cs="方正小标宋简体"/>
                <w:sz w:val="24"/>
              </w:rPr>
            </w:pPr>
            <w:r>
              <w:rPr>
                <w:rFonts w:hint="eastAsia" w:ascii="仿宋_GB2312" w:hAnsi="仿宋" w:eastAsia="仿宋_GB2312" w:cs="方正小标宋简体"/>
                <w:sz w:val="24"/>
              </w:rPr>
              <w:t>绩效目标完成情况</w:t>
            </w:r>
          </w:p>
        </w:tc>
        <w:tc>
          <w:tcPr>
            <w:tcW w:w="8137" w:type="dxa"/>
            <w:vAlign w:val="center"/>
          </w:tcPr>
          <w:p>
            <w:pPr>
              <w:spacing w:line="560" w:lineRule="exact"/>
              <w:ind w:firstLine="480" w:firstLineChars="200"/>
              <w:rPr>
                <w:rFonts w:ascii="仿宋_GB2312" w:eastAsia="仿宋_GB2312"/>
                <w:sz w:val="24"/>
              </w:rPr>
            </w:pPr>
            <w:r>
              <w:rPr>
                <w:rFonts w:hint="eastAsia" w:ascii="仿宋_GB2312" w:eastAsia="仿宋_GB2312"/>
                <w:sz w:val="24"/>
              </w:rPr>
              <w:t>2020年新年伊始，突然爆发的“新冠肺炎”疫情给“十三五”和脱贫攻坚收官之年造成了极大的困难。但我们在县委、县政府和乡党委的坚强领导下，在乡人大和社会各界的监督支持下，牢固树立“过紧日子”的思想，团结带领全乡人民紧抓“乡村振兴”机遇，努力奋斗，攻坚克难，圆满完成了各项目标任务。</w:t>
            </w:r>
          </w:p>
          <w:p>
            <w:pPr>
              <w:spacing w:line="560" w:lineRule="exact"/>
              <w:ind w:firstLine="480" w:firstLineChars="200"/>
              <w:rPr>
                <w:rFonts w:ascii="仿宋_GB2312" w:eastAsia="仿宋_GB2312"/>
                <w:sz w:val="24"/>
              </w:rPr>
            </w:pPr>
            <w:r>
              <w:rPr>
                <w:rFonts w:hint="eastAsia" w:ascii="仿宋_GB2312" w:eastAsia="仿宋_GB2312"/>
                <w:sz w:val="24"/>
              </w:rPr>
              <w:t>（一）综合实力稳中有进。2020年完成固定资产投入1.7</w:t>
            </w:r>
            <w:r>
              <w:rPr>
                <w:rFonts w:ascii="仿宋_GB2312" w:eastAsia="仿宋_GB2312"/>
                <w:sz w:val="24"/>
              </w:rPr>
              <w:t>3</w:t>
            </w:r>
            <w:r>
              <w:rPr>
                <w:rFonts w:hint="eastAsia" w:ascii="仿宋_GB2312" w:eastAsia="仿宋_GB2312"/>
                <w:sz w:val="24"/>
              </w:rPr>
              <w:t>亿元</w:t>
            </w:r>
            <w:r>
              <w:rPr>
                <w:rFonts w:ascii="仿宋_GB2312" w:eastAsia="仿宋_GB2312"/>
                <w:sz w:val="24"/>
              </w:rPr>
              <w:t>（预计，下同），完成</w:t>
            </w:r>
            <w:r>
              <w:rPr>
                <w:rFonts w:hint="eastAsia" w:ascii="仿宋_GB2312" w:eastAsia="仿宋_GB2312"/>
                <w:sz w:val="24"/>
              </w:rPr>
              <w:t>招商引资</w:t>
            </w:r>
            <w:r>
              <w:rPr>
                <w:rFonts w:ascii="仿宋_GB2312" w:eastAsia="仿宋_GB2312"/>
                <w:sz w:val="24"/>
              </w:rPr>
              <w:t>到位资金</w:t>
            </w:r>
            <w:r>
              <w:rPr>
                <w:rFonts w:hint="eastAsia" w:ascii="仿宋_GB2312" w:eastAsia="仿宋_GB2312"/>
                <w:sz w:val="24"/>
              </w:rPr>
              <w:t>2016万元，完成工业总产值8500万元，实现税收收入355万元。</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二）村集体经济有突破。11个村全部完成了产权制度改革任务，其中碧泉村进行了折股量化，成立了碧泉村股份经济合作社，其他10个村成立了经济合作社。各村通过多种方式不断增加村集体经济收入。如碧泉村与华绿公司、碧泉潭生态资源开发有限公司、碧泉食品加工厂等企业合作，村集体经济年收入达30万元。文佳村通过成立村集体合作社、出租房屋、土地流转等方式，村集体年收入达11万元。今年11月，碧泉村和文佳村作为全省代表村，接受了农业农村部组织的农村集体产权制度改革第三方监测评估，获得了一致好评，为省、市、县增添了光彩。</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三）产业发展不断加速。一是碧泉潭现代农业示范园依托华绿公司发展高档优质稻1万亩以上的订单农业，代表湘潭县接受农业部绿色食品原料标准化基地验收，全部合格达标。二是在现代农业示范园建设带动下，发展23个专业合作社和27个家庭农场，并成功申报县级示范合作社1家，县级示范家庭农场1家。三是湖南顺餐食品有限公司已进入主体工程建设阶段，一期投入将达3000万元。该项目投产后，可带动农业生产近1万亩，直接解决劳动力300人以上。四是华绿公司农产品展示中心投资1000万元，已奠基动工。五是碧泉潭生态资源开发有限公司与步步高集团达成合作，新上一条生产线，建设十八洞村矿泉水碧泉潭生产基地，已正式投产。六是利用唐家湖湿地优势种植莲藕、荸荠等经济作物120余亩，总产值达80余万元。七是湘潭爱莲农特公司泥鳅养殖基地流转320亩土地，采用“公司+农户+养殖技术推广+合作平台”的经营模式，发展泥鳅育苗、莲鳅套养和石灰泥鳅加工产业，带动周边村民开展泥鳅养殖，农户亩均增收5000元。</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四）基础设施不断加强。一是道路建设。园区“九路一桥”项目已投入1700万元，完成园区宣支公路至碧泉溪槟榔厂、碧泉溪至清塘村部连接线、宣支公路至碧泉溪等6条道路扫尾工程；完成村级道路硬化建设7.5公里，新竖立道路交通安全警示牌30块，标识牌20块。二是碧泉溪建设。</w:t>
            </w:r>
            <w:r>
              <w:rPr>
                <w:rFonts w:ascii="仿宋_GB2312" w:eastAsia="仿宋_GB2312"/>
                <w:sz w:val="24"/>
              </w:rPr>
              <w:t>碧泉溪</w:t>
            </w:r>
            <w:r>
              <w:rPr>
                <w:rFonts w:hint="eastAsia" w:ascii="仿宋_GB2312" w:eastAsia="仿宋_GB2312"/>
                <w:sz w:val="24"/>
              </w:rPr>
              <w:t>提质改造</w:t>
            </w:r>
            <w:r>
              <w:rPr>
                <w:rFonts w:ascii="仿宋_GB2312" w:eastAsia="仿宋_GB2312"/>
                <w:sz w:val="24"/>
              </w:rPr>
              <w:t>项目</w:t>
            </w:r>
            <w:r>
              <w:rPr>
                <w:rFonts w:hint="eastAsia" w:ascii="仿宋_GB2312" w:eastAsia="仿宋_GB2312"/>
                <w:sz w:val="24"/>
              </w:rPr>
              <w:t>总投资1400万元，目前已完成河道清淤及部分标段护坡、渠道硬化，未完工标段正在有条不紊实施中，预计12月底可完工。三是唐家湖湿地建设。已</w:t>
            </w:r>
            <w:r>
              <w:rPr>
                <w:rFonts w:ascii="仿宋_GB2312" w:eastAsia="仿宋_GB2312"/>
                <w:sz w:val="24"/>
              </w:rPr>
              <w:t>投入1</w:t>
            </w:r>
            <w:r>
              <w:rPr>
                <w:rFonts w:hint="eastAsia" w:ascii="仿宋_GB2312" w:eastAsia="仿宋_GB2312"/>
                <w:sz w:val="24"/>
              </w:rPr>
              <w:t>350</w:t>
            </w:r>
            <w:r>
              <w:rPr>
                <w:rFonts w:ascii="仿宋_GB2312" w:eastAsia="仿宋_GB2312"/>
                <w:sz w:val="24"/>
              </w:rPr>
              <w:t>万元完成一期</w:t>
            </w:r>
            <w:r>
              <w:rPr>
                <w:rFonts w:hint="eastAsia" w:ascii="仿宋_GB2312" w:eastAsia="仿宋_GB2312"/>
                <w:sz w:val="24"/>
              </w:rPr>
              <w:t>、二期</w:t>
            </w:r>
            <w:r>
              <w:rPr>
                <w:rFonts w:ascii="仿宋_GB2312" w:eastAsia="仿宋_GB2312"/>
                <w:sz w:val="24"/>
              </w:rPr>
              <w:t>建设任务，修建</w:t>
            </w:r>
            <w:r>
              <w:rPr>
                <w:rFonts w:hint="eastAsia" w:ascii="仿宋_GB2312" w:eastAsia="仿宋_GB2312"/>
                <w:sz w:val="24"/>
              </w:rPr>
              <w:t>了</w:t>
            </w:r>
            <w:r>
              <w:rPr>
                <w:rFonts w:ascii="仿宋_GB2312" w:eastAsia="仿宋_GB2312"/>
                <w:sz w:val="24"/>
              </w:rPr>
              <w:t>高标准蓄水坝，</w:t>
            </w:r>
            <w:r>
              <w:rPr>
                <w:rFonts w:hint="eastAsia" w:ascii="仿宋_GB2312" w:eastAsia="仿宋_GB2312"/>
                <w:sz w:val="24"/>
              </w:rPr>
              <w:t>完成</w:t>
            </w:r>
            <w:r>
              <w:rPr>
                <w:rFonts w:ascii="仿宋_GB2312" w:eastAsia="仿宋_GB2312"/>
                <w:sz w:val="24"/>
              </w:rPr>
              <w:t>绿化、美化工程，湿地公园配套设施</w:t>
            </w:r>
            <w:r>
              <w:rPr>
                <w:rFonts w:hint="eastAsia" w:ascii="仿宋_GB2312" w:eastAsia="仿宋_GB2312"/>
                <w:sz w:val="24"/>
              </w:rPr>
              <w:t>进一步得到提升。四是镇区建设。进一步完善镇区排水排污及路灯建设，加强了镇区整治力度，完成镇区集贸市场建设；完成政府院内地面硬化1000平方米</w:t>
            </w:r>
            <w:r>
              <w:rPr>
                <w:rFonts w:ascii="仿宋_GB2312" w:eastAsia="仿宋_GB2312"/>
                <w:sz w:val="24"/>
              </w:rPr>
              <w:t>和</w:t>
            </w:r>
            <w:r>
              <w:rPr>
                <w:rFonts w:hint="eastAsia" w:ascii="仿宋_GB2312" w:eastAsia="仿宋_GB2312"/>
                <w:sz w:val="24"/>
              </w:rPr>
              <w:t>配套绿化建设。五是农村电网建设。投资1090余万元，完成碧泉、大荷塘、太阳、金湖等村的农网改造、农网维护和3400户电压治理工作，切实保障了人民群众的生产生活用电需求。</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五）粮食产量质量稳定。大力推广“一季水稻+再生稻”“水稻+油菜”等双季作物耕作模式，落实油菜种植面积8100亩，蔬菜4160亩；重点发展粮食适度规模经营，推进农村土地依法有序流转，新型合作组织达到113家；农业生产机械化进程加快，推广粮食烘干机3组套，新推广抛秧机1台，大型拖拉机（旋耕机）5台，组织学习农业机械操作、田间实地教学2批65人次。辐射带动发展农机大户30户；全年完成粮食播种面积5.24万亩，总产2.48万吨以上；常态化对农产品进行巡查、抽查、检测农产品样500个以上，全部合格，保证了农产品质量安全。</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六）畜禽生产恢复得力。受2019年非洲猪瘟的影响，生猪产能严重下降，通过按计划努力工作，母猪已恢复到1100余头，生猪1.2万头，保障了人民群众肉类食物供应；2020年出笼家禽45万余羽、水产品1600余吨；防疫措施到位，完成高致病性禽流感疫苗注射45万余羽，完成牲畜口蹄疫、猪瘟疫苗共计2.5万余头份，有效保护了养殖户的财产安全。</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七）林业建设有条不紊。长防林人工植苗415亩，油茶低改200亩；在清塘村建立50亩义务植树基地，义务植树8万余株；林业有害生物成灾率控制1.0‰以内，种苗产地检疫率100%，松材线虫病监测普查率100%，防止了危险性病虫害疫情的传播蔓延。</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八）水利设施日臻完善。完成了10口村级骨干塘扩容硬化、3条渠道硬化项目建设扫尾验收；群英坝闸门更新；碧泉溪中游3.88公里护砌工程；东、西、中、上石坝渠等主要干渠支渠清淤扫障110公里全面完成，群英渠中段、金湖村三十亩涓水堤岸坡清障1.2千米；完成了大荷塘村自来水厂建设项目，已实现正常供水。</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（九）社会事业全面进步。一是民生实事惠及全乡。 发放临时救助498人次38</w:t>
            </w:r>
            <w:r>
              <w:rPr>
                <w:rFonts w:ascii="仿宋_GB2312" w:eastAsia="仿宋_GB2312"/>
                <w:sz w:val="24"/>
              </w:rPr>
              <w:t>.</w:t>
            </w:r>
            <w:r>
              <w:rPr>
                <w:rFonts w:hint="eastAsia" w:ascii="仿宋_GB2312" w:eastAsia="仿宋_GB2312"/>
                <w:sz w:val="24"/>
              </w:rPr>
              <w:t>18万元；完成新增农村劳动力转移就业389人，新增城镇就业50人；向上争资420万元，对中心敬老院进行提质改造，项目即将竣工；关心、爱护老人和儿童，建设老年人和三留守人员“守望之家”1个，“留守儿童之家”11个；发放高龄补贴435人次8.94万元，发放基本养老服务补贴77人4.62万元；享受百岁老人保健金2人；城乡居民医保参保率达95%；民生实事渠道清淤扫障、锦石村通组公路建设、环境卫生整治设施配套等项目都已完成，雷打山山体滑坡治理项目正规划设计之中。二是文教卫计均衡发展。截止至目前，全乡共出生人口231人，其中男孩133人，女孩98人，出生率7.6‰，符合政策生育率95.7%；关爱妇女健康，组织337名适龄妇女参加“两癌”免费筛查；实现了7个村级卫生室产权公有化；新建高标准篮球场1个，组织送戏下乡活动4场，保障115个“村村响”喇叭正常运转，丰富了群众的业余生活；优化教育资源分配，整理合并3所小学，进一步提升锦石中学和文佳小学办学条件和教育质量，集中资源创建全县区域性名校。三是脱贫攻坚质量不断提升。乡党委、政府紧紧围绕“收官”二字，确保2020年实现贫困户434户1049人如期如质脱贫的目标。落实低保渐退机制，按每人每年60元的标准为低保、特困对象购买综合商业保险；为61户发放扶贫小额信贷，发放金额305万元；精准扶贫户家庭在校学生全部享受到教育助学政策，覆盖率100%；享受春季雨露计划职业教育补助学生33名；54户危房全部改造完成；政府代缴城乡居民合作医疗23.32万元；实施产业扶贫项目24个，产业扶贫资金达185万；实现家庭人均纯收入增长10%以上，确保了贫困户年人均纯收入超过4000元。四是人口普查稳步推进。全乡11个普查区，94个普查小区，共普查8166户，30499人。五是便民服务贴近群众。成立了便民服务中心工作领导小组，进一步完善了乡政务服务大厅和各村便民服务中心场所建设，方便了群众家门口办事，总办件量达3257件。六是退役军人保障到位。完成退伍军人登记及信息采集820人；“八一”期间走访慰问退伍军人、残疾军人、军属、烈属、烈士子女50余人次，发放慰问信800份，共计慰问12万余元；对现实情况困难的225位退役军人进行优抚、临时救助、医疗救助合计15.5万余元。七是房地一体化颁证顺利。现场测绘房屋7459栋，当前颁证资料已入库4928户，任务完成率66%，在全县排名前列。</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（十）人居环境品质更高。垃圾处理“户</w:t>
            </w:r>
            <w:r>
              <w:rPr>
                <w:rFonts w:ascii="仿宋_GB2312" w:eastAsia="仿宋_GB2312"/>
                <w:sz w:val="24"/>
              </w:rPr>
              <w:t>分类、村收集、乡转运、县处理</w:t>
            </w:r>
            <w:r>
              <w:rPr>
                <w:rFonts w:hint="eastAsia" w:ascii="仿宋_GB2312" w:eastAsia="仿宋_GB2312"/>
                <w:sz w:val="24"/>
              </w:rPr>
              <w:t>”</w:t>
            </w:r>
            <w:r>
              <w:rPr>
                <w:rFonts w:ascii="仿宋_GB2312" w:eastAsia="仿宋_GB2312"/>
                <w:sz w:val="24"/>
              </w:rPr>
              <w:t>模式全覆盖</w:t>
            </w:r>
            <w:r>
              <w:rPr>
                <w:rFonts w:hint="eastAsia" w:ascii="仿宋_GB2312" w:eastAsia="仿宋_GB2312"/>
                <w:sz w:val="24"/>
              </w:rPr>
              <w:t>，</w:t>
            </w:r>
            <w:r>
              <w:rPr>
                <w:rFonts w:ascii="仿宋_GB2312" w:eastAsia="仿宋_GB2312"/>
                <w:sz w:val="24"/>
              </w:rPr>
              <w:t>在11个村推行村垃圾治理付费制，共计摆放垃圾桶4700余个，专人定时上户收集转运</w:t>
            </w:r>
            <w:r>
              <w:rPr>
                <w:rFonts w:hint="eastAsia" w:ascii="仿宋_GB2312" w:eastAsia="仿宋_GB2312"/>
                <w:sz w:val="24"/>
              </w:rPr>
              <w:t>；全力打造和推广“金湖模式”，充分发动群众主动性，自主规划、自主建设、自主管理、自主发展，建设了成片的美丽屋场，成为了全市样板，得到省、市、县各级领导的高度肯定；持续推进“厕所革命”，全年完成改厕400座；拆除敞口垃圾池360个；开展“美丽庭院”创建活动，共评选“三星美丽庭院”1450户、“四星美丽庭院”145户；组织“空心房”拆除行动2次，拆除总面积2206平方米，</w:t>
            </w:r>
            <w:r>
              <w:rPr>
                <w:rFonts w:ascii="仿宋_GB2312" w:eastAsia="仿宋_GB2312"/>
                <w:sz w:val="24"/>
              </w:rPr>
              <w:t>乡域</w:t>
            </w:r>
            <w:r>
              <w:rPr>
                <w:rFonts w:hint="eastAsia" w:ascii="仿宋_GB2312" w:eastAsia="仿宋_GB2312"/>
                <w:sz w:val="24"/>
              </w:rPr>
              <w:t>环境面貌焕然一新，人民群众生活环境有了质的改变。</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十一）平安锦石深入人心。一是安全生产常抓不懈。坚决执行安全生产“一岗双责”“党政同责”，贯彻落实“谁主管、谁负责”和“管生产必须管安全”以及“属地管理”的原则。开展2次专项整治检查和“安全生产月”活动，实行安全生产常态化检查，确保了全年无安全故事发生。二是全面加强平安宣传。结合民情大走访活动，开展扫黑除恶宣传行动发放各类平安宣传资料3万余份，全面摸排涉黑涉恶线索，铲除黑恶势力生存的空间。三是社会治安防范有效。切实保障60个“雪亮工程”探头正常运转，组织义务巡逻队巡逻100余次，加强了对22名特殊人群的关爱的照顾，确保可控。四是司法调解促进和谐。充分发挥司法调解力量，实现一村一法律顾问，建立9个规范化村调委会；全年司法接待并答复来电、来访群众法律咨询达200余人次，指导或直接参入排查调处各类矛盾纠纷55起，成功55件；各村调委累计成功调解各类民间纠纷175件，调解成功175件，维护了社会稳定，确保了一方平安。</w:t>
            </w:r>
          </w:p>
          <w:p>
            <w:pPr>
              <w:pBdr>
                <w:bottom w:val="single" w:color="FFFFFF" w:sz="4" w:space="30"/>
              </w:pBdr>
              <w:tabs>
                <w:tab w:val="left" w:pos="1440"/>
              </w:tabs>
              <w:adjustRightInd w:val="0"/>
              <w:snapToGrid w:val="0"/>
              <w:spacing w:line="560" w:lineRule="exact"/>
              <w:ind w:firstLine="480" w:firstLineChars="200"/>
              <w:jc w:val="left"/>
              <w:rPr>
                <w:rFonts w:ascii="仿宋_GB2312" w:eastAsia="仿宋_GB2312"/>
                <w:sz w:val="24"/>
              </w:rPr>
            </w:pPr>
            <w:r>
              <w:rPr>
                <w:rFonts w:hint="eastAsia" w:ascii="仿宋_GB2312" w:eastAsia="仿宋_GB2312"/>
                <w:sz w:val="24"/>
              </w:rPr>
              <w:t>（十二）综合执法保障秩序。紧紧抓住法治建设这条主线，依法依规成立乡综合行政执法大队，配优配齐执法力量，建立了一支着装整齐、设备齐全、作风优良的执法队伍。执法大队深入开展岗位学法、业务知识学习活动，在思想上、行动上与乡党委政府保持高度一致。执法大队成立以来，通过5+2、节假日从不间断的综合治理，纠正店外占道经营66起、流动摊贩72起；联合执法14次拆除危房1800余平方米；联合应急管理办公室开展执法检查，收缴各类非法烟花67个，鞭炮40余件；配合林业部门查处盗伐林木案件2起；配合自然资源部门查处未批先建非法占地案件6起，巡查纠正违章停车240余台次；参与取缔存在安全隐患的赶集点4处；制止查处河道违法采砂采石行为2起。截止11月，共立案查处12起。执法大队牵头或协助各行业部门对违法违规现象的强力整治，促进了社会公序良俗向好转变，开创了依法治乡的新局面，树立了乡党委政府的权威形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9" w:hRule="atLeast"/>
        </w:trPr>
        <w:tc>
          <w:tcPr>
            <w:tcW w:w="709" w:type="dxa"/>
            <w:vMerge w:val="restart"/>
          </w:tcPr>
          <w:p>
            <w:pPr>
              <w:jc w:val="left"/>
              <w:rPr>
                <w:rFonts w:ascii="仿宋_GB2312" w:eastAsia="仿宋_GB2312"/>
                <w:sz w:val="24"/>
              </w:rPr>
            </w:pPr>
            <w:r>
              <w:rPr>
                <w:rFonts w:hint="eastAsia" w:ascii="仿宋_GB2312" w:eastAsia="仿宋_GB2312"/>
                <w:sz w:val="24"/>
              </w:rPr>
              <w:t>存在的问题分析及改进措施</w:t>
            </w:r>
          </w:p>
        </w:tc>
        <w:tc>
          <w:tcPr>
            <w:tcW w:w="1276" w:type="dxa"/>
            <w:vAlign w:val="center"/>
          </w:tcPr>
          <w:p>
            <w:pPr>
              <w:ind w:firstLine="33" w:firstLineChars="14"/>
              <w:jc w:val="center"/>
              <w:rPr>
                <w:rFonts w:ascii="仿宋_GB2312" w:eastAsia="仿宋_GB2312"/>
                <w:sz w:val="24"/>
              </w:rPr>
            </w:pPr>
            <w:r>
              <w:rPr>
                <w:rFonts w:hint="eastAsia" w:ascii="仿宋_GB2312" w:eastAsia="仿宋_GB2312"/>
                <w:sz w:val="24"/>
              </w:rPr>
              <w:t>存在的</w:t>
            </w:r>
          </w:p>
          <w:p>
            <w:pPr>
              <w:ind w:firstLine="33" w:firstLineChars="14"/>
              <w:jc w:val="center"/>
              <w:rPr>
                <w:rFonts w:ascii="仿宋_GB2312" w:eastAsia="仿宋_GB2312"/>
                <w:sz w:val="24"/>
              </w:rPr>
            </w:pPr>
            <w:r>
              <w:rPr>
                <w:rFonts w:hint="eastAsia" w:ascii="仿宋_GB2312" w:eastAsia="仿宋_GB2312"/>
                <w:sz w:val="24"/>
              </w:rPr>
              <w:t>问题</w:t>
            </w:r>
          </w:p>
        </w:tc>
        <w:tc>
          <w:tcPr>
            <w:tcW w:w="8137" w:type="dxa"/>
            <w:vAlign w:val="center"/>
          </w:tcPr>
          <w:p>
            <w:pPr>
              <w:spacing w:line="360" w:lineRule="auto"/>
              <w:ind w:firstLine="513" w:firstLineChars="214"/>
              <w:jc w:val="left"/>
              <w:rPr>
                <w:rFonts w:ascii="仿宋_GB2312" w:eastAsia="仿宋_GB2312"/>
                <w:sz w:val="24"/>
              </w:rPr>
            </w:pPr>
            <w:r>
              <w:rPr>
                <w:rFonts w:hint="eastAsia" w:ascii="仿宋_GB2312" w:eastAsia="仿宋_GB2312"/>
                <w:sz w:val="24"/>
              </w:rPr>
              <w:t>在肯定成绩的同时，我们必须清醒地认识到我们的工作还存在着一些困难和不足，主要表现在以下几个方面：乡域经济基础薄弱、经济总量不大、结构不优，整体发展不平衡；产业产值效益不高，特色产业总体还处在“小、散、弱”的阶段，抗风险能力不足；基础设施建设与乡村振兴要求差距大，部分村水源性缺水局面未得到根本性的扭转，公路主干线建设标准低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jc w:val="left"/>
              <w:rPr>
                <w:rFonts w:ascii="仿宋_GB2312" w:eastAsia="仿宋_GB2312"/>
                <w:sz w:val="24"/>
              </w:rPr>
            </w:pPr>
            <w:r>
              <w:rPr>
                <w:rFonts w:hint="eastAsia" w:ascii="仿宋_GB2312" w:eastAsia="仿宋_GB2312"/>
                <w:sz w:val="24"/>
              </w:rPr>
              <w:t>改进措施</w:t>
            </w:r>
          </w:p>
        </w:tc>
        <w:tc>
          <w:tcPr>
            <w:tcW w:w="8137" w:type="dxa"/>
            <w:vAlign w:val="center"/>
          </w:tcPr>
          <w:p>
            <w:pPr>
              <w:spacing w:line="360" w:lineRule="auto"/>
              <w:ind w:firstLine="480" w:firstLineChars="200"/>
              <w:jc w:val="left"/>
              <w:rPr>
                <w:rFonts w:ascii="仿宋_GB2312" w:eastAsia="仿宋_GB2312"/>
                <w:sz w:val="24"/>
              </w:rPr>
            </w:pPr>
            <w:r>
              <w:rPr>
                <w:rFonts w:hint="eastAsia" w:ascii="仿宋_GB2312" w:eastAsia="仿宋_GB2312"/>
                <w:sz w:val="24"/>
              </w:rPr>
              <w:t>本</w:t>
            </w:r>
            <w:r>
              <w:rPr>
                <w:rFonts w:ascii="仿宋_GB2312" w:eastAsia="仿宋_GB2312"/>
                <w:sz w:val="24"/>
              </w:rPr>
              <w:t>单位</w:t>
            </w:r>
            <w:r>
              <w:rPr>
                <w:rFonts w:hint="eastAsia" w:ascii="仿宋_GB2312" w:eastAsia="仿宋_GB2312"/>
                <w:sz w:val="24"/>
              </w:rPr>
              <w:t>对</w:t>
            </w:r>
            <w:r>
              <w:rPr>
                <w:rFonts w:ascii="仿宋_GB2312" w:eastAsia="仿宋_GB2312"/>
                <w:sz w:val="24"/>
              </w:rPr>
              <w:t>上述问题</w:t>
            </w:r>
            <w:r>
              <w:rPr>
                <w:rFonts w:hint="eastAsia" w:ascii="仿宋_GB2312" w:eastAsia="仿宋_GB2312"/>
                <w:sz w:val="24"/>
              </w:rPr>
              <w:t>高度重视，切实加以解决。优化产业结构，开源节流；以“一园、一湖、一库、一区”（碧泉潭园区、唐家湖湿地、东风水库、东风街镇区）为乡域经济社会发展主阵地，坚决在党的领导下，深入推进实施“乡村振兴”行动，逐步让农业成为有奔头的产业，让农民成为有吸引力的职业，让农村成为安居乐业的美丽家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709" w:type="dxa"/>
            <w:vMerge w:val="continue"/>
          </w:tcPr>
          <w:p>
            <w:pPr>
              <w:spacing w:line="576" w:lineRule="exact"/>
              <w:jc w:val="center"/>
              <w:rPr>
                <w:rFonts w:ascii="仿宋_GB2312" w:hAnsi="仿宋" w:eastAsia="仿宋_GB2312" w:cs="方正小标宋简体"/>
                <w:sz w:val="24"/>
              </w:rPr>
            </w:pPr>
          </w:p>
        </w:tc>
        <w:tc>
          <w:tcPr>
            <w:tcW w:w="1276" w:type="dxa"/>
            <w:vAlign w:val="center"/>
          </w:tcPr>
          <w:p>
            <w:pPr>
              <w:jc w:val="center"/>
              <w:rPr>
                <w:rFonts w:ascii="仿宋_GB2312" w:eastAsia="仿宋_GB2312"/>
                <w:sz w:val="24"/>
              </w:rPr>
            </w:pPr>
            <w:r>
              <w:rPr>
                <w:rFonts w:hint="eastAsia" w:ascii="仿宋_GB2312" w:eastAsia="仿宋_GB2312"/>
                <w:sz w:val="24"/>
              </w:rPr>
              <w:t>其他需要说明的</w:t>
            </w:r>
          </w:p>
          <w:p>
            <w:pPr>
              <w:jc w:val="center"/>
              <w:rPr>
                <w:rFonts w:ascii="仿宋_GB2312" w:eastAsia="仿宋_GB2312"/>
                <w:sz w:val="24"/>
              </w:rPr>
            </w:pPr>
            <w:r>
              <w:rPr>
                <w:rFonts w:hint="eastAsia" w:ascii="仿宋_GB2312" w:eastAsia="仿宋_GB2312"/>
                <w:sz w:val="24"/>
              </w:rPr>
              <w:t>问题</w:t>
            </w:r>
          </w:p>
        </w:tc>
        <w:tc>
          <w:tcPr>
            <w:tcW w:w="8137" w:type="dxa"/>
            <w:vAlign w:val="center"/>
          </w:tcPr>
          <w:p>
            <w:pPr>
              <w:ind w:firstLine="480" w:firstLineChars="200"/>
              <w:rPr>
                <w:rFonts w:ascii="仿宋_GB2312" w:hAnsi="仿宋" w:eastAsia="仿宋_GB2312" w:cs="方正小标宋简体"/>
                <w:sz w:val="24"/>
              </w:rPr>
            </w:pPr>
            <w:r>
              <w:rPr>
                <w:rFonts w:hint="eastAsia" w:ascii="仿宋_GB2312" w:eastAsia="仿宋_GB2312"/>
                <w:sz w:val="24"/>
              </w:rPr>
              <w:t>无</w:t>
            </w:r>
          </w:p>
        </w:tc>
      </w:tr>
    </w:tbl>
    <w:p>
      <w:pPr>
        <w:ind w:firstLine="643" w:firstLineChars="200"/>
        <w:rPr>
          <w:rFonts w:ascii="宋体" w:hAnsi="宋体" w:cs="宋体"/>
          <w:b/>
          <w:color w:val="000000"/>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00" w:usb3="00000000" w:csb0="0004009F" w:csb1="DFD7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2000000000000000000"/>
    <w:charset w:val="86"/>
    <w:family w:val="script"/>
    <w:pitch w:val="default"/>
    <w:sig w:usb0="00000001" w:usb1="08000000" w:usb2="00000000" w:usb3="00000000" w:csb0="00040000" w:csb1="00000000"/>
  </w:font>
  <w:font w:name="等线">
    <w:altName w:val="微软雅黑"/>
    <w:panose1 w:val="00000000000000000000"/>
    <w:charset w:val="86"/>
    <w:family w:val="auto"/>
    <w:pitch w:val="default"/>
    <w:sig w:usb0="00000000" w:usb1="00000000"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gxMjliNjg2OWU3ZjMwNzZlMjYzMGE3MGJhYjQyOTIifQ=="/>
  </w:docVars>
  <w:rsids>
    <w:rsidRoot w:val="009C476E"/>
    <w:rsid w:val="000C71B8"/>
    <w:rsid w:val="00142816"/>
    <w:rsid w:val="001B2170"/>
    <w:rsid w:val="002C111D"/>
    <w:rsid w:val="002D726C"/>
    <w:rsid w:val="003E0245"/>
    <w:rsid w:val="003F56AE"/>
    <w:rsid w:val="00451386"/>
    <w:rsid w:val="005B14B1"/>
    <w:rsid w:val="006B4EEA"/>
    <w:rsid w:val="00726F3C"/>
    <w:rsid w:val="007733F1"/>
    <w:rsid w:val="00872F8C"/>
    <w:rsid w:val="00912799"/>
    <w:rsid w:val="00927DAB"/>
    <w:rsid w:val="009502E9"/>
    <w:rsid w:val="009C476E"/>
    <w:rsid w:val="00A573A9"/>
    <w:rsid w:val="00AA06EF"/>
    <w:rsid w:val="00AC3821"/>
    <w:rsid w:val="00C96B21"/>
    <w:rsid w:val="00CC1FEF"/>
    <w:rsid w:val="00E42AC0"/>
    <w:rsid w:val="00EB372A"/>
    <w:rsid w:val="00F6394E"/>
    <w:rsid w:val="27AE0B7D"/>
    <w:rsid w:val="3106021B"/>
    <w:rsid w:val="54FC065D"/>
    <w:rsid w:val="59E477BD"/>
    <w:rsid w:val="77777D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customStyle="1" w:styleId="8">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character" w:customStyle="1" w:styleId="9">
    <w:name w:val="批注框文本 Char"/>
    <w:basedOn w:val="7"/>
    <w:link w:val="2"/>
    <w:semiHidden/>
    <w:qFormat/>
    <w:uiPriority w:val="99"/>
    <w:rPr>
      <w:rFonts w:ascii="Calibri" w:hAnsi="Calibri" w:eastAsia="宋体" w:cs="Calibri"/>
      <w:sz w:val="18"/>
      <w:szCs w:val="18"/>
    </w:rPr>
  </w:style>
  <w:style w:type="character" w:customStyle="1" w:styleId="10">
    <w:name w:val="页脚 Char"/>
    <w:basedOn w:val="7"/>
    <w:link w:val="3"/>
    <w:qFormat/>
    <w:uiPriority w:val="99"/>
    <w:rPr>
      <w:rFonts w:ascii="Calibri" w:hAnsi="Calibri" w:eastAsia="宋体" w:cs="Calibri"/>
      <w:sz w:val="18"/>
      <w:szCs w:val="18"/>
    </w:rPr>
  </w:style>
  <w:style w:type="character" w:customStyle="1" w:styleId="11">
    <w:name w:val="页眉 Char"/>
    <w:basedOn w:val="7"/>
    <w:link w:val="4"/>
    <w:qFormat/>
    <w:uiPriority w:val="99"/>
    <w:rPr>
      <w:rFonts w:ascii="Calibri" w:hAnsi="Calibri" w:eastAsia="宋体" w:cs="Calibri"/>
      <w:sz w:val="18"/>
      <w:szCs w:val="18"/>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37</Pages>
  <Words>13127</Words>
  <Characters>17443</Characters>
  <Lines>144</Lines>
  <Paragraphs>40</Paragraphs>
  <TotalTime>7</TotalTime>
  <ScaleCrop>false</ScaleCrop>
  <LinksUpToDate>false</LinksUpToDate>
  <CharactersWithSpaces>18145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2021-08-06T07:09:00Z</dcterms:created>
  <dc:creator>Administrator</dc:creator>
  <cp:lastModifiedBy>胡钦</cp:lastModifiedBy>
  <dcterms:modified xsi:type="dcterms:W3CDTF">2022-06-20T13:03:25Z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C67F2F7D849F4D5B9CEE5E206EDFAB68</vt:lpwstr>
  </property>
</Properties>
</file>