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val="en-US" w:eastAsia="zh-CN"/>
        </w:rPr>
        <w:t xml:space="preserve"> </w:t>
      </w:r>
      <w:r>
        <w:rPr>
          <w:rFonts w:hint="eastAsia" w:ascii="方正小标宋简体" w:eastAsia="方正小标宋简体"/>
          <w:color w:val="auto"/>
          <w:sz w:val="44"/>
          <w:szCs w:val="44"/>
          <w:highlight w:val="none"/>
        </w:rPr>
        <w:t>2020年度湘潭县民政局部门决算</w:t>
      </w:r>
    </w:p>
    <w:p>
      <w:pPr>
        <w:pStyle w:val="10"/>
        <w:spacing w:line="480" w:lineRule="exact"/>
        <w:jc w:val="center"/>
        <w:rPr>
          <w:color w:val="auto"/>
          <w:sz w:val="36"/>
          <w:szCs w:val="28"/>
          <w:highlight w:val="none"/>
        </w:rPr>
      </w:pPr>
      <w:r>
        <w:rPr>
          <w:rFonts w:hint="eastAsia"/>
          <w:color w:val="auto"/>
          <w:sz w:val="36"/>
          <w:szCs w:val="28"/>
          <w:highlight w:val="none"/>
        </w:rPr>
        <w:t>目录</w:t>
      </w:r>
    </w:p>
    <w:p>
      <w:pPr>
        <w:pStyle w:val="10"/>
        <w:spacing w:line="480" w:lineRule="exact"/>
        <w:rPr>
          <w:rFonts w:ascii="仿宋_GB2312" w:hAnsi="仿宋_GB2312" w:cs="仿宋_GB2312"/>
          <w:color w:val="auto"/>
          <w:sz w:val="28"/>
          <w:szCs w:val="28"/>
          <w:highlight w:val="none"/>
        </w:rPr>
      </w:pPr>
      <w:r>
        <w:rPr>
          <w:rFonts w:hint="eastAsia"/>
          <w:color w:val="auto"/>
          <w:sz w:val="28"/>
          <w:szCs w:val="28"/>
          <w:highlight w:val="none"/>
        </w:rPr>
        <w:t xml:space="preserve">    第一部分湘潭县民政局单位概况</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一、部门职责</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二、机构设置</w:t>
      </w:r>
    </w:p>
    <w:p>
      <w:pPr>
        <w:pStyle w:val="10"/>
        <w:spacing w:line="480" w:lineRule="exact"/>
        <w:rPr>
          <w:rFonts w:ascii="仿宋_GB2312" w:hAnsi="仿宋_GB2312" w:cs="仿宋_GB2312"/>
          <w:color w:val="auto"/>
          <w:sz w:val="28"/>
          <w:szCs w:val="28"/>
          <w:highlight w:val="none"/>
        </w:rPr>
      </w:pPr>
      <w:r>
        <w:rPr>
          <w:rFonts w:hint="eastAsia" w:hAnsi="仿宋_GB2312"/>
          <w:color w:val="auto"/>
          <w:sz w:val="28"/>
          <w:szCs w:val="28"/>
          <w:highlight w:val="none"/>
        </w:rPr>
        <w:t xml:space="preserve">    第二部分</w:t>
      </w:r>
      <w:r>
        <w:rPr>
          <w:rFonts w:hAnsi="仿宋_GB2312"/>
          <w:color w:val="auto"/>
          <w:sz w:val="28"/>
          <w:szCs w:val="28"/>
          <w:highlight w:val="none"/>
        </w:rPr>
        <w:t>20</w:t>
      </w:r>
      <w:r>
        <w:rPr>
          <w:rFonts w:hint="eastAsia" w:hAnsi="仿宋_GB2312"/>
          <w:color w:val="auto"/>
          <w:sz w:val="28"/>
          <w:szCs w:val="28"/>
          <w:highlight w:val="none"/>
        </w:rPr>
        <w:t>20年度部门决算表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一、收入支出决算总表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二、收入决算表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三、支出决算表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四、财政拨款收入支出决算总表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五、一般公共预算财政拨款支出决算表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六、一般公共预算财政拨款基本支出决算表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七、一般公共预算财政拨款“三公”经费支出决算表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八、政府性基金预算财政拨款收入支出决算表</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hint="eastAsia" w:cs="仿宋_GB2312" w:asciiTheme="minorEastAsia" w:hAnsiTheme="minorEastAsia" w:eastAsiaTheme="minorEastAsia"/>
          <w:color w:val="auto"/>
          <w:sz w:val="28"/>
          <w:szCs w:val="28"/>
          <w:highlight w:val="none"/>
          <w:lang w:val="en-US" w:eastAsia="zh-CN"/>
        </w:rPr>
        <w:t>九、国有资本经营预算财政拨款支出决算表</w:t>
      </w:r>
    </w:p>
    <w:p>
      <w:pPr>
        <w:pStyle w:val="10"/>
        <w:spacing w:line="480" w:lineRule="exact"/>
        <w:rPr>
          <w:rFonts w:ascii="仿宋_GB2312" w:hAnsi="仿宋_GB2312" w:cs="仿宋_GB2312"/>
          <w:color w:val="auto"/>
          <w:sz w:val="28"/>
          <w:szCs w:val="28"/>
          <w:highlight w:val="none"/>
        </w:rPr>
      </w:pPr>
      <w:r>
        <w:rPr>
          <w:rFonts w:hint="eastAsia" w:hAnsi="仿宋_GB2312"/>
          <w:color w:val="auto"/>
          <w:sz w:val="28"/>
          <w:szCs w:val="28"/>
          <w:highlight w:val="none"/>
        </w:rPr>
        <w:t xml:space="preserve">    第三部分</w:t>
      </w:r>
      <w:r>
        <w:rPr>
          <w:rFonts w:hAnsi="仿宋_GB2312"/>
          <w:color w:val="auto"/>
          <w:sz w:val="28"/>
          <w:szCs w:val="28"/>
          <w:highlight w:val="none"/>
        </w:rPr>
        <w:t>20</w:t>
      </w:r>
      <w:r>
        <w:rPr>
          <w:rFonts w:hint="eastAsia" w:hAnsi="仿宋_GB2312"/>
          <w:color w:val="auto"/>
          <w:sz w:val="28"/>
          <w:szCs w:val="28"/>
          <w:highlight w:val="none"/>
        </w:rPr>
        <w:t>20年度部门决算情况说明</w:t>
      </w:r>
    </w:p>
    <w:p>
      <w:pPr>
        <w:pStyle w:val="10"/>
        <w:spacing w:line="480" w:lineRule="exact"/>
        <w:ind w:firstLine="700" w:firstLineChars="250"/>
        <w:rPr>
          <w:rFonts w:cs="仿宋_GB2312" w:asciiTheme="minorEastAsia" w:hAnsiTheme="minorEastAsia" w:eastAsiaTheme="minorEastAsia"/>
          <w:color w:val="auto"/>
          <w:sz w:val="28"/>
          <w:szCs w:val="28"/>
          <w:highlight w:val="none"/>
        </w:rPr>
      </w:pPr>
      <w:r>
        <w:rPr>
          <w:rFonts w:cs="仿宋_GB2312" w:asciiTheme="minorEastAsia" w:hAnsiTheme="minorEastAsia" w:eastAsiaTheme="minorEastAsia"/>
          <w:color w:val="auto"/>
          <w:sz w:val="28"/>
          <w:szCs w:val="28"/>
          <w:highlight w:val="none"/>
        </w:rPr>
        <w:t>一、收入支出决算总体情况说明</w:t>
      </w:r>
    </w:p>
    <w:p>
      <w:pPr>
        <w:spacing w:line="480" w:lineRule="exact"/>
        <w:ind w:firstLine="700" w:firstLineChars="250"/>
        <w:jc w:val="left"/>
        <w:rPr>
          <w:rFonts w:ascii="仿宋_GB2312" w:hAnsi="仿宋_GB2312" w:cs="仿宋_GB2312"/>
          <w:color w:val="auto"/>
          <w:sz w:val="28"/>
          <w:szCs w:val="28"/>
          <w:highlight w:val="none"/>
        </w:rPr>
      </w:pPr>
      <w:r>
        <w:rPr>
          <w:rFonts w:ascii="仿宋_GB2312" w:hAnsi="仿宋_GB2312" w:cs="仿宋_GB2312"/>
          <w:color w:val="auto"/>
          <w:sz w:val="28"/>
          <w:szCs w:val="28"/>
          <w:highlight w:val="none"/>
        </w:rPr>
        <w:t>二、收入决算情况说明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ascii="仿宋_GB2312" w:hAnsi="仿宋_GB2312" w:cs="仿宋_GB2312"/>
          <w:color w:val="auto"/>
          <w:kern w:val="0"/>
          <w:sz w:val="28"/>
          <w:szCs w:val="28"/>
          <w:highlight w:val="none"/>
        </w:rPr>
        <w:t>三、支出决算情况说明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ascii="仿宋_GB2312" w:hAnsi="仿宋_GB2312" w:cs="仿宋_GB2312"/>
          <w:color w:val="auto"/>
          <w:kern w:val="0"/>
          <w:sz w:val="28"/>
          <w:szCs w:val="28"/>
          <w:highlight w:val="none"/>
        </w:rPr>
        <w:t>四、财政拨款收入支出决算总体情况说明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ascii="仿宋_GB2312" w:hAnsi="仿宋_GB2312" w:cs="仿宋_GB2312"/>
          <w:color w:val="auto"/>
          <w:kern w:val="0"/>
          <w:sz w:val="28"/>
          <w:szCs w:val="28"/>
          <w:highlight w:val="none"/>
        </w:rPr>
        <w:t>五、一般公共预算财政拨款支出决算情况说明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ascii="仿宋_GB2312" w:hAnsi="仿宋_GB2312" w:cs="仿宋_GB2312"/>
          <w:color w:val="auto"/>
          <w:kern w:val="0"/>
          <w:sz w:val="28"/>
          <w:szCs w:val="28"/>
          <w:highlight w:val="none"/>
        </w:rPr>
        <w:t>六、一般公共预算财政拨款基本支出决算情况说明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ascii="仿宋_GB2312" w:hAnsi="仿宋_GB2312" w:cs="仿宋_GB2312"/>
          <w:color w:val="auto"/>
          <w:kern w:val="0"/>
          <w:sz w:val="28"/>
          <w:szCs w:val="28"/>
          <w:highlight w:val="none"/>
        </w:rPr>
        <w:t>七、一般公共预算财政拨款三公经费支出决算情况说明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hint="eastAsia" w:ascii="仿宋_GB2312" w:hAnsi="仿宋_GB2312" w:cs="仿宋_GB2312"/>
          <w:color w:val="auto"/>
          <w:kern w:val="0"/>
          <w:sz w:val="28"/>
          <w:szCs w:val="28"/>
          <w:highlight w:val="none"/>
        </w:rPr>
        <w:t>八</w:t>
      </w:r>
      <w:r>
        <w:rPr>
          <w:rFonts w:ascii="仿宋_GB2312" w:hAnsi="仿宋_GB2312" w:cs="仿宋_GB2312"/>
          <w:color w:val="auto"/>
          <w:kern w:val="0"/>
          <w:sz w:val="28"/>
          <w:szCs w:val="28"/>
          <w:highlight w:val="none"/>
        </w:rPr>
        <w:t>、</w:t>
      </w:r>
      <w:r>
        <w:rPr>
          <w:rFonts w:hint="eastAsia" w:ascii="仿宋_GB2312" w:hAnsi="仿宋_GB2312" w:cs="仿宋_GB2312"/>
          <w:color w:val="auto"/>
          <w:kern w:val="0"/>
          <w:sz w:val="28"/>
          <w:szCs w:val="28"/>
          <w:highlight w:val="none"/>
        </w:rPr>
        <w:t>政府性基金预算收入支出决算情况</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hint="eastAsia" w:ascii="仿宋_GB2312" w:hAnsi="仿宋_GB2312" w:cs="仿宋_GB2312"/>
          <w:color w:val="auto"/>
          <w:kern w:val="0"/>
          <w:sz w:val="28"/>
          <w:szCs w:val="28"/>
          <w:highlight w:val="none"/>
        </w:rPr>
        <w:t>九</w:t>
      </w:r>
      <w:r>
        <w:rPr>
          <w:rFonts w:ascii="仿宋_GB2312" w:hAnsi="仿宋_GB2312" w:cs="仿宋_GB2312"/>
          <w:color w:val="auto"/>
          <w:kern w:val="0"/>
          <w:sz w:val="28"/>
          <w:szCs w:val="28"/>
          <w:highlight w:val="none"/>
        </w:rPr>
        <w:t>、</w:t>
      </w:r>
      <w:r>
        <w:rPr>
          <w:rFonts w:hint="eastAsia" w:ascii="仿宋_GB2312" w:hAnsi="仿宋_GB2312" w:cs="仿宋_GB2312"/>
          <w:color w:val="auto"/>
          <w:kern w:val="0"/>
          <w:sz w:val="28"/>
          <w:szCs w:val="28"/>
          <w:highlight w:val="none"/>
        </w:rPr>
        <w:t>国有资本经营预算财政拨款支出决算情况</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hint="eastAsia" w:ascii="仿宋_GB2312" w:hAnsi="仿宋_GB2312" w:cs="仿宋_GB2312"/>
          <w:color w:val="auto"/>
          <w:kern w:val="0"/>
          <w:sz w:val="28"/>
          <w:szCs w:val="28"/>
          <w:highlight w:val="none"/>
        </w:rPr>
        <w:t>十、</w:t>
      </w:r>
      <w:r>
        <w:rPr>
          <w:rFonts w:ascii="仿宋_GB2312" w:hAnsi="仿宋_GB2312" w:cs="仿宋_GB2312"/>
          <w:color w:val="auto"/>
          <w:kern w:val="0"/>
          <w:sz w:val="28"/>
          <w:szCs w:val="28"/>
          <w:highlight w:val="none"/>
        </w:rPr>
        <w:t>关于</w:t>
      </w:r>
      <w:r>
        <w:rPr>
          <w:rFonts w:hint="eastAsia" w:ascii="仿宋_GB2312" w:hAnsi="仿宋_GB2312" w:cs="仿宋_GB2312"/>
          <w:color w:val="auto"/>
          <w:kern w:val="0"/>
          <w:sz w:val="28"/>
          <w:szCs w:val="28"/>
          <w:highlight w:val="none"/>
          <w:lang w:val="en-US" w:eastAsia="zh-CN"/>
        </w:rPr>
        <w:t>2020</w:t>
      </w:r>
      <w:r>
        <w:rPr>
          <w:rFonts w:ascii="仿宋_GB2312" w:hAnsi="仿宋_GB2312" w:cs="仿宋_GB2312"/>
          <w:color w:val="auto"/>
          <w:kern w:val="0"/>
          <w:sz w:val="28"/>
          <w:szCs w:val="28"/>
          <w:highlight w:val="none"/>
        </w:rPr>
        <w:t>年度预算绩效情况说明</w:t>
      </w:r>
    </w:p>
    <w:p>
      <w:pPr>
        <w:autoSpaceDE w:val="0"/>
        <w:autoSpaceDN w:val="0"/>
        <w:adjustRightInd w:val="0"/>
        <w:spacing w:line="480" w:lineRule="exact"/>
        <w:ind w:firstLine="700" w:firstLineChars="250"/>
        <w:jc w:val="left"/>
        <w:rPr>
          <w:rFonts w:ascii="仿宋_GB2312" w:hAnsi="仿宋_GB2312" w:cs="仿宋_GB2312"/>
          <w:color w:val="auto"/>
          <w:kern w:val="0"/>
          <w:sz w:val="28"/>
          <w:szCs w:val="28"/>
          <w:highlight w:val="none"/>
        </w:rPr>
      </w:pPr>
      <w:r>
        <w:rPr>
          <w:rFonts w:hint="eastAsia" w:ascii="仿宋_GB2312" w:hAnsi="仿宋_GB2312" w:cs="仿宋_GB2312"/>
          <w:color w:val="auto"/>
          <w:kern w:val="0"/>
          <w:sz w:val="28"/>
          <w:szCs w:val="28"/>
          <w:highlight w:val="none"/>
        </w:rPr>
        <w:t>十一、</w:t>
      </w:r>
      <w:r>
        <w:rPr>
          <w:rFonts w:ascii="仿宋_GB2312" w:hAnsi="仿宋_GB2312" w:cs="仿宋_GB2312"/>
          <w:color w:val="auto"/>
          <w:kern w:val="0"/>
          <w:sz w:val="28"/>
          <w:szCs w:val="28"/>
          <w:highlight w:val="none"/>
        </w:rPr>
        <w:t>其他重要事项情况说明</w:t>
      </w:r>
    </w:p>
    <w:p>
      <w:pPr>
        <w:autoSpaceDE w:val="0"/>
        <w:autoSpaceDN w:val="0"/>
        <w:adjustRightInd w:val="0"/>
        <w:spacing w:line="480" w:lineRule="exact"/>
        <w:jc w:val="left"/>
        <w:rPr>
          <w:rFonts w:ascii="黑体" w:hAnsi="黑体" w:eastAsia="黑体" w:cs="黑体"/>
          <w:color w:val="auto"/>
          <w:kern w:val="0"/>
          <w:sz w:val="28"/>
          <w:szCs w:val="28"/>
          <w:highlight w:val="none"/>
        </w:rPr>
      </w:pPr>
      <w:r>
        <w:rPr>
          <w:rFonts w:hint="eastAsia" w:ascii="黑体" w:hAnsi="黑体" w:eastAsia="黑体" w:cs="黑体"/>
          <w:color w:val="auto"/>
          <w:kern w:val="0"/>
          <w:sz w:val="28"/>
          <w:szCs w:val="28"/>
          <w:highlight w:val="none"/>
        </w:rPr>
        <w:t xml:space="preserve">    </w:t>
      </w:r>
      <w:r>
        <w:rPr>
          <w:rFonts w:ascii="黑体" w:hAnsi="黑体" w:eastAsia="黑体" w:cs="黑体"/>
          <w:color w:val="auto"/>
          <w:kern w:val="0"/>
          <w:sz w:val="28"/>
          <w:szCs w:val="28"/>
          <w:highlight w:val="none"/>
        </w:rPr>
        <w:t>第四部分名词解释</w:t>
      </w:r>
    </w:p>
    <w:p>
      <w:pPr>
        <w:autoSpaceDE w:val="0"/>
        <w:autoSpaceDN w:val="0"/>
        <w:adjustRightInd w:val="0"/>
        <w:spacing w:line="480" w:lineRule="exact"/>
        <w:jc w:val="left"/>
        <w:rPr>
          <w:rFonts w:ascii="黑体" w:hAnsi="黑体" w:eastAsia="黑体" w:cs="仿宋_GB2312"/>
          <w:color w:val="auto"/>
          <w:kern w:val="0"/>
          <w:sz w:val="28"/>
          <w:szCs w:val="28"/>
          <w:highlight w:val="none"/>
        </w:rPr>
      </w:pPr>
      <w:r>
        <w:rPr>
          <w:rFonts w:hint="eastAsia" w:ascii="黑体" w:hAnsi="黑体" w:eastAsia="黑体" w:cs="黑体"/>
          <w:color w:val="auto"/>
          <w:kern w:val="0"/>
          <w:sz w:val="28"/>
          <w:szCs w:val="28"/>
          <w:highlight w:val="none"/>
        </w:rPr>
        <w:t xml:space="preserve">    第五部分附件</w:t>
      </w:r>
    </w:p>
    <w:p>
      <w:pPr>
        <w:pStyle w:val="10"/>
        <w:jc w:val="center"/>
        <w:rPr>
          <w:rFonts w:hint="eastAsia" w:ascii="方正小标宋简体" w:eastAsia="方正小标宋简体"/>
          <w:color w:val="auto"/>
          <w:sz w:val="32"/>
          <w:szCs w:val="32"/>
          <w:highlight w:val="none"/>
        </w:rPr>
      </w:pPr>
    </w:p>
    <w:p>
      <w:pPr>
        <w:pStyle w:val="10"/>
        <w:jc w:val="center"/>
        <w:rPr>
          <w:rFonts w:hint="eastAsia" w:ascii="方正小标宋简体" w:eastAsia="方正小标宋简体"/>
          <w:color w:val="auto"/>
          <w:sz w:val="32"/>
          <w:szCs w:val="32"/>
          <w:highlight w:val="none"/>
        </w:rPr>
      </w:pPr>
    </w:p>
    <w:p>
      <w:pPr>
        <w:pStyle w:val="10"/>
        <w:jc w:val="center"/>
        <w:rPr>
          <w:rFonts w:hint="eastAsia" w:ascii="方正小标宋简体" w:eastAsia="方正小标宋简体"/>
          <w:color w:val="auto"/>
          <w:sz w:val="32"/>
          <w:szCs w:val="32"/>
          <w:highlight w:val="none"/>
        </w:rPr>
      </w:pPr>
    </w:p>
    <w:p>
      <w:pPr>
        <w:pStyle w:val="10"/>
        <w:jc w:val="center"/>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第一部分：湘潭县民政局概况</w:t>
      </w:r>
    </w:p>
    <w:p>
      <w:pPr>
        <w:pStyle w:val="11"/>
        <w:ind w:left="720" w:firstLine="0" w:firstLineChars="0"/>
        <w:jc w:val="left"/>
        <w:rPr>
          <w:rFonts w:ascii="黑体" w:hAnsi="黑体" w:eastAsia="黑体"/>
          <w:color w:val="auto"/>
          <w:sz w:val="32"/>
          <w:szCs w:val="32"/>
          <w:highlight w:val="none"/>
        </w:rPr>
      </w:pPr>
      <w:r>
        <w:rPr>
          <w:rFonts w:hint="eastAsia" w:ascii="黑体" w:hAnsi="黑体" w:eastAsia="黑体"/>
          <w:color w:val="auto"/>
          <w:sz w:val="32"/>
          <w:szCs w:val="32"/>
          <w:highlight w:val="none"/>
        </w:rPr>
        <w:t>一、</w:t>
      </w:r>
      <w:r>
        <w:rPr>
          <w:rFonts w:ascii="黑体" w:hAnsi="黑体" w:eastAsia="黑体"/>
          <w:color w:val="auto"/>
          <w:sz w:val="32"/>
          <w:szCs w:val="32"/>
          <w:highlight w:val="none"/>
        </w:rPr>
        <w:t>部门职责</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（一）负责全县城乡基层群众自治组织建设和社区治理的有关政策、规定草案,拟订相关制度并组织实施。研究提出加强和改进城乡基层政权建设的意见和建议。</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（二）负责全县行政区划、地名管理和行政区域界线管理的地方性规定并组织实施。负责县、乡镇行政区划变更和政府驻地迁移的审核报批工作。承办市民政局交办的与友邻县、市、区的边界勘定工作。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三）承办全县社会组织的管理规划、发展培育。按照管辖权限承办社会团体、基金会、民办非企业单位的登记管理、年检和执法监察工作。查处非法社会组织和依法处理社会组织的违法行为。承担社会组织的信息管理工作。负责开展、推动本系统主管的社会组织党建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（四）承担本系统权责清单制度建设、动态调整等工作。负责局机关规范性文件和重大执法案件处罚、重大行政决策的合法性审核工作。指导规范民政行政执法。承担局机关行政复议</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行政赔偿和行政诉讼的具体工作。</w:t>
      </w:r>
    </w:p>
    <w:p>
      <w:pPr>
        <w:spacing w:line="560" w:lineRule="exact"/>
        <w:ind w:firstLine="640" w:firstLineChars="20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（五）负责制定社会救助具体工作措施,协调有关部门落实各项配套救助政策。负责全县城乡低保、临时救助、救急难、特困人员救助供养工作。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负责社会救助的日常管理工作。负责六十年代精减退职老职工生活补助费的审核。完成局党组交办的其他工作任务。</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六）承担老年人福利工作,拟订实施全县老年人福利补贴制度和养老服务体系建设规划、政策、标准。协调推进县域农村留守老年人关爱服务工作，指导养老服务、老年人福利、特困人员救助供养机构的建设和监督管理。指导社会力量兴办社会养老服务机构,指导社会化养老工作。负责民办养老机构的备案,指导养老机构的日常管理。</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七）拟订全县儿童福利、孤弃儿童保障、儿童救助保护政策、标准。健全农村留守儿童关爱服务体系和落实孤儿、困境儿童保障制度。指导儿童福利、救助保护机构管理工作。监督实施收养法律法规。负责儿童收养登记管理工作。宣传贯彻国家关于留守人员关爱工作的法律、法规和政策。</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八）贯彻执行国家殡葬管理政策,拟订全县性政策规定、相关制度,推进殡葬改革。负责对本县内农村公益性墓地的设立许可受理和审查。负责对全县殡葬服务单位设施建设的指导。监督管理县域内殡葬活动，依法查处违法违规殡葬行为。监督管理县域内火化殡仪馆、公墓、墓地、骨灰存（安）放处（室、堂）等殡葬服务单位。指导残疾人等特殊群体的权益保障工作,负责困难残疾人生活补贴和重度残疾人护理补贴资格审查及监督管理工作。</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九）负责组织和指导全县公益性社会捐助和社会捐赠活动的开展。负责捐赠资金及日常募捐箱的管理。负责慈善组织和各党政机关、企事业单位以及社会各界慈善组织的联系和协调。根据相关规定,及时组织召开县慈善会理事会和会员代表大会。会同有关部门按规定拟订全县社会工作地方性政策文件和发展规划、职业规范,推进社会工作人才队伍建设和相关志愿者队伍建设。</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（十）制定城乡救助申请家庭收入核查办法和流程。</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负责城乡居民最低生活保障救助、临时救助、保障性住房等社会保障项目所涉居民经济状况核对工作。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受委托承担特定对象的经济状况复核工作。指导和检查乡镇开展居民家庭经济状况核对相关工作。</w:t>
      </w:r>
      <w:r>
        <w:rPr>
          <w:rFonts w:ascii="Calibri" w:hAnsi="Calibri" w:eastAsia="仿宋"/>
          <w:color w:val="auto"/>
          <w:sz w:val="32"/>
          <w:szCs w:val="24"/>
          <w:highlight w:val="none"/>
          <w:shd w:val="clear" w:color="auto" w:fill="FFFFFF"/>
        </w:rPr>
        <w:t> </w:t>
      </w:r>
      <w:r>
        <w:rPr>
          <w:rFonts w:hint="eastAsia" w:ascii="仿宋" w:hAnsi="仿宋" w:eastAsia="仿宋"/>
          <w:color w:val="auto"/>
          <w:sz w:val="32"/>
          <w:szCs w:val="24"/>
          <w:highlight w:val="none"/>
          <w:shd w:val="clear" w:color="auto" w:fill="FFFFFF"/>
        </w:rPr>
        <w:t>开展居民经济状况数据挖掘工作,为政府提供参考依据。</w:t>
      </w:r>
    </w:p>
    <w:p>
      <w:pPr>
        <w:spacing w:line="520" w:lineRule="exact"/>
        <w:ind w:firstLine="640"/>
        <w:rPr>
          <w:rFonts w:ascii="仿宋" w:hAnsi="仿宋" w:eastAsia="仿宋"/>
          <w:color w:val="auto"/>
          <w:sz w:val="32"/>
          <w:szCs w:val="24"/>
          <w:highlight w:val="none"/>
          <w:shd w:val="clear" w:color="auto" w:fill="FFFFFF"/>
        </w:rPr>
      </w:pPr>
      <w:r>
        <w:rPr>
          <w:rFonts w:hint="eastAsia" w:ascii="仿宋" w:hAnsi="仿宋" w:eastAsia="仿宋"/>
          <w:color w:val="auto"/>
          <w:sz w:val="32"/>
          <w:szCs w:val="24"/>
          <w:highlight w:val="none"/>
          <w:shd w:val="clear" w:color="auto" w:fill="FFFFFF"/>
        </w:rPr>
        <w:t>（十一）贯彻执行城市生活无着流浪乞讨人员救助政策,拟订全县性政策规定、相关制度并组织实施。组织指导、协调城市生活无着流浪乞讨人员的救助管理和流浪未成年人的救助保护工作。负责对在救助期死亡的流浪乞讨人员和无名氏人员,经公安部门依法进行死亡鉴定后的尸体火化工作。负责组织、协调城市流浪乞讨人员救助管理工作。</w:t>
      </w:r>
    </w:p>
    <w:p>
      <w:pPr>
        <w:widowControl/>
        <w:spacing w:line="600" w:lineRule="exact"/>
        <w:rPr>
          <w:rFonts w:ascii="黑体" w:hAnsi="黑体" w:eastAsia="黑体"/>
          <w:bCs/>
          <w:color w:val="auto"/>
          <w:kern w:val="0"/>
          <w:sz w:val="32"/>
          <w:szCs w:val="32"/>
          <w:highlight w:val="none"/>
        </w:rPr>
      </w:pPr>
      <w:r>
        <w:rPr>
          <w:rFonts w:hint="eastAsia" w:ascii="黑体" w:hAnsi="黑体" w:eastAsia="黑体"/>
          <w:bCs/>
          <w:color w:val="auto"/>
          <w:kern w:val="0"/>
          <w:sz w:val="32"/>
          <w:szCs w:val="32"/>
          <w:highlight w:val="none"/>
        </w:rPr>
        <w:t xml:space="preserve">    二、机构设置及决算单位构成</w:t>
      </w:r>
    </w:p>
    <w:p>
      <w:pPr>
        <w:widowControl/>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Theme="minorEastAsia" w:hAnsiTheme="minorEastAsia"/>
          <w:bCs/>
          <w:color w:val="auto"/>
          <w:kern w:val="0"/>
          <w:sz w:val="32"/>
          <w:szCs w:val="32"/>
          <w:highlight w:val="none"/>
        </w:rPr>
        <w:t>（一）内设机构设置。湘潭县民政局内设机构包括：</w:t>
      </w:r>
      <w:r>
        <w:rPr>
          <w:rFonts w:hint="eastAsia" w:ascii="仿宋_GB2312" w:hAnsi="仿宋_GB2312" w:eastAsia="仿宋_GB2312" w:cs="仿宋_GB2312"/>
          <w:color w:val="auto"/>
          <w:kern w:val="0"/>
          <w:sz w:val="32"/>
          <w:szCs w:val="32"/>
          <w:highlight w:val="none"/>
        </w:rPr>
        <w:t>办公室、党务人事股（离退休人员管理服务股）、信访法制股、民间组织管理股（政务服务股）、优抚安置股、救灾救济股（老区办）、社会救助股、社会福利和慈善事业促进股（老龄工作股）、基层政权和社区建设股（区划地名办）、社会事务股、规划财务股、福利彩票发行中心、救助申请家庭经济状况核对中心、婚姻登记处、军队离休退休干部休养所、社会福利中心（县光荣院、县儿童福利院）、慈善会办公室、城市生活无着流浪乞讨人员救助站、留守人员关爱保护中心、殡葬执法大队。</w:t>
      </w:r>
    </w:p>
    <w:p>
      <w:pPr>
        <w:widowControl/>
        <w:shd w:val="clear" w:color="auto" w:fill="FFFFFF"/>
        <w:spacing w:line="560" w:lineRule="exact"/>
        <w:ind w:firstLine="640" w:firstLineChars="200"/>
        <w:jc w:val="left"/>
        <w:rPr>
          <w:rFonts w:ascii="仿宋_GB2312" w:hAnsi="仿宋_GB2312" w:eastAsia="仿宋_GB2312" w:cs="仿宋_GB2312"/>
          <w:color w:val="auto"/>
          <w:kern w:val="0"/>
          <w:sz w:val="32"/>
          <w:szCs w:val="32"/>
          <w:highlight w:val="none"/>
        </w:rPr>
      </w:pPr>
      <w:r>
        <w:rPr>
          <w:rFonts w:hint="eastAsia" w:asciiTheme="minorEastAsia" w:hAnsiTheme="minorEastAsia"/>
          <w:bCs/>
          <w:color w:val="auto"/>
          <w:kern w:val="0"/>
          <w:sz w:val="32"/>
          <w:szCs w:val="32"/>
          <w:highlight w:val="none"/>
        </w:rPr>
        <w:t>（二）决算单位构成。</w:t>
      </w:r>
      <w:r>
        <w:rPr>
          <w:rFonts w:hint="eastAsia" w:ascii="仿宋_GB2312" w:hAnsi="仿宋_GB2312" w:eastAsia="仿宋_GB2312" w:cs="仿宋_GB2312"/>
          <w:color w:val="auto"/>
          <w:kern w:val="0"/>
          <w:sz w:val="32"/>
          <w:szCs w:val="32"/>
          <w:highlight w:val="none"/>
        </w:rPr>
        <w:t>湘潭县民政局2020年部门决算汇总公开单位构成包括：湘潭县民政局本级及福利中心一个二级机构。</w:t>
      </w:r>
    </w:p>
    <w:p>
      <w:pPr>
        <w:widowControl/>
        <w:spacing w:line="600" w:lineRule="exact"/>
        <w:rPr>
          <w:rFonts w:asciiTheme="minorEastAsia" w:hAnsiTheme="minorEastAsia"/>
          <w:bCs/>
          <w:color w:val="auto"/>
          <w:kern w:val="0"/>
          <w:sz w:val="32"/>
          <w:szCs w:val="32"/>
          <w:highlight w:val="none"/>
        </w:rPr>
      </w:pPr>
    </w:p>
    <w:p>
      <w:pPr>
        <w:jc w:val="left"/>
        <w:rPr>
          <w:rFonts w:ascii="仿宋_GB2312" w:eastAsia="仿宋_GB2312" w:hAnsiTheme="minorEastAsia"/>
          <w:color w:val="auto"/>
          <w:sz w:val="28"/>
          <w:szCs w:val="32"/>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rFonts w:ascii="黑体" w:hAnsi="黑体" w:eastAsia="黑体"/>
          <w:color w:val="auto"/>
          <w:sz w:val="28"/>
          <w:szCs w:val="28"/>
          <w:highlight w:val="none"/>
        </w:rPr>
      </w:pPr>
    </w:p>
    <w:p>
      <w:pPr>
        <w:jc w:val="center"/>
        <w:rPr>
          <w:color w:val="auto"/>
          <w:sz w:val="72"/>
          <w:szCs w:val="72"/>
          <w:highlight w:val="none"/>
        </w:rPr>
      </w:pPr>
    </w:p>
    <w:p>
      <w:pPr>
        <w:jc w:val="center"/>
        <w:rPr>
          <w:color w:val="auto"/>
          <w:sz w:val="72"/>
          <w:szCs w:val="72"/>
          <w:highlight w:val="none"/>
        </w:rPr>
      </w:pPr>
    </w:p>
    <w:p>
      <w:pPr>
        <w:jc w:val="center"/>
        <w:rPr>
          <w:color w:val="auto"/>
          <w:sz w:val="72"/>
          <w:szCs w:val="72"/>
          <w:highlight w:val="none"/>
        </w:rPr>
      </w:pPr>
    </w:p>
    <w:p>
      <w:pPr>
        <w:jc w:val="center"/>
        <w:rPr>
          <w:color w:val="auto"/>
          <w:sz w:val="72"/>
          <w:szCs w:val="72"/>
          <w:highlight w:val="none"/>
        </w:rPr>
      </w:pPr>
    </w:p>
    <w:p>
      <w:pPr>
        <w:jc w:val="left"/>
        <w:rPr>
          <w:rFonts w:asciiTheme="minorEastAsia" w:hAnsiTheme="minorEastAsia"/>
          <w:color w:val="auto"/>
          <w:sz w:val="32"/>
          <w:szCs w:val="32"/>
          <w:highlight w:val="none"/>
        </w:rPr>
        <w:sectPr>
          <w:pgSz w:w="11906" w:h="16838"/>
          <w:pgMar w:top="720" w:right="720" w:bottom="720" w:left="720" w:header="851" w:footer="992" w:gutter="0"/>
          <w:cols w:space="425" w:num="1"/>
          <w:docGrid w:type="lines" w:linePitch="312" w:charSpace="0"/>
        </w:sectPr>
      </w:pPr>
    </w:p>
    <w:tbl>
      <w:tblPr>
        <w:tblStyle w:val="6"/>
        <w:tblpPr w:leftFromText="180" w:rightFromText="180" w:horzAnchor="margin" w:tblpXSpec="center" w:tblpY="960"/>
        <w:tblW w:w="13086" w:type="dxa"/>
        <w:tblInd w:w="0" w:type="dxa"/>
        <w:tblLayout w:type="autofit"/>
        <w:tblCellMar>
          <w:top w:w="0" w:type="dxa"/>
          <w:left w:w="108" w:type="dxa"/>
          <w:bottom w:w="0" w:type="dxa"/>
          <w:right w:w="108" w:type="dxa"/>
        </w:tblCellMar>
      </w:tblPr>
      <w:tblGrid>
        <w:gridCol w:w="3804"/>
        <w:gridCol w:w="436"/>
        <w:gridCol w:w="619"/>
        <w:gridCol w:w="587"/>
        <w:gridCol w:w="91"/>
        <w:gridCol w:w="222"/>
        <w:gridCol w:w="3197"/>
        <w:gridCol w:w="779"/>
        <w:gridCol w:w="1347"/>
        <w:gridCol w:w="606"/>
        <w:gridCol w:w="1398"/>
      </w:tblGrid>
      <w:tr>
        <w:tblPrEx>
          <w:tblCellMar>
            <w:top w:w="0" w:type="dxa"/>
            <w:left w:w="108" w:type="dxa"/>
            <w:bottom w:w="0" w:type="dxa"/>
            <w:right w:w="108" w:type="dxa"/>
          </w:tblCellMar>
        </w:tblPrEx>
        <w:trPr>
          <w:trHeight w:val="332" w:hRule="atLeast"/>
        </w:trPr>
        <w:tc>
          <w:tcPr>
            <w:tcW w:w="13086"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auto"/>
                <w:kern w:val="0"/>
                <w:sz w:val="32"/>
                <w:szCs w:val="32"/>
                <w:highlight w:val="none"/>
              </w:rPr>
            </w:pPr>
            <w:r>
              <w:rPr>
                <w:rFonts w:hint="eastAsia" w:ascii="华文中宋" w:hAnsi="华文中宋" w:eastAsia="华文中宋" w:cs="宋体"/>
                <w:color w:val="auto"/>
                <w:kern w:val="0"/>
                <w:sz w:val="32"/>
                <w:szCs w:val="32"/>
                <w:highlight w:val="none"/>
              </w:rPr>
              <w:t>收入支出决算总表</w:t>
            </w:r>
          </w:p>
        </w:tc>
      </w:tr>
      <w:tr>
        <w:tblPrEx>
          <w:tblCellMar>
            <w:top w:w="0" w:type="dxa"/>
            <w:left w:w="108" w:type="dxa"/>
            <w:bottom w:w="0" w:type="dxa"/>
            <w:right w:w="108" w:type="dxa"/>
          </w:tblCellMar>
        </w:tblPrEx>
        <w:trPr>
          <w:trHeight w:val="183" w:hRule="atLeast"/>
        </w:trPr>
        <w:tc>
          <w:tcPr>
            <w:tcW w:w="4859"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7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532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06"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8"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公开01表</w:t>
            </w:r>
          </w:p>
        </w:tc>
      </w:tr>
      <w:tr>
        <w:tblPrEx>
          <w:tblCellMar>
            <w:top w:w="0" w:type="dxa"/>
            <w:left w:w="108" w:type="dxa"/>
            <w:bottom w:w="0" w:type="dxa"/>
            <w:right w:w="108" w:type="dxa"/>
          </w:tblCellMar>
        </w:tblPrEx>
        <w:trPr>
          <w:trHeight w:val="277" w:hRule="atLeast"/>
        </w:trPr>
        <w:tc>
          <w:tcPr>
            <w:tcW w:w="4859"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部门：湘潭县民政局</w:t>
            </w:r>
          </w:p>
        </w:tc>
        <w:tc>
          <w:tcPr>
            <w:tcW w:w="67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532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06"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8"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单位：万元</w:t>
            </w:r>
          </w:p>
        </w:tc>
      </w:tr>
      <w:tr>
        <w:tblPrEx>
          <w:tblCellMar>
            <w:top w:w="0" w:type="dxa"/>
            <w:left w:w="108" w:type="dxa"/>
            <w:bottom w:w="0" w:type="dxa"/>
            <w:right w:w="108" w:type="dxa"/>
          </w:tblCellMar>
        </w:tblPrEx>
        <w:trPr>
          <w:trHeight w:val="313" w:hRule="atLeast"/>
        </w:trPr>
        <w:tc>
          <w:tcPr>
            <w:tcW w:w="544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收入</w:t>
            </w:r>
          </w:p>
        </w:tc>
        <w:tc>
          <w:tcPr>
            <w:tcW w:w="7640"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支出</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120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决算数</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335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决算数</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20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35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一、一般公共预算财政拨款收入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13,192.0</w:t>
            </w:r>
            <w:r>
              <w:rPr>
                <w:rFonts w:hint="eastAsia" w:ascii="宋体" w:hAnsi="宋体" w:eastAsia="宋体" w:cs="宋体"/>
                <w:color w:val="auto"/>
                <w:kern w:val="0"/>
                <w:sz w:val="22"/>
                <w:highlight w:val="none"/>
                <w:lang w:val="en-US" w:eastAsia="zh-CN"/>
              </w:rPr>
              <w:t>0</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一、一般公共服务支出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14</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14.97</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二、政府性基金预算财政拨款收入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832.07</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二、社会保障和就业支出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15</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rPr>
              <w:t>16,465.8</w:t>
            </w:r>
            <w:r>
              <w:rPr>
                <w:rFonts w:hint="eastAsia" w:ascii="宋体" w:hAnsi="宋体" w:eastAsia="宋体" w:cs="宋体"/>
                <w:color w:val="auto"/>
                <w:kern w:val="0"/>
                <w:sz w:val="22"/>
                <w:highlight w:val="none"/>
                <w:lang w:val="en-US" w:eastAsia="zh-CN"/>
              </w:rPr>
              <w:t>6</w:t>
            </w:r>
          </w:p>
        </w:tc>
      </w:tr>
      <w:tr>
        <w:tblPrEx>
          <w:tblCellMar>
            <w:top w:w="0" w:type="dxa"/>
            <w:left w:w="108" w:type="dxa"/>
            <w:bottom w:w="0" w:type="dxa"/>
            <w:right w:w="108" w:type="dxa"/>
          </w:tblCellMar>
        </w:tblPrEx>
        <w:trPr>
          <w:trHeight w:val="8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三、国有资本经营预算财政拨款收入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3</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三、卫生健康支出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16</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0.2</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四、上级补助收入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4</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四、农林水支出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17.00</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五、事业收入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5</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4"/>
                <w:szCs w:val="24"/>
                <w:highlight w:val="none"/>
              </w:rPr>
              <w:t>五、</w:t>
            </w:r>
            <w:r>
              <w:rPr>
                <w:rFonts w:hint="eastAsia" w:ascii="宋体" w:hAnsi="宋体" w:eastAsia="宋体" w:cs="宋体"/>
                <w:color w:val="auto"/>
                <w:kern w:val="0"/>
                <w:sz w:val="22"/>
                <w:highlight w:val="none"/>
              </w:rPr>
              <w:t>灾害防治及应急管理支出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18</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17.24</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六、经营收入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6</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六、其他支出</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19</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832.07　</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七、附属单位上缴收入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7</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20</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八、其他收入</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5,795.61</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21</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9</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22</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本年收入合计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10</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19,819.68</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本年支出合计</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23</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17347.34</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使用非财政拨款结余</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11</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结余分配</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24</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年初结转和结余</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12</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510"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年末结转和结余</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25</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2,472.34</w:t>
            </w:r>
          </w:p>
        </w:tc>
      </w:tr>
      <w:tr>
        <w:tblPrEx>
          <w:tblCellMar>
            <w:top w:w="0" w:type="dxa"/>
            <w:left w:w="108" w:type="dxa"/>
            <w:bottom w:w="0" w:type="dxa"/>
            <w:right w:w="108" w:type="dxa"/>
          </w:tblCellMar>
        </w:tblPrEx>
        <w:trPr>
          <w:trHeight w:val="313" w:hRule="atLeast"/>
        </w:trPr>
        <w:tc>
          <w:tcPr>
            <w:tcW w:w="380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13</w:t>
            </w:r>
          </w:p>
        </w:tc>
        <w:tc>
          <w:tcPr>
            <w:tcW w:w="1206"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19,819.68</w:t>
            </w:r>
          </w:p>
        </w:tc>
        <w:tc>
          <w:tcPr>
            <w:tcW w:w="351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总计</w:t>
            </w:r>
          </w:p>
        </w:tc>
        <w:tc>
          <w:tcPr>
            <w:tcW w:w="7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26</w:t>
            </w:r>
          </w:p>
        </w:tc>
        <w:tc>
          <w:tcPr>
            <w:tcW w:w="3351"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19,819.68</w:t>
            </w:r>
          </w:p>
        </w:tc>
      </w:tr>
      <w:tr>
        <w:tblPrEx>
          <w:tblCellMar>
            <w:top w:w="0" w:type="dxa"/>
            <w:left w:w="108" w:type="dxa"/>
            <w:bottom w:w="0" w:type="dxa"/>
            <w:right w:w="108" w:type="dxa"/>
          </w:tblCellMar>
        </w:tblPrEx>
        <w:trPr>
          <w:trHeight w:val="940" w:hRule="atLeast"/>
        </w:trPr>
        <w:tc>
          <w:tcPr>
            <w:tcW w:w="13086" w:type="dxa"/>
            <w:gridSpan w:val="11"/>
            <w:tcBorders>
              <w:top w:val="nil"/>
              <w:left w:val="nil"/>
              <w:bottom w:val="nil"/>
              <w:right w:val="nil"/>
            </w:tcBorders>
            <w:shd w:val="clear" w:color="auto" w:fill="auto"/>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注：1.本表反映部门本年度的总收支和年末结转结余情况。</w:t>
            </w:r>
            <w:r>
              <w:rPr>
                <w:rFonts w:hint="eastAsia" w:ascii="宋体" w:hAnsi="宋体" w:eastAsia="宋体" w:cs="宋体"/>
                <w:color w:val="auto"/>
                <w:kern w:val="0"/>
                <w:sz w:val="24"/>
                <w:szCs w:val="24"/>
                <w:highlight w:val="none"/>
              </w:rPr>
              <w:br w:type="textWrapping"/>
            </w:r>
            <w:r>
              <w:rPr>
                <w:rFonts w:hint="eastAsia" w:ascii="宋体" w:hAnsi="宋体" w:eastAsia="宋体" w:cs="宋体"/>
                <w:color w:val="auto"/>
                <w:kern w:val="0"/>
                <w:sz w:val="24"/>
                <w:szCs w:val="24"/>
                <w:highlight w:val="none"/>
              </w:rPr>
              <w:t xml:space="preserve"> 2.本套报表金额单位转换时可能存在尾数误差。</w:t>
            </w:r>
          </w:p>
        </w:tc>
      </w:tr>
    </w:tbl>
    <w:p>
      <w:pPr>
        <w:pStyle w:val="10"/>
        <w:jc w:val="center"/>
        <w:rPr>
          <w:rFonts w:hint="eastAsia"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第二部分：部门决算表</w:t>
      </w:r>
    </w:p>
    <w:p>
      <w:pPr>
        <w:jc w:val="center"/>
        <w:rPr>
          <w:rFonts w:ascii="黑体" w:hAnsi="黑体" w:eastAsia="黑体"/>
          <w:color w:val="auto"/>
          <w:sz w:val="28"/>
          <w:szCs w:val="28"/>
          <w:highlight w:val="none"/>
        </w:rPr>
        <w:sectPr>
          <w:pgSz w:w="16838" w:h="11906" w:orient="landscape"/>
          <w:pgMar w:top="1134" w:right="1440" w:bottom="1134" w:left="1440" w:header="851" w:footer="992" w:gutter="0"/>
          <w:cols w:space="425" w:num="1"/>
          <w:docGrid w:type="linesAndChars" w:linePitch="312" w:charSpace="0"/>
        </w:sectPr>
      </w:pPr>
    </w:p>
    <w:tbl>
      <w:tblPr>
        <w:tblStyle w:val="6"/>
        <w:tblW w:w="15428" w:type="dxa"/>
        <w:tblInd w:w="0" w:type="dxa"/>
        <w:tblLayout w:type="fixed"/>
        <w:tblCellMar>
          <w:top w:w="0" w:type="dxa"/>
          <w:left w:w="0" w:type="dxa"/>
          <w:bottom w:w="0" w:type="dxa"/>
          <w:right w:w="0" w:type="dxa"/>
        </w:tblCellMar>
      </w:tblPr>
      <w:tblGrid>
        <w:gridCol w:w="454"/>
        <w:gridCol w:w="455"/>
        <w:gridCol w:w="3211"/>
        <w:gridCol w:w="1812"/>
        <w:gridCol w:w="1673"/>
        <w:gridCol w:w="1696"/>
        <w:gridCol w:w="1581"/>
        <w:gridCol w:w="1569"/>
        <w:gridCol w:w="1488"/>
        <w:gridCol w:w="1489"/>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hint="eastAsia" w:ascii="方正小标宋简体" w:hAnsi="华文中宋" w:eastAsia="方正小标宋简体" w:cs="宋体"/>
                <w:color w:val="auto"/>
                <w:sz w:val="32"/>
                <w:szCs w:val="32"/>
                <w:highlight w:val="none"/>
              </w:rPr>
            </w:pPr>
            <w:r>
              <w:rPr>
                <w:rFonts w:hint="eastAsia" w:ascii="方正小标宋简体" w:hAnsi="华文中宋" w:eastAsia="方正小标宋简体"/>
                <w:color w:val="auto"/>
                <w:sz w:val="32"/>
                <w:szCs w:val="32"/>
                <w:highlight w:val="none"/>
              </w:rPr>
              <w:t>收入决算表</w:t>
            </w:r>
          </w:p>
        </w:tc>
      </w:tr>
      <w:tr>
        <w:tblPrEx>
          <w:tblCellMar>
            <w:top w:w="0" w:type="dxa"/>
            <w:left w:w="0" w:type="dxa"/>
            <w:bottom w:w="0" w:type="dxa"/>
            <w:right w:w="0" w:type="dxa"/>
          </w:tblCellMar>
        </w:tblPrEx>
        <w:trPr>
          <w:trHeight w:val="285" w:hRule="atLeast"/>
        </w:trPr>
        <w:tc>
          <w:tcPr>
            <w:tcW w:w="45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45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321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8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67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6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0"/>
                <w:szCs w:val="20"/>
                <w:highlight w:val="none"/>
              </w:rPr>
            </w:pPr>
            <w:r>
              <w:rPr>
                <w:rFonts w:hint="eastAsia"/>
                <w:color w:val="auto"/>
                <w:sz w:val="20"/>
                <w:szCs w:val="20"/>
                <w:highlight w:val="none"/>
              </w:rPr>
              <w:t>公开02表</w:t>
            </w:r>
          </w:p>
        </w:tc>
      </w:tr>
      <w:tr>
        <w:tblPrEx>
          <w:tblCellMar>
            <w:top w:w="0" w:type="dxa"/>
            <w:left w:w="0" w:type="dxa"/>
            <w:bottom w:w="0" w:type="dxa"/>
            <w:right w:w="0" w:type="dxa"/>
          </w:tblCellMar>
        </w:tblPrEx>
        <w:trPr>
          <w:trHeight w:val="285" w:hRule="atLeast"/>
        </w:trPr>
        <w:tc>
          <w:tcPr>
            <w:tcW w:w="9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auto"/>
                <w:sz w:val="20"/>
                <w:szCs w:val="20"/>
                <w:highlight w:val="none"/>
              </w:rPr>
            </w:pPr>
            <w:r>
              <w:rPr>
                <w:rFonts w:hint="eastAsia"/>
                <w:color w:val="auto"/>
                <w:sz w:val="20"/>
                <w:szCs w:val="20"/>
                <w:highlight w:val="none"/>
              </w:rPr>
              <w:t>部门：</w:t>
            </w:r>
          </w:p>
        </w:tc>
        <w:tc>
          <w:tcPr>
            <w:tcW w:w="3211"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color w:val="auto"/>
                <w:sz w:val="24"/>
                <w:szCs w:val="24"/>
                <w:highlight w:val="none"/>
              </w:rPr>
            </w:pPr>
            <w:r>
              <w:rPr>
                <w:rFonts w:hint="eastAsia" w:ascii="宋体" w:hAnsi="宋体" w:eastAsia="宋体" w:cs="宋体"/>
                <w:color w:val="auto"/>
                <w:kern w:val="0"/>
                <w:sz w:val="20"/>
                <w:szCs w:val="20"/>
                <w:highlight w:val="none"/>
              </w:rPr>
              <w:t>湘潭县民政局</w:t>
            </w:r>
            <w:r>
              <w:rPr>
                <w:rFonts w:hint="eastAsia"/>
                <w:color w:val="auto"/>
                <w:highlight w:val="none"/>
              </w:rPr>
              <w:t>　</w:t>
            </w:r>
          </w:p>
        </w:tc>
        <w:tc>
          <w:tcPr>
            <w:tcW w:w="18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67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69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0"/>
                <w:szCs w:val="20"/>
                <w:highlight w:val="none"/>
              </w:rPr>
            </w:pPr>
            <w:r>
              <w:rPr>
                <w:rFonts w:hint="eastAsia"/>
                <w:color w:val="auto"/>
                <w:sz w:val="20"/>
                <w:szCs w:val="20"/>
                <w:highlight w:val="none"/>
              </w:rPr>
              <w:t>　</w:t>
            </w:r>
          </w:p>
        </w:tc>
        <w:tc>
          <w:tcPr>
            <w:tcW w:w="15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auto"/>
                <w:sz w:val="20"/>
                <w:szCs w:val="20"/>
                <w:highlight w:val="none"/>
              </w:rPr>
            </w:pPr>
            <w:r>
              <w:rPr>
                <w:rFonts w:hint="eastAsia"/>
                <w:color w:val="auto"/>
                <w:sz w:val="20"/>
                <w:szCs w:val="20"/>
                <w:highlight w:val="none"/>
              </w:rPr>
              <w:t>单位：万元</w:t>
            </w:r>
          </w:p>
        </w:tc>
      </w:tr>
      <w:tr>
        <w:tblPrEx>
          <w:tblCellMar>
            <w:top w:w="0" w:type="dxa"/>
            <w:left w:w="0" w:type="dxa"/>
            <w:bottom w:w="0" w:type="dxa"/>
            <w:right w:w="0" w:type="dxa"/>
          </w:tblCellMar>
        </w:tblPrEx>
        <w:trPr>
          <w:trHeight w:val="450" w:hRule="atLeast"/>
        </w:trPr>
        <w:tc>
          <w:tcPr>
            <w:tcW w:w="41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项    目</w:t>
            </w:r>
          </w:p>
        </w:tc>
        <w:tc>
          <w:tcPr>
            <w:tcW w:w="18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本年收入合计</w:t>
            </w:r>
          </w:p>
        </w:tc>
        <w:tc>
          <w:tcPr>
            <w:tcW w:w="167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财政拨款收入</w:t>
            </w:r>
          </w:p>
        </w:tc>
        <w:tc>
          <w:tcPr>
            <w:tcW w:w="16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上级补助收入</w:t>
            </w:r>
          </w:p>
        </w:tc>
        <w:tc>
          <w:tcPr>
            <w:tcW w:w="15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事业收入</w:t>
            </w:r>
          </w:p>
        </w:tc>
        <w:tc>
          <w:tcPr>
            <w:tcW w:w="15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经营收入</w:t>
            </w:r>
          </w:p>
        </w:tc>
        <w:tc>
          <w:tcPr>
            <w:tcW w:w="148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附属单位上缴收入</w:t>
            </w:r>
          </w:p>
        </w:tc>
        <w:tc>
          <w:tcPr>
            <w:tcW w:w="14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其他收入</w:t>
            </w:r>
          </w:p>
        </w:tc>
      </w:tr>
      <w:tr>
        <w:tblPrEx>
          <w:tblCellMar>
            <w:top w:w="0" w:type="dxa"/>
            <w:left w:w="0" w:type="dxa"/>
            <w:bottom w:w="0" w:type="dxa"/>
            <w:right w:w="0" w:type="dxa"/>
          </w:tblCellMar>
        </w:tblPrEx>
        <w:trPr>
          <w:trHeight w:val="450" w:hRule="atLeast"/>
        </w:trPr>
        <w:tc>
          <w:tcPr>
            <w:tcW w:w="90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功能分类科目编码</w:t>
            </w:r>
          </w:p>
        </w:tc>
        <w:tc>
          <w:tcPr>
            <w:tcW w:w="321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科目名称</w:t>
            </w: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6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5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4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4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r>
      <w:tr>
        <w:tblPrEx>
          <w:tblCellMar>
            <w:top w:w="0" w:type="dxa"/>
            <w:left w:w="0" w:type="dxa"/>
            <w:bottom w:w="0" w:type="dxa"/>
            <w:right w:w="0" w:type="dxa"/>
          </w:tblCellMar>
        </w:tblPrEx>
        <w:trPr>
          <w:trHeight w:val="450" w:hRule="atLeast"/>
        </w:trPr>
        <w:tc>
          <w:tcPr>
            <w:tcW w:w="90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321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6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5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4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c>
          <w:tcPr>
            <w:tcW w:w="148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auto"/>
                <w:sz w:val="24"/>
                <w:szCs w:val="24"/>
                <w:highlight w:val="none"/>
              </w:rPr>
            </w:pPr>
          </w:p>
        </w:tc>
      </w:tr>
      <w:tr>
        <w:tblPrEx>
          <w:tblCellMar>
            <w:top w:w="0" w:type="dxa"/>
            <w:left w:w="0" w:type="dxa"/>
            <w:bottom w:w="0" w:type="dxa"/>
            <w:right w:w="0" w:type="dxa"/>
          </w:tblCellMar>
        </w:tblPrEx>
        <w:trPr>
          <w:trHeight w:val="450" w:hRule="atLeast"/>
        </w:trPr>
        <w:tc>
          <w:tcPr>
            <w:tcW w:w="412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栏次</w:t>
            </w:r>
          </w:p>
        </w:tc>
        <w:tc>
          <w:tcPr>
            <w:tcW w:w="18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1</w:t>
            </w:r>
          </w:p>
        </w:tc>
        <w:tc>
          <w:tcPr>
            <w:tcW w:w="167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2</w:t>
            </w:r>
          </w:p>
        </w:tc>
        <w:tc>
          <w:tcPr>
            <w:tcW w:w="16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3</w:t>
            </w:r>
          </w:p>
        </w:tc>
        <w:tc>
          <w:tcPr>
            <w:tcW w:w="15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4</w:t>
            </w:r>
          </w:p>
        </w:tc>
        <w:tc>
          <w:tcPr>
            <w:tcW w:w="15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5</w:t>
            </w:r>
          </w:p>
        </w:tc>
        <w:tc>
          <w:tcPr>
            <w:tcW w:w="14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6</w:t>
            </w:r>
          </w:p>
        </w:tc>
        <w:tc>
          <w:tcPr>
            <w:tcW w:w="14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7</w:t>
            </w:r>
          </w:p>
        </w:tc>
      </w:tr>
      <w:tr>
        <w:tblPrEx>
          <w:tblCellMar>
            <w:top w:w="0" w:type="dxa"/>
            <w:left w:w="0" w:type="dxa"/>
            <w:bottom w:w="0" w:type="dxa"/>
            <w:right w:w="0" w:type="dxa"/>
          </w:tblCellMar>
        </w:tblPrEx>
        <w:trPr>
          <w:trHeight w:val="402" w:hRule="atLeast"/>
        </w:trPr>
        <w:tc>
          <w:tcPr>
            <w:tcW w:w="412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color w:val="auto"/>
                <w:sz w:val="24"/>
                <w:szCs w:val="24"/>
                <w:highlight w:val="none"/>
              </w:rPr>
            </w:pPr>
            <w:r>
              <w:rPr>
                <w:rFonts w:hint="eastAsia"/>
                <w:color w:val="auto"/>
                <w:highlight w:val="none"/>
              </w:rPr>
              <w:t>合计</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19819.68</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color w:val="auto"/>
                <w:kern w:val="0"/>
                <w:sz w:val="22"/>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 xml:space="preserve">14024.07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5,795.61</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一般公共服务支出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20123</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民族事务</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2012301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行政运行</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14.97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社会保障和就业支出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18938.20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13142.59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5,795.61</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民政管理事务</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1350.39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619.87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730.52</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2080201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行政运行</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473.02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473.02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color w:val="auto"/>
                <w:sz w:val="24"/>
                <w:szCs w:val="24"/>
                <w:highlight w:val="none"/>
              </w:rPr>
            </w:pPr>
            <w:r>
              <w:rPr>
                <w:rFonts w:hint="eastAsia"/>
                <w:color w:val="auto"/>
                <w:highlight w:val="none"/>
              </w:rPr>
              <w:t>　</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2080299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其他民政管理事务支出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877.37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146.85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730.52</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20808</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抚恤</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0.06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0.06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2080801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死亡抚恤</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0.06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0.06</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退役安置</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115.93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115.93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2080902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 xml:space="preserve">  军队移交政府的离退休人员安置</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115.93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115.93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社会福利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i w:val="0"/>
                <w:iCs w:val="0"/>
                <w:color w:val="auto"/>
                <w:kern w:val="0"/>
                <w:sz w:val="22"/>
                <w:szCs w:val="22"/>
                <w:highlight w:val="none"/>
                <w:u w:val="none"/>
                <w:lang w:val="en-US" w:eastAsia="zh-CN" w:bidi="ar"/>
              </w:rPr>
              <w:t xml:space="preserve">1937.54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 xml:space="preserve">1289.60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647.94</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儿童福利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i w:val="0"/>
                <w:iCs w:val="0"/>
                <w:color w:val="auto"/>
                <w:kern w:val="0"/>
                <w:sz w:val="22"/>
                <w:szCs w:val="22"/>
                <w:highlight w:val="none"/>
                <w:u w:val="none"/>
                <w:lang w:val="en-US" w:eastAsia="zh-CN" w:bidi="ar"/>
              </w:rPr>
              <w:t xml:space="preserve">540.79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 xml:space="preserve">371.48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169.31</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老年福利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404.91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404.91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2081004</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殡葬</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143.45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143.45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2081006</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养老服务</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277.81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209.76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68.05</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2081099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其他社会福利支出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570.58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160.00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410.58</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残疾人事业</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1830.22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1830.22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2081107</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残疾人生活和护理补贴</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1615.51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1615.51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2081199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其他残疾人事业支出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214.71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214.71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20820</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临时救助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4487.98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70.83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4,417.15</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2082001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临时救助支出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4393.85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10.00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4,383.85</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2082002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流浪乞讨人员救助支出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94.13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60.83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33.30</w:t>
            </w: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特困人员救助供养</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8838.42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8838.42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2082101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 xml:space="preserve">  城市特困人员救助供养支出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177.50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177.50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2082102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 xml:space="preserve">  农村特困人员救助供养支出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8660.92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8660.92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20825</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其他生活救助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156.20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156.20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2082502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其他农村生活救助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156.20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156.20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color w:val="auto"/>
                <w:highlight w:val="none"/>
              </w:rPr>
              <w:t>20899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其他社会保障和就业支出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221.46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221.46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2089901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 xml:space="preserve">  其他社会保障和就业支出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221.46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221.46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210</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卫生健康支出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21099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其他卫生健康支出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2109901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其他卫生健康支出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0.20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213</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农林水支出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21305</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扶贫</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2130599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textAlignment w:val="center"/>
              <w:rPr>
                <w:rFonts w:ascii="宋体" w:hAnsi="宋体" w:eastAsia="宋体" w:cs="宋体"/>
                <w:color w:val="auto"/>
                <w:sz w:val="22"/>
                <w:highlight w:val="none"/>
              </w:rPr>
            </w:pPr>
            <w:r>
              <w:rPr>
                <w:rFonts w:hint="eastAsia" w:eastAsia="仿宋_GB2312"/>
                <w:color w:val="auto"/>
                <w:kern w:val="0"/>
                <w:highlight w:val="none"/>
              </w:rPr>
              <w:t>其他扶贫支出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color w:val="auto"/>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color w:val="auto"/>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224</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灾害防治及应急管理支出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17.24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17.24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22407</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自然灾害救灾及恢复重建支出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17.24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17.24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2240701</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中央自然灾害生活补助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4.24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4.24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2240703</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 xml:space="preserve">  自然灾害救灾补助</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13.00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13.00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229</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其他支出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22960</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彩票公益金安排的支出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450" w:hRule="atLeast"/>
        </w:trPr>
        <w:tc>
          <w:tcPr>
            <w:tcW w:w="90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center"/>
              <w:rPr>
                <w:rFonts w:eastAsia="仿宋_GB2312"/>
                <w:color w:val="auto"/>
                <w:kern w:val="0"/>
                <w:highlight w:val="none"/>
              </w:rPr>
            </w:pPr>
            <w:r>
              <w:rPr>
                <w:rFonts w:hint="eastAsia" w:eastAsia="仿宋_GB2312"/>
                <w:color w:val="auto"/>
                <w:kern w:val="0"/>
                <w:highlight w:val="none"/>
              </w:rPr>
              <w:t>2296002</w:t>
            </w:r>
          </w:p>
        </w:tc>
        <w:tc>
          <w:tcPr>
            <w:tcW w:w="32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spacing w:line="200" w:lineRule="exact"/>
              <w:jc w:val="center"/>
              <w:rPr>
                <w:rFonts w:eastAsia="仿宋_GB2312"/>
                <w:color w:val="auto"/>
                <w:kern w:val="0"/>
                <w:highlight w:val="none"/>
              </w:rPr>
            </w:pPr>
            <w:r>
              <w:rPr>
                <w:rFonts w:hint="eastAsia" w:eastAsia="仿宋_GB2312"/>
                <w:color w:val="auto"/>
                <w:kern w:val="0"/>
                <w:highlight w:val="none"/>
              </w:rPr>
              <w:t xml:space="preserve">  用于社会福利的彩票公益金支出</w:t>
            </w:r>
          </w:p>
        </w:tc>
        <w:tc>
          <w:tcPr>
            <w:tcW w:w="18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7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color w:val="auto"/>
                <w:sz w:val="22"/>
                <w:highlight w:val="none"/>
              </w:rPr>
            </w:pPr>
            <w:r>
              <w:rPr>
                <w:rFonts w:hint="eastAsia" w:ascii="宋体" w:hAnsi="宋体" w:eastAsia="宋体" w:cs="宋体"/>
                <w:i w:val="0"/>
                <w:iCs w:val="0"/>
                <w:color w:val="auto"/>
                <w:kern w:val="0"/>
                <w:sz w:val="22"/>
                <w:szCs w:val="22"/>
                <w:highlight w:val="none"/>
                <w:u w:val="none"/>
                <w:lang w:val="en-US" w:eastAsia="zh-CN" w:bidi="ar"/>
              </w:rPr>
              <w:t xml:space="preserve">832.07 </w:t>
            </w:r>
          </w:p>
        </w:tc>
        <w:tc>
          <w:tcPr>
            <w:tcW w:w="16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5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c>
          <w:tcPr>
            <w:tcW w:w="14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color w:val="auto"/>
                <w:highlight w:val="none"/>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color w:val="auto"/>
                <w:sz w:val="24"/>
                <w:szCs w:val="24"/>
                <w:highlight w:val="none"/>
              </w:rPr>
            </w:pPr>
            <w:r>
              <w:rPr>
                <w:rFonts w:hint="eastAsia"/>
                <w:color w:val="auto"/>
                <w:highlight w:val="none"/>
              </w:rPr>
              <w:t>注：本表反映部门本年度取得的各项收入情况。</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color w:val="auto"/>
                <w:highlight w:val="none"/>
              </w:rPr>
            </w:pPr>
          </w:p>
        </w:tc>
      </w:tr>
    </w:tbl>
    <w:p>
      <w:pPr>
        <w:widowControl/>
        <w:jc w:val="left"/>
        <w:rPr>
          <w:rFonts w:ascii="Times New Roman" w:hAnsi="Times New Roman" w:eastAsia="方正小标宋_GBK" w:cs="Times New Roman"/>
          <w:color w:val="auto"/>
          <w:kern w:val="0"/>
          <w:sz w:val="36"/>
          <w:szCs w:val="36"/>
          <w:highlight w:val="none"/>
        </w:rPr>
      </w:pPr>
      <w:r>
        <w:rPr>
          <w:rFonts w:ascii="Times New Roman" w:hAnsi="Times New Roman" w:eastAsia="黑体" w:cs="Times New Roman"/>
          <w:bCs/>
          <w:color w:val="auto"/>
          <w:kern w:val="0"/>
          <w:sz w:val="32"/>
          <w:szCs w:val="32"/>
          <w:highlight w:val="none"/>
        </w:rPr>
        <w:br w:type="page"/>
      </w:r>
    </w:p>
    <w:tbl>
      <w:tblPr>
        <w:tblStyle w:val="6"/>
        <w:tblW w:w="14884" w:type="dxa"/>
        <w:tblInd w:w="649" w:type="dxa"/>
        <w:tblLayout w:type="fixed"/>
        <w:tblCellMar>
          <w:top w:w="0" w:type="dxa"/>
          <w:left w:w="108" w:type="dxa"/>
          <w:bottom w:w="0" w:type="dxa"/>
          <w:right w:w="108" w:type="dxa"/>
        </w:tblCellMar>
      </w:tblPr>
      <w:tblGrid>
        <w:gridCol w:w="812"/>
        <w:gridCol w:w="353"/>
        <w:gridCol w:w="2469"/>
        <w:gridCol w:w="1835"/>
        <w:gridCol w:w="1927"/>
        <w:gridCol w:w="1962"/>
        <w:gridCol w:w="1892"/>
        <w:gridCol w:w="1823"/>
        <w:gridCol w:w="1811"/>
      </w:tblGrid>
      <w:tr>
        <w:tblPrEx>
          <w:tblCellMar>
            <w:top w:w="0" w:type="dxa"/>
            <w:left w:w="108" w:type="dxa"/>
            <w:bottom w:w="0" w:type="dxa"/>
            <w:right w:w="108" w:type="dxa"/>
          </w:tblCellMar>
        </w:tblPrEx>
        <w:trPr>
          <w:trHeight w:val="435" w:hRule="atLeast"/>
        </w:trPr>
        <w:tc>
          <w:tcPr>
            <w:tcW w:w="14884" w:type="dxa"/>
            <w:gridSpan w:val="9"/>
            <w:tcBorders>
              <w:top w:val="nil"/>
              <w:left w:val="nil"/>
              <w:bottom w:val="nil"/>
              <w:right w:val="nil"/>
            </w:tcBorders>
            <w:shd w:val="clear" w:color="auto" w:fill="auto"/>
            <w:noWrap/>
            <w:vAlign w:val="center"/>
          </w:tcPr>
          <w:p>
            <w:pPr>
              <w:widowControl/>
              <w:jc w:val="center"/>
              <w:rPr>
                <w:rFonts w:hint="eastAsia" w:ascii="方正小标宋简体" w:hAnsi="华文中宋" w:eastAsia="方正小标宋简体" w:cs="宋体"/>
                <w:color w:val="auto"/>
                <w:kern w:val="0"/>
                <w:sz w:val="32"/>
                <w:szCs w:val="32"/>
                <w:highlight w:val="none"/>
              </w:rPr>
            </w:pPr>
            <w:r>
              <w:rPr>
                <w:rFonts w:hint="eastAsia" w:ascii="方正小标宋简体" w:hAnsi="华文中宋" w:eastAsia="方正小标宋简体" w:cs="宋体"/>
                <w:color w:val="auto"/>
                <w:kern w:val="0"/>
                <w:sz w:val="32"/>
                <w:szCs w:val="32"/>
                <w:highlight w:val="none"/>
              </w:rPr>
              <w:t>支出决算表</w:t>
            </w:r>
          </w:p>
        </w:tc>
      </w:tr>
      <w:tr>
        <w:tblPrEx>
          <w:tblCellMar>
            <w:top w:w="0" w:type="dxa"/>
            <w:left w:w="108" w:type="dxa"/>
            <w:bottom w:w="0" w:type="dxa"/>
            <w:right w:w="108" w:type="dxa"/>
          </w:tblCellMar>
        </w:tblPrEx>
        <w:trPr>
          <w:trHeight w:val="285" w:hRule="atLeast"/>
        </w:trPr>
        <w:tc>
          <w:tcPr>
            <w:tcW w:w="81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5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469"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35"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27"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6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公开03表</w:t>
            </w:r>
          </w:p>
        </w:tc>
      </w:tr>
      <w:tr>
        <w:tblPrEx>
          <w:tblCellMar>
            <w:top w:w="0" w:type="dxa"/>
            <w:left w:w="108" w:type="dxa"/>
            <w:bottom w:w="0" w:type="dxa"/>
            <w:right w:w="108" w:type="dxa"/>
          </w:tblCellMar>
        </w:tblPrEx>
        <w:trPr>
          <w:trHeight w:val="285" w:hRule="atLeast"/>
        </w:trPr>
        <w:tc>
          <w:tcPr>
            <w:tcW w:w="812" w:type="dxa"/>
            <w:tcBorders>
              <w:top w:val="nil"/>
              <w:left w:val="nil"/>
              <w:bottom w:val="nil"/>
              <w:right w:val="nil"/>
            </w:tcBorders>
            <w:shd w:val="clear" w:color="000000" w:fill="FFFFFF"/>
            <w:noWrap/>
            <w:vAlign w:val="center"/>
          </w:tcPr>
          <w:p>
            <w:pPr>
              <w:widowControl/>
              <w:jc w:val="lef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部门：</w:t>
            </w:r>
          </w:p>
        </w:tc>
        <w:tc>
          <w:tcPr>
            <w:tcW w:w="35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2469" w:type="dxa"/>
            <w:tcBorders>
              <w:top w:val="nil"/>
              <w:left w:val="nil"/>
              <w:bottom w:val="nil"/>
              <w:right w:val="nil"/>
            </w:tcBorders>
            <w:shd w:val="clear" w:color="000000" w:fill="FFFFFF"/>
            <w:noWrap/>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0"/>
                <w:szCs w:val="20"/>
                <w:highlight w:val="none"/>
              </w:rPr>
              <w:t>湘潭县民政局</w:t>
            </w:r>
            <w:r>
              <w:rPr>
                <w:rFonts w:hint="eastAsia" w:ascii="宋体" w:hAnsi="宋体" w:eastAsia="宋体" w:cs="宋体"/>
                <w:color w:val="auto"/>
                <w:kern w:val="0"/>
                <w:sz w:val="24"/>
                <w:szCs w:val="24"/>
                <w:highlight w:val="none"/>
              </w:rPr>
              <w:t>　</w:t>
            </w:r>
          </w:p>
        </w:tc>
        <w:tc>
          <w:tcPr>
            <w:tcW w:w="1835"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27"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62" w:type="dxa"/>
            <w:tcBorders>
              <w:top w:val="nil"/>
              <w:left w:val="nil"/>
              <w:bottom w:val="nil"/>
              <w:right w:val="nil"/>
            </w:tcBorders>
            <w:shd w:val="clear" w:color="000000" w:fill="FFFFFF"/>
            <w:noWrap/>
            <w:vAlign w:val="center"/>
          </w:tcPr>
          <w:p>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1892"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单位：万元</w:t>
            </w:r>
          </w:p>
        </w:tc>
      </w:tr>
      <w:tr>
        <w:tblPrEx>
          <w:tblCellMar>
            <w:top w:w="0" w:type="dxa"/>
            <w:left w:w="108" w:type="dxa"/>
            <w:bottom w:w="0" w:type="dxa"/>
            <w:right w:w="108" w:type="dxa"/>
          </w:tblCellMar>
        </w:tblPrEx>
        <w:trPr>
          <w:trHeight w:val="450" w:hRule="atLeast"/>
        </w:trPr>
        <w:tc>
          <w:tcPr>
            <w:tcW w:w="363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项    目</w:t>
            </w:r>
          </w:p>
        </w:tc>
        <w:tc>
          <w:tcPr>
            <w:tcW w:w="18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本年支出合计</w:t>
            </w:r>
          </w:p>
        </w:tc>
        <w:tc>
          <w:tcPr>
            <w:tcW w:w="192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基本支出</w:t>
            </w:r>
          </w:p>
        </w:tc>
        <w:tc>
          <w:tcPr>
            <w:tcW w:w="196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项目支出</w:t>
            </w:r>
          </w:p>
        </w:tc>
        <w:tc>
          <w:tcPr>
            <w:tcW w:w="189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上缴上级支出</w:t>
            </w:r>
          </w:p>
        </w:tc>
        <w:tc>
          <w:tcPr>
            <w:tcW w:w="182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经营支出</w:t>
            </w:r>
          </w:p>
        </w:tc>
        <w:tc>
          <w:tcPr>
            <w:tcW w:w="181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对附属单位补助支出</w:t>
            </w:r>
          </w:p>
        </w:tc>
      </w:tr>
      <w:tr>
        <w:tblPrEx>
          <w:tblCellMar>
            <w:top w:w="0" w:type="dxa"/>
            <w:left w:w="108" w:type="dxa"/>
            <w:bottom w:w="0" w:type="dxa"/>
            <w:right w:w="108" w:type="dxa"/>
          </w:tblCellMar>
        </w:tblPrEx>
        <w:trPr>
          <w:trHeight w:val="450" w:hRule="atLeast"/>
        </w:trPr>
        <w:tc>
          <w:tcPr>
            <w:tcW w:w="116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功能分类科目编码</w:t>
            </w:r>
          </w:p>
        </w:tc>
        <w:tc>
          <w:tcPr>
            <w:tcW w:w="2469" w:type="dxa"/>
            <w:vMerge w:val="restart"/>
            <w:tcBorders>
              <w:top w:val="nil"/>
              <w:left w:val="single" w:color="auto" w:sz="4" w:space="0"/>
              <w:bottom w:val="single" w:color="auto" w:sz="4" w:space="0"/>
              <w:right w:val="single" w:color="auto" w:sz="4" w:space="0"/>
            </w:tcBorders>
            <w:shd w:val="clear" w:color="000000" w:fill="FFFFFF"/>
            <w:vAlign w:val="center"/>
          </w:tcPr>
          <w:p>
            <w:pPr>
              <w:jc w:val="center"/>
              <w:rPr>
                <w:color w:val="auto"/>
                <w:highlight w:val="none"/>
              </w:rPr>
            </w:pPr>
            <w:r>
              <w:rPr>
                <w:rFonts w:hint="eastAsia"/>
                <w:color w:val="auto"/>
                <w:highlight w:val="none"/>
              </w:rPr>
              <w:t>科目名称</w:t>
            </w:r>
          </w:p>
        </w:tc>
        <w:tc>
          <w:tcPr>
            <w:tcW w:w="1835"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c>
          <w:tcPr>
            <w:tcW w:w="1927"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c>
          <w:tcPr>
            <w:tcW w:w="1962"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c>
          <w:tcPr>
            <w:tcW w:w="1892"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c>
          <w:tcPr>
            <w:tcW w:w="1823"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p>
        </w:tc>
      </w:tr>
      <w:tr>
        <w:trPr>
          <w:trHeight w:val="450" w:hRule="atLeast"/>
        </w:trPr>
        <w:tc>
          <w:tcPr>
            <w:tcW w:w="11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246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8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9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9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8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8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363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栏次</w:t>
            </w:r>
          </w:p>
        </w:tc>
        <w:tc>
          <w:tcPr>
            <w:tcW w:w="18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192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96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89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8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18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r>
      <w:tr>
        <w:tblPrEx>
          <w:tblCellMar>
            <w:top w:w="0" w:type="dxa"/>
            <w:left w:w="108" w:type="dxa"/>
            <w:bottom w:w="0" w:type="dxa"/>
            <w:right w:w="108" w:type="dxa"/>
          </w:tblCellMar>
        </w:tblPrEx>
        <w:trPr>
          <w:trHeight w:val="450" w:hRule="atLeast"/>
        </w:trPr>
        <w:tc>
          <w:tcPr>
            <w:tcW w:w="363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17,347.34</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1,365.36</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15,981.98</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一般公共服务支出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20123</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民族事务</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2012301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行政运行</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社会保障和就业支出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16,465.8</w:t>
            </w:r>
            <w:r>
              <w:rPr>
                <w:rFonts w:hint="eastAsia" w:ascii="宋体" w:hAnsi="宋体" w:eastAsia="宋体" w:cs="宋体"/>
                <w:color w:val="auto"/>
                <w:kern w:val="0"/>
                <w:sz w:val="22"/>
                <w:highlight w:val="none"/>
                <w:lang w:val="en-US" w:eastAsia="zh-CN"/>
              </w:rPr>
              <w:t>6</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1,350.39</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15,115.47</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民政管理事务</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1,350.39</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1,350.39</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2080201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行政运行</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473.02</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473.02</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2080299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其他民政管理事务支出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877.37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877.37</w:t>
            </w: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20808</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抚恤</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2080801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死亡抚恤</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退役安置</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2080902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军队移交政府的离退休人员安置</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社会福利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1,937.5</w:t>
            </w:r>
            <w:r>
              <w:rPr>
                <w:rFonts w:hint="eastAsia" w:ascii="宋体" w:hAnsi="宋体" w:eastAsia="宋体" w:cs="宋体"/>
                <w:color w:val="auto"/>
                <w:kern w:val="0"/>
                <w:sz w:val="22"/>
                <w:highlight w:val="none"/>
                <w:lang w:val="en-US" w:eastAsia="zh-CN"/>
              </w:rPr>
              <w:t>5</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1,937.5</w:t>
            </w:r>
            <w:r>
              <w:rPr>
                <w:rFonts w:hint="eastAsia" w:ascii="宋体" w:hAnsi="宋体" w:eastAsia="宋体" w:cs="宋体"/>
                <w:color w:val="auto"/>
                <w:kern w:val="0"/>
                <w:sz w:val="22"/>
                <w:highlight w:val="none"/>
                <w:lang w:val="en-US" w:eastAsia="zh-CN"/>
              </w:rPr>
              <w:t>5</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儿童福利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540.</w:t>
            </w:r>
            <w:r>
              <w:rPr>
                <w:rFonts w:hint="eastAsia" w:ascii="宋体" w:hAnsi="宋体" w:eastAsia="宋体" w:cs="宋体"/>
                <w:color w:val="auto"/>
                <w:kern w:val="0"/>
                <w:sz w:val="22"/>
                <w:highlight w:val="none"/>
                <w:lang w:val="en-US" w:eastAsia="zh-CN"/>
              </w:rPr>
              <w:t>8</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540.</w:t>
            </w:r>
            <w:r>
              <w:rPr>
                <w:rFonts w:hint="eastAsia" w:ascii="宋体" w:hAnsi="宋体" w:eastAsia="宋体" w:cs="宋体"/>
                <w:color w:val="auto"/>
                <w:kern w:val="0"/>
                <w:sz w:val="22"/>
                <w:highlight w:val="none"/>
                <w:lang w:val="en-US" w:eastAsia="zh-CN"/>
              </w:rPr>
              <w:t>8</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老年福利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404.91</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404.91</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2081004</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殡葬</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143.45</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143.45</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2081006</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养老服务</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277.81</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277.81</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2081099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其他社会福利支出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570.58</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570.58</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残疾人事业</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1,830.22</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1,830.22</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2081107</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残疾人生活和护理补贴</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1,615.51</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1,615.51</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2081199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其他残疾人事业支出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214.71</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214.71</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20820</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临时救助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2,015.64</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2,015.64</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2082001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临时救助支出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1,921.51</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1,921.51</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2082002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流浪乞讨人员救助支出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94.13</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94.13</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特困人员救助供养</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8,838.42</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8,838.42</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2082101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城市特困人员救助供养支出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177.50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177.50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2082102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农村特困人员救助供养支出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8,660.92</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8,660.92</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20825</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其他生活救助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2082502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其他农村生活救助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color w:val="auto"/>
                <w:highlight w:val="none"/>
              </w:rPr>
              <w:t>20899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其他社会保障和就业支出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2089901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其他社会保障和就业支出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210</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卫生健康支出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21099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其他卫生健康支出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2"/>
                <w:highlight w:val="none"/>
              </w:rPr>
              <w:t>0.20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2"/>
                <w:highlight w:val="none"/>
              </w:rPr>
              <w:t>0.20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2109901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其他卫生健康支出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2"/>
                <w:highlight w:val="none"/>
              </w:rPr>
              <w:t>0.20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2"/>
                <w:highlight w:val="none"/>
              </w:rPr>
              <w:t>0.20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213</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农林水支出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21305</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扶贫</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2130599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其他扶贫支出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224</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灾害防治及应急管理支出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22407</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自然灾害救灾及恢复重建支出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2240701</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中央自然灾害生活补助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4.24</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4.24</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2240703</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自然灾害救灾补助</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13.00</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13.00</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229</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其他支出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22960</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彩票公益金安排的支出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450" w:hRule="atLeast"/>
        </w:trPr>
        <w:tc>
          <w:tcPr>
            <w:tcW w:w="116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2296002</w:t>
            </w:r>
          </w:p>
        </w:tc>
        <w:tc>
          <w:tcPr>
            <w:tcW w:w="2469" w:type="dxa"/>
            <w:tcBorders>
              <w:top w:val="nil"/>
              <w:left w:val="nil"/>
              <w:bottom w:val="single" w:color="auto" w:sz="4" w:space="0"/>
              <w:right w:val="single" w:color="auto" w:sz="4" w:space="0"/>
            </w:tcBorders>
            <w:shd w:val="clear" w:color="000000" w:fill="FFFFFF"/>
            <w:noWrap/>
            <w:vAlign w:val="center"/>
          </w:tcPr>
          <w:p>
            <w:pPr>
              <w:widowControl/>
              <w:jc w:val="center"/>
              <w:rPr>
                <w:rFonts w:eastAsia="仿宋_GB2312"/>
                <w:color w:val="auto"/>
                <w:kern w:val="0"/>
                <w:highlight w:val="none"/>
              </w:rPr>
            </w:pPr>
            <w:r>
              <w:rPr>
                <w:rFonts w:hint="eastAsia" w:eastAsia="仿宋_GB2312"/>
                <w:color w:val="auto"/>
                <w:kern w:val="0"/>
                <w:highlight w:val="none"/>
              </w:rPr>
              <w:t>用于社会福利的彩票公益金支出</w:t>
            </w:r>
          </w:p>
        </w:tc>
        <w:tc>
          <w:tcPr>
            <w:tcW w:w="183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92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962"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8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c>
          <w:tcPr>
            <w:tcW w:w="181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630" w:hRule="atLeast"/>
        </w:trPr>
        <w:tc>
          <w:tcPr>
            <w:tcW w:w="14884" w:type="dxa"/>
            <w:gridSpan w:val="9"/>
            <w:tcBorders>
              <w:top w:val="nil"/>
              <w:left w:val="nil"/>
              <w:bottom w:val="nil"/>
              <w:right w:val="nil"/>
            </w:tcBorders>
            <w:shd w:val="clear" w:color="auto" w:fill="auto"/>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注：本表反映部门本年度各项支出情况。</w:t>
            </w:r>
          </w:p>
        </w:tc>
      </w:tr>
    </w:tbl>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ind w:left="93"/>
        <w:jc w:val="center"/>
        <w:rPr>
          <w:rFonts w:ascii="Times New Roman" w:hAnsi="Times New Roman" w:eastAsia="方正小标宋_GBK" w:cs="Times New Roman"/>
          <w:color w:val="auto"/>
          <w:kern w:val="0"/>
          <w:sz w:val="36"/>
          <w:szCs w:val="21"/>
          <w:highlight w:val="none"/>
        </w:rPr>
      </w:pPr>
    </w:p>
    <w:p>
      <w:pPr>
        <w:widowControl/>
        <w:rPr>
          <w:rFonts w:ascii="Times New Roman" w:hAnsi="Times New Roman" w:eastAsia="方正小标宋_GBK" w:cs="Times New Roman"/>
          <w:color w:val="auto"/>
          <w:kern w:val="0"/>
          <w:sz w:val="36"/>
          <w:szCs w:val="21"/>
          <w:highlight w:val="none"/>
        </w:rPr>
      </w:pPr>
    </w:p>
    <w:tbl>
      <w:tblPr>
        <w:tblStyle w:val="6"/>
        <w:tblW w:w="15521" w:type="dxa"/>
        <w:tblInd w:w="93" w:type="dxa"/>
        <w:tblLayout w:type="fixed"/>
        <w:tblCellMar>
          <w:top w:w="0" w:type="dxa"/>
          <w:left w:w="108" w:type="dxa"/>
          <w:bottom w:w="0" w:type="dxa"/>
          <w:right w:w="108" w:type="dxa"/>
        </w:tblCellMar>
      </w:tblPr>
      <w:tblGrid>
        <w:gridCol w:w="3383"/>
        <w:gridCol w:w="646"/>
        <w:gridCol w:w="1938"/>
        <w:gridCol w:w="3035"/>
        <w:gridCol w:w="150"/>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hint="eastAsia" w:ascii="方正小标宋简体" w:hAnsi="华文中宋" w:eastAsia="方正小标宋简体" w:cs="宋体"/>
                <w:color w:val="auto"/>
                <w:kern w:val="0"/>
                <w:sz w:val="32"/>
                <w:szCs w:val="32"/>
                <w:highlight w:val="none"/>
              </w:rPr>
            </w:pPr>
            <w:bookmarkStart w:id="0" w:name="RANGE!A1:I22"/>
            <w:bookmarkEnd w:id="0"/>
            <w:bookmarkStart w:id="1" w:name="RANGE!A1:F16"/>
            <w:r>
              <w:rPr>
                <w:rFonts w:hint="eastAsia" w:ascii="方正小标宋简体" w:hAnsi="华文中宋" w:eastAsia="方正小标宋简体" w:cs="宋体"/>
                <w:color w:val="auto"/>
                <w:kern w:val="0"/>
                <w:sz w:val="32"/>
                <w:szCs w:val="32"/>
                <w:highlight w:val="none"/>
              </w:rPr>
              <w:t>财政拨款收入支出决算总表</w:t>
            </w:r>
          </w:p>
        </w:tc>
      </w:tr>
      <w:tr>
        <w:tblPrEx>
          <w:tblCellMar>
            <w:top w:w="0" w:type="dxa"/>
            <w:left w:w="108" w:type="dxa"/>
            <w:bottom w:w="0" w:type="dxa"/>
            <w:right w:w="108" w:type="dxa"/>
          </w:tblCellMar>
        </w:tblPrEx>
        <w:trPr>
          <w:trHeight w:val="199" w:hRule="atLeast"/>
        </w:trPr>
        <w:tc>
          <w:tcPr>
            <w:tcW w:w="338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646"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38"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18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公开04表</w:t>
            </w:r>
          </w:p>
        </w:tc>
      </w:tr>
      <w:tr>
        <w:tblPrEx>
          <w:tblCellMar>
            <w:top w:w="0" w:type="dxa"/>
            <w:left w:w="108" w:type="dxa"/>
            <w:bottom w:w="0" w:type="dxa"/>
            <w:right w:w="108" w:type="dxa"/>
          </w:tblCellMar>
        </w:tblPrEx>
        <w:trPr>
          <w:trHeight w:val="300" w:hRule="atLeast"/>
        </w:trPr>
        <w:tc>
          <w:tcPr>
            <w:tcW w:w="3383" w:type="dxa"/>
            <w:tcBorders>
              <w:top w:val="nil"/>
              <w:left w:val="nil"/>
              <w:bottom w:val="nil"/>
              <w:right w:val="nil"/>
            </w:tcBorders>
            <w:shd w:val="clear" w:color="000000" w:fill="FFFFFF"/>
            <w:noWrap/>
            <w:vAlign w:val="center"/>
          </w:tcPr>
          <w:p>
            <w:pPr>
              <w:widowControl/>
              <w:jc w:val="lef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部门：湘潭县民政局</w:t>
            </w:r>
          </w:p>
        </w:tc>
        <w:tc>
          <w:tcPr>
            <w:tcW w:w="646"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38"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318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单位：万元</w:t>
            </w:r>
          </w:p>
        </w:tc>
      </w:tr>
      <w:tr>
        <w:tblPrEx>
          <w:tblCellMar>
            <w:top w:w="0" w:type="dxa"/>
            <w:left w:w="108" w:type="dxa"/>
            <w:bottom w:w="0" w:type="dxa"/>
            <w:right w:w="108" w:type="dxa"/>
          </w:tblCellMar>
        </w:tblPrEx>
        <w:trPr>
          <w:trHeight w:val="402" w:hRule="atLeast"/>
        </w:trPr>
        <w:tc>
          <w:tcPr>
            <w:tcW w:w="59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收入</w:t>
            </w:r>
          </w:p>
        </w:tc>
        <w:tc>
          <w:tcPr>
            <w:tcW w:w="9554"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支出</w:t>
            </w:r>
          </w:p>
        </w:tc>
      </w:tr>
      <w:tr>
        <w:tblPrEx>
          <w:tblCellMar>
            <w:top w:w="0" w:type="dxa"/>
            <w:left w:w="108" w:type="dxa"/>
            <w:bottom w:w="0" w:type="dxa"/>
            <w:right w:w="108" w:type="dxa"/>
          </w:tblCellMar>
        </w:tblPrEx>
        <w:trPr>
          <w:trHeight w:val="630"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1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金额</w:t>
            </w:r>
          </w:p>
        </w:tc>
        <w:tc>
          <w:tcPr>
            <w:tcW w:w="30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    目</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国有资本经营预算财政拨款</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30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栏    次</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一、一般公共预算财政拨款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13,192.01</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一、一般公共服务支出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二、政府性基金预算财政拨款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二、社会保障和就业支出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13,142.</w:t>
            </w:r>
            <w:r>
              <w:rPr>
                <w:rFonts w:hint="eastAsia" w:ascii="宋体" w:hAnsi="宋体" w:eastAsia="宋体" w:cs="宋体"/>
                <w:color w:val="auto"/>
                <w:kern w:val="0"/>
                <w:sz w:val="22"/>
                <w:highlight w:val="none"/>
                <w:lang w:val="en-US" w:eastAsia="zh-CN"/>
              </w:rPr>
              <w:t>60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13,142.</w:t>
            </w:r>
            <w:r>
              <w:rPr>
                <w:rFonts w:hint="eastAsia" w:ascii="宋体" w:hAnsi="宋体" w:eastAsia="宋体" w:cs="宋体"/>
                <w:color w:val="auto"/>
                <w:kern w:val="0"/>
                <w:sz w:val="22"/>
                <w:highlight w:val="none"/>
                <w:lang w:val="en-US" w:eastAsia="zh-CN"/>
              </w:rPr>
              <w:t>60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三、国有资本经营预算财政拨款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3</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三、卫生健康支出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sz w:val="22"/>
                <w:highlight w:val="none"/>
              </w:rPr>
              <w:t>0.2</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sz w:val="22"/>
                <w:highlight w:val="none"/>
              </w:rPr>
              <w:t>0.2</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4</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四、农林水支出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5</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五、灾害防治及应急管理支出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6</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六、其他支出</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832.07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832.07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7</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8</w:t>
            </w:r>
          </w:p>
        </w:tc>
        <w:tc>
          <w:tcPr>
            <w:tcW w:w="193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本年收入合计</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9</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14,024.08</w:t>
            </w:r>
          </w:p>
        </w:tc>
        <w:tc>
          <w:tcPr>
            <w:tcW w:w="30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本年支出合计</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14,024.08</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13,192.01</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　</w:t>
            </w:r>
          </w:p>
        </w:tc>
      </w:tr>
      <w:tr>
        <w:tblPrEx>
          <w:tblCellMar>
            <w:top w:w="0" w:type="dxa"/>
            <w:left w:w="108" w:type="dxa"/>
            <w:bottom w:w="0" w:type="dxa"/>
            <w:right w:w="108" w:type="dxa"/>
          </w:tblCellMar>
        </w:tblPrEx>
        <w:trPr>
          <w:trHeight w:val="90"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年初财政拨款结转和结余</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10</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年末财政拨款结转和结余</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一般公共预算财政拨款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11</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政府性基金预算财政拨款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12</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xml:space="preserve">    国有资本经营预算财政拨款</w:t>
            </w:r>
          </w:p>
        </w:tc>
        <w:tc>
          <w:tcPr>
            <w:tcW w:w="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13</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30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5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　</w:t>
            </w:r>
          </w:p>
        </w:tc>
      </w:tr>
      <w:tr>
        <w:tblPrEx>
          <w:tblCellMar>
            <w:top w:w="0" w:type="dxa"/>
            <w:left w:w="108" w:type="dxa"/>
            <w:bottom w:w="0" w:type="dxa"/>
            <w:right w:w="108" w:type="dxa"/>
          </w:tblCellMar>
        </w:tblPrEx>
        <w:trPr>
          <w:trHeight w:val="402" w:hRule="atLeast"/>
        </w:trPr>
        <w:tc>
          <w:tcPr>
            <w:tcW w:w="3383"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总计</w:t>
            </w:r>
          </w:p>
        </w:tc>
        <w:tc>
          <w:tcPr>
            <w:tcW w:w="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14</w:t>
            </w:r>
          </w:p>
        </w:tc>
        <w:tc>
          <w:tcPr>
            <w:tcW w:w="1938"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14,024.08</w:t>
            </w:r>
          </w:p>
        </w:tc>
        <w:tc>
          <w:tcPr>
            <w:tcW w:w="30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总计</w:t>
            </w:r>
          </w:p>
        </w:tc>
        <w:tc>
          <w:tcPr>
            <w:tcW w:w="58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14,024.08</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13,192.01</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auto"/>
                <w:kern w:val="0"/>
                <w:sz w:val="22"/>
                <w:highlight w:val="none"/>
              </w:rPr>
            </w:pPr>
            <w:r>
              <w:rPr>
                <w:rFonts w:hint="eastAsia" w:ascii="宋体" w:hAnsi="宋体" w:eastAsia="宋体" w:cs="宋体"/>
                <w:b/>
                <w:bCs/>
                <w:color w:val="auto"/>
                <w:kern w:val="0"/>
                <w:sz w:val="22"/>
                <w:highlight w:val="none"/>
              </w:rPr>
              <w:t>　</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注：本表反映部门本年度一般公共预算财政拨款、政府性基金预算财政拨款和国有资本经营预算财政拨款的总收支和年末结转结余情况。</w:t>
            </w:r>
          </w:p>
        </w:tc>
      </w:tr>
    </w:tbl>
    <w:p>
      <w:pPr>
        <w:widowControl/>
        <w:jc w:val="center"/>
        <w:rPr>
          <w:rFonts w:hint="eastAsia" w:ascii="方正小标宋简体" w:hAnsi="Times New Roman" w:eastAsia="方正小标宋简体" w:cs="Times New Roman"/>
          <w:color w:val="auto"/>
          <w:kern w:val="0"/>
          <w:sz w:val="32"/>
          <w:szCs w:val="36"/>
          <w:highlight w:val="none"/>
        </w:rPr>
      </w:pPr>
    </w:p>
    <w:p>
      <w:pPr>
        <w:widowControl/>
        <w:jc w:val="center"/>
        <w:rPr>
          <w:rFonts w:hint="eastAsia" w:ascii="方正小标宋简体" w:hAnsi="Times New Roman" w:eastAsia="方正小标宋简体" w:cs="Times New Roman"/>
          <w:color w:val="auto"/>
          <w:kern w:val="0"/>
          <w:sz w:val="32"/>
          <w:szCs w:val="36"/>
          <w:highlight w:val="none"/>
        </w:rPr>
      </w:pPr>
      <w:r>
        <w:rPr>
          <w:rFonts w:hint="eastAsia" w:ascii="方正小标宋简体" w:hAnsi="Times New Roman" w:eastAsia="方正小标宋简体" w:cs="Times New Roman"/>
          <w:color w:val="auto"/>
          <w:kern w:val="0"/>
          <w:sz w:val="32"/>
          <w:szCs w:val="36"/>
          <w:highlight w:val="none"/>
        </w:rPr>
        <w:t>一般公共预算财政拨款支出决算表</w:t>
      </w:r>
      <w:bookmarkEnd w:id="1"/>
    </w:p>
    <w:p>
      <w:pPr>
        <w:widowControl/>
        <w:spacing w:beforeLines="50"/>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部门：</w:t>
      </w:r>
      <w:r>
        <w:rPr>
          <w:rFonts w:hint="eastAsia" w:ascii="Times New Roman" w:hAnsi="Times New Roman" w:eastAsia="仿宋_GB2312" w:cs="Times New Roman"/>
          <w:color w:val="auto"/>
          <w:kern w:val="0"/>
          <w:szCs w:val="21"/>
          <w:highlight w:val="none"/>
        </w:rPr>
        <w:t>湘潭县民政局</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公开05表</w:t>
      </w:r>
    </w:p>
    <w:p>
      <w:pPr>
        <w:widowControl/>
        <w:jc w:val="left"/>
        <w:rPr>
          <w:rFonts w:ascii="Times New Roman" w:hAnsi="Times New Roman" w:eastAsia="宋体" w:cs="Times New Roman"/>
          <w:color w:val="auto"/>
          <w:kern w:val="0"/>
          <w:sz w:val="20"/>
          <w:szCs w:val="20"/>
          <w:highlight w:val="none"/>
        </w:rPr>
      </w:pP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highlight w:val="none"/>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highlight w:val="none"/>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13,192.01</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rPr>
              <w:t>634.8</w:t>
            </w:r>
            <w:r>
              <w:rPr>
                <w:rFonts w:hint="eastAsia" w:ascii="宋体" w:hAnsi="宋体" w:eastAsia="宋体" w:cs="宋体"/>
                <w:color w:val="auto"/>
                <w:kern w:val="0"/>
                <w:sz w:val="22"/>
                <w:highlight w:val="none"/>
                <w:lang w:val="en-US" w:eastAsia="zh-CN"/>
              </w:rPr>
              <w:t>4</w:t>
            </w:r>
          </w:p>
        </w:tc>
        <w:tc>
          <w:tcPr>
            <w:tcW w:w="3000"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rPr>
              <w:t>12,557.1</w:t>
            </w:r>
            <w:r>
              <w:rPr>
                <w:rFonts w:hint="eastAsia" w:ascii="宋体" w:hAnsi="宋体" w:eastAsia="宋体" w:cs="宋体"/>
                <w:color w:val="auto"/>
                <w:kern w:val="0"/>
                <w:sz w:val="22"/>
                <w:highlight w:val="none"/>
                <w:lang w:val="en-US" w:eastAsia="zh-CN"/>
              </w:rPr>
              <w:t>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201</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20123</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民族事务</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2012301</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14.97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13,142.</w:t>
            </w:r>
            <w:r>
              <w:rPr>
                <w:rFonts w:hint="eastAsia" w:ascii="宋体" w:hAnsi="宋体" w:eastAsia="宋体" w:cs="宋体"/>
                <w:color w:val="auto"/>
                <w:kern w:val="0"/>
                <w:sz w:val="22"/>
                <w:highlight w:val="none"/>
                <w:lang w:val="en-US" w:eastAsia="zh-CN"/>
              </w:rPr>
              <w:t>60</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619.87</w:t>
            </w:r>
          </w:p>
        </w:tc>
        <w:tc>
          <w:tcPr>
            <w:tcW w:w="3000" w:type="dxa"/>
            <w:tcBorders>
              <w:top w:val="nil"/>
              <w:left w:val="nil"/>
              <w:bottom w:val="single" w:color="auto" w:sz="4" w:space="0"/>
              <w:right w:val="single" w:color="auto" w:sz="8" w:space="0"/>
            </w:tcBorders>
            <w:shd w:val="clear" w:color="auto" w:fill="auto"/>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12,522.7</w:t>
            </w:r>
            <w:r>
              <w:rPr>
                <w:rFonts w:hint="eastAsia" w:ascii="宋体" w:hAnsi="宋体" w:eastAsia="宋体" w:cs="宋体"/>
                <w:color w:val="auto"/>
                <w:kern w:val="0"/>
                <w:sz w:val="22"/>
                <w:highlight w:val="none"/>
                <w:lang w:val="en-US" w:eastAsia="zh-CN"/>
              </w:rPr>
              <w:t>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20802</w:t>
            </w:r>
          </w:p>
        </w:tc>
        <w:tc>
          <w:tcPr>
            <w:tcW w:w="3527" w:type="dxa"/>
            <w:tcBorders>
              <w:top w:val="nil"/>
              <w:left w:val="nil"/>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民政管理事务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619.87</w:t>
            </w:r>
          </w:p>
        </w:tc>
        <w:tc>
          <w:tcPr>
            <w:tcW w:w="3492" w:type="dxa"/>
            <w:tcBorders>
              <w:top w:val="nil"/>
              <w:left w:val="nil"/>
              <w:bottom w:val="single" w:color="auto" w:sz="4"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619.87</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2080201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行政运行</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473.02</w:t>
            </w:r>
          </w:p>
        </w:tc>
        <w:tc>
          <w:tcPr>
            <w:tcW w:w="3492"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473.02</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2080299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其他民政管理事务支出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146.85</w:t>
            </w:r>
          </w:p>
        </w:tc>
        <w:tc>
          <w:tcPr>
            <w:tcW w:w="3492"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146.85</w:t>
            </w: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20808</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抚恤</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2080801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死亡抚恤</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0.05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退役安置</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2080902</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军队移交政府的离退休人员安置</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115.93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20810</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社会福利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1,289.</w:t>
            </w:r>
            <w:r>
              <w:rPr>
                <w:rFonts w:hint="eastAsia" w:ascii="宋体" w:hAnsi="宋体" w:eastAsia="宋体" w:cs="宋体"/>
                <w:color w:val="auto"/>
                <w:kern w:val="0"/>
                <w:sz w:val="22"/>
                <w:highlight w:val="none"/>
                <w:lang w:val="en-US" w:eastAsia="zh-CN"/>
              </w:rPr>
              <w:t>62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1,289.</w:t>
            </w:r>
            <w:r>
              <w:rPr>
                <w:rFonts w:hint="eastAsia" w:ascii="宋体" w:hAnsi="宋体" w:eastAsia="宋体" w:cs="宋体"/>
                <w:color w:val="auto"/>
                <w:kern w:val="0"/>
                <w:sz w:val="22"/>
                <w:highlight w:val="none"/>
                <w:lang w:val="en-US" w:eastAsia="zh-CN"/>
              </w:rPr>
              <w:t>62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2081001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儿童福利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371.</w:t>
            </w:r>
            <w:r>
              <w:rPr>
                <w:rFonts w:hint="eastAsia" w:ascii="宋体" w:hAnsi="宋体" w:eastAsia="宋体" w:cs="宋体"/>
                <w:color w:val="auto"/>
                <w:kern w:val="0"/>
                <w:sz w:val="22"/>
                <w:highlight w:val="none"/>
                <w:lang w:val="en-US" w:eastAsia="zh-CN"/>
              </w:rPr>
              <w:t>5</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rPr>
              <w:t>371.</w:t>
            </w:r>
            <w:r>
              <w:rPr>
                <w:rFonts w:hint="eastAsia" w:ascii="宋体" w:hAnsi="宋体" w:eastAsia="宋体" w:cs="宋体"/>
                <w:color w:val="auto"/>
                <w:kern w:val="0"/>
                <w:sz w:val="22"/>
                <w:highlight w:val="none"/>
                <w:lang w:val="en-US" w:eastAsia="zh-CN"/>
              </w:rPr>
              <w:t>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2081002</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老年福利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404.91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404.91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2081004</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殡葬</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143.45</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143.45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2081006</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养老服务</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209.76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209.76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2081099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其他社会福利支出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160.00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残疾人事业</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1,830.22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1,830.22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2081107</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残疾人生活和护理补贴</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1,615.51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1,615.51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2081199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其他残疾人事业支出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214.71</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214.71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20820</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临时救助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70.83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70.83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2082001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临时救助支出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10.00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2082002</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流浪乞讨人员救助支出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60.83</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60.83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特困人员救助供养</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8,838.42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8,838.42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2082101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城市特困人员救助供养支出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177.50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177.50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2082102</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农村特困人员救助供养支出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8,660.92</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8,660.92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20825</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其他生活救助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2082502</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其他农村生活救助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156.20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2089901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221.46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210</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21099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2109901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其他卫生健康支出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0.20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213</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农林水支出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21305</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扶贫</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2130599</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其他扶贫支出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color w:val="auto"/>
                <w:kern w:val="0"/>
                <w:szCs w:val="21"/>
                <w:highlight w:val="none"/>
              </w:rPr>
            </w:pPr>
            <w:r>
              <w:rPr>
                <w:rFonts w:hint="eastAsia" w:ascii="宋体" w:hAnsi="宋体" w:eastAsia="宋体" w:cs="宋体"/>
                <w:color w:val="auto"/>
                <w:kern w:val="0"/>
                <w:sz w:val="22"/>
                <w:highlight w:val="none"/>
              </w:rPr>
              <w:t>17.00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color w:val="auto"/>
                <w:kern w:val="0"/>
                <w:szCs w:val="21"/>
                <w:highlight w:val="none"/>
              </w:rPr>
            </w:pPr>
            <w:r>
              <w:rPr>
                <w:rFonts w:hint="eastAsia" w:ascii="宋体" w:hAnsi="宋体" w:eastAsia="宋体" w:cs="宋体"/>
                <w:color w:val="auto"/>
                <w:kern w:val="0"/>
                <w:sz w:val="22"/>
                <w:highlight w:val="none"/>
              </w:rPr>
              <w:t>17.00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224</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灾害防治及应急管理支出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22407</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kern w:val="0"/>
                <w:highlight w:val="none"/>
              </w:rPr>
            </w:pPr>
            <w:r>
              <w:rPr>
                <w:rFonts w:hint="eastAsia" w:ascii="仿宋" w:hAnsi="仿宋" w:eastAsia="仿宋" w:cs="仿宋"/>
                <w:color w:val="auto"/>
                <w:kern w:val="0"/>
                <w:highlight w:val="none"/>
              </w:rPr>
              <w:t>自然灾害救灾及恢复重建支出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17.24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2240701</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中央自然灾害生活补助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4.24</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4.24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2240703</w:t>
            </w:r>
          </w:p>
        </w:tc>
        <w:tc>
          <w:tcPr>
            <w:tcW w:w="3527" w:type="dxa"/>
            <w:tcBorders>
              <w:top w:val="nil"/>
              <w:left w:val="nil"/>
              <w:bottom w:val="single" w:color="auto" w:sz="8" w:space="0"/>
              <w:right w:val="single" w:color="auto" w:sz="4" w:space="0"/>
            </w:tcBorders>
            <w:shd w:val="clear" w:color="auto" w:fill="auto"/>
            <w:vAlign w:val="center"/>
          </w:tcPr>
          <w:p>
            <w:pPr>
              <w:widowControl/>
              <w:jc w:val="left"/>
              <w:textAlignment w:val="center"/>
              <w:rPr>
                <w:rFonts w:ascii="仿宋" w:hAnsi="仿宋" w:eastAsia="仿宋" w:cs="仿宋"/>
                <w:color w:val="auto"/>
                <w:highlight w:val="none"/>
              </w:rPr>
            </w:pPr>
            <w:r>
              <w:rPr>
                <w:rFonts w:hint="eastAsia" w:ascii="仿宋" w:hAnsi="仿宋" w:eastAsia="仿宋" w:cs="仿宋"/>
                <w:color w:val="auto"/>
                <w:kern w:val="0"/>
                <w:highlight w:val="none"/>
              </w:rPr>
              <w:t>自然灾害救灾补助</w:t>
            </w:r>
          </w:p>
        </w:tc>
        <w:tc>
          <w:tcPr>
            <w:tcW w:w="300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13.00</w:t>
            </w: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p>
        </w:tc>
        <w:tc>
          <w:tcPr>
            <w:tcW w:w="3000"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13.00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注：本表反映部门本年度一般公共预算财政拨款支出情况。</w:t>
            </w:r>
          </w:p>
        </w:tc>
      </w:tr>
    </w:tbl>
    <w:p>
      <w:pPr>
        <w:widowControl/>
        <w:jc w:val="left"/>
        <w:rPr>
          <w:rFonts w:ascii="Times New Roman" w:hAnsi="Times New Roman" w:eastAsia="仿宋_GB2312" w:cs="Times New Roman"/>
          <w:bCs/>
          <w:color w:val="auto"/>
          <w:kern w:val="0"/>
          <w:szCs w:val="21"/>
          <w:highlight w:val="none"/>
        </w:rPr>
      </w:pPr>
    </w:p>
    <w:p>
      <w:pPr>
        <w:widowControl/>
        <w:jc w:val="left"/>
        <w:rPr>
          <w:rFonts w:ascii="Times New Roman" w:hAnsi="Times New Roman" w:eastAsia="仿宋_GB2312" w:cs="Times New Roman"/>
          <w:bCs/>
          <w:color w:val="auto"/>
          <w:kern w:val="0"/>
          <w:szCs w:val="21"/>
          <w:highlight w:val="none"/>
        </w:rPr>
      </w:pPr>
      <w:r>
        <w:rPr>
          <w:rFonts w:ascii="Times New Roman" w:hAnsi="Times New Roman" w:eastAsia="仿宋_GB2312" w:cs="Times New Roman"/>
          <w:bCs/>
          <w:color w:val="auto"/>
          <w:kern w:val="0"/>
          <w:szCs w:val="21"/>
          <w:highlight w:val="none"/>
        </w:rPr>
        <w:br w:type="page"/>
      </w:r>
    </w:p>
    <w:tbl>
      <w:tblPr>
        <w:tblStyle w:val="6"/>
        <w:tblW w:w="15197" w:type="dxa"/>
        <w:tblInd w:w="0" w:type="dxa"/>
        <w:tblLayout w:type="fixed"/>
        <w:tblCellMar>
          <w:top w:w="0" w:type="dxa"/>
          <w:left w:w="108" w:type="dxa"/>
          <w:bottom w:w="0" w:type="dxa"/>
          <w:right w:w="108" w:type="dxa"/>
        </w:tblCellMar>
      </w:tblPr>
      <w:tblGrid>
        <w:gridCol w:w="844"/>
        <w:gridCol w:w="3366"/>
        <w:gridCol w:w="1054"/>
        <w:gridCol w:w="887"/>
        <w:gridCol w:w="2176"/>
        <w:gridCol w:w="1134"/>
        <w:gridCol w:w="942"/>
        <w:gridCol w:w="3725"/>
        <w:gridCol w:w="1069"/>
      </w:tblGrid>
      <w:tr>
        <w:tblPrEx>
          <w:tblCellMar>
            <w:top w:w="0" w:type="dxa"/>
            <w:left w:w="108" w:type="dxa"/>
            <w:bottom w:w="0" w:type="dxa"/>
            <w:right w:w="108" w:type="dxa"/>
          </w:tblCellMar>
        </w:tblPrEx>
        <w:trPr>
          <w:trHeight w:val="104" w:hRule="atLeast"/>
        </w:trPr>
        <w:tc>
          <w:tcPr>
            <w:tcW w:w="15197" w:type="dxa"/>
            <w:gridSpan w:val="9"/>
            <w:tcBorders>
              <w:top w:val="nil"/>
              <w:left w:val="nil"/>
              <w:bottom w:val="nil"/>
              <w:right w:val="nil"/>
            </w:tcBorders>
            <w:shd w:val="clear" w:color="auto" w:fill="auto"/>
            <w:noWrap/>
            <w:vAlign w:val="center"/>
          </w:tcPr>
          <w:p>
            <w:pPr>
              <w:widowControl/>
              <w:jc w:val="center"/>
              <w:rPr>
                <w:rFonts w:hint="eastAsia" w:ascii="方正小标宋简体" w:hAnsi="华文中宋" w:eastAsia="方正小标宋简体" w:cs="宋体"/>
                <w:color w:val="auto"/>
                <w:kern w:val="0"/>
                <w:sz w:val="32"/>
                <w:szCs w:val="24"/>
                <w:highlight w:val="none"/>
              </w:rPr>
            </w:pPr>
            <w:bookmarkStart w:id="2" w:name="RANGE!A1:I34"/>
            <w:r>
              <w:rPr>
                <w:rFonts w:hint="eastAsia" w:ascii="方正小标宋简体" w:hAnsi="华文中宋" w:eastAsia="方正小标宋简体" w:cs="宋体"/>
                <w:color w:val="auto"/>
                <w:kern w:val="0"/>
                <w:sz w:val="32"/>
                <w:szCs w:val="24"/>
                <w:highlight w:val="none"/>
              </w:rPr>
              <w:t>一般公共预算财政拨款基本支出决算表</w:t>
            </w:r>
            <w:bookmarkEnd w:id="2"/>
          </w:p>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部门：</w:t>
            </w:r>
            <w:r>
              <w:rPr>
                <w:rFonts w:hint="eastAsia" w:ascii="Times New Roman" w:hAnsi="Times New Roman" w:eastAsia="仿宋_GB2312" w:cs="Times New Roman"/>
                <w:color w:val="auto"/>
                <w:kern w:val="0"/>
                <w:szCs w:val="21"/>
                <w:highlight w:val="none"/>
              </w:rPr>
              <w:t>湘潭县民政局                                                                                                                        公开06表</w:t>
            </w:r>
          </w:p>
          <w:p>
            <w:pPr>
              <w:widowControl/>
              <w:jc w:val="right"/>
              <w:rPr>
                <w:rFonts w:ascii="华文中宋" w:hAnsi="华文中宋" w:eastAsia="华文中宋" w:cs="宋体"/>
                <w:color w:val="auto"/>
                <w:kern w:val="0"/>
                <w:szCs w:val="32"/>
                <w:highlight w:val="none"/>
              </w:rPr>
            </w:pPr>
            <w:r>
              <w:rPr>
                <w:rFonts w:hint="eastAsia" w:ascii="Times New Roman" w:hAnsi="Times New Roman" w:eastAsia="仿宋_GB2312" w:cs="Times New Roman"/>
                <w:color w:val="auto"/>
                <w:kern w:val="0"/>
                <w:szCs w:val="21"/>
                <w:highlight w:val="none"/>
              </w:rPr>
              <w:t>单位：万元</w:t>
            </w:r>
          </w:p>
        </w:tc>
      </w:tr>
      <w:tr>
        <w:tblPrEx>
          <w:tblCellMar>
            <w:top w:w="0" w:type="dxa"/>
            <w:left w:w="108" w:type="dxa"/>
            <w:bottom w:w="0" w:type="dxa"/>
            <w:right w:w="108" w:type="dxa"/>
          </w:tblCellMar>
        </w:tblPrEx>
        <w:trPr>
          <w:trHeight w:val="104" w:hRule="atLeast"/>
        </w:trPr>
        <w:tc>
          <w:tcPr>
            <w:tcW w:w="8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 w:val="20"/>
                <w:szCs w:val="20"/>
                <w:highlight w:val="none"/>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科目名称</w:t>
            </w:r>
          </w:p>
        </w:tc>
        <w:tc>
          <w:tcPr>
            <w:tcW w:w="10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决算数</w:t>
            </w:r>
          </w:p>
        </w:tc>
        <w:tc>
          <w:tcPr>
            <w:tcW w:w="8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经济分类科目编码</w:t>
            </w:r>
          </w:p>
        </w:tc>
        <w:tc>
          <w:tcPr>
            <w:tcW w:w="21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科目名称</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决算数</w:t>
            </w:r>
          </w:p>
        </w:tc>
        <w:tc>
          <w:tcPr>
            <w:tcW w:w="9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经济分类科目编码</w:t>
            </w:r>
          </w:p>
        </w:tc>
        <w:tc>
          <w:tcPr>
            <w:tcW w:w="37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科目名称</w:t>
            </w:r>
          </w:p>
        </w:tc>
        <w:tc>
          <w:tcPr>
            <w:tcW w:w="10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决算数</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工资福利支出</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503.90</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商品和服务支出</w:t>
            </w:r>
          </w:p>
        </w:tc>
        <w:tc>
          <w:tcPr>
            <w:tcW w:w="113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103.9</w:t>
            </w:r>
            <w:r>
              <w:rPr>
                <w:rFonts w:hint="eastAsia" w:ascii="宋体" w:hAnsi="宋体" w:eastAsia="宋体" w:cs="宋体"/>
                <w:color w:val="auto"/>
                <w:kern w:val="0"/>
                <w:sz w:val="22"/>
                <w:highlight w:val="none"/>
                <w:lang w:val="en-US" w:eastAsia="zh-CN"/>
              </w:rPr>
              <w:t>1</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307</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债务利息及费用支出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基本工资</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188.25</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30201</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办公费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62.7</w:t>
            </w:r>
            <w:r>
              <w:rPr>
                <w:rFonts w:hint="eastAsia" w:ascii="宋体" w:hAnsi="宋体" w:eastAsia="宋体" w:cs="宋体"/>
                <w:color w:val="auto"/>
                <w:kern w:val="0"/>
                <w:sz w:val="22"/>
                <w:highlight w:val="none"/>
                <w:lang w:val="en-US" w:eastAsia="zh-CN"/>
              </w:rPr>
              <w:t>6</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30701</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国内债务付息</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津贴补贴</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62.27</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30202</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印刷费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30702</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国外债务付息</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奖金</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30203</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咨询费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资本性支出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27.03</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伙食补助费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30204</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手续费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31001</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房屋建筑物购建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绩效工资</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106.97</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30205</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水费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31002</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办公设备购置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27.03</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机关事业单位基本养老保险缴费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27.89</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30206</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电费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31003</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专用设备购置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职业年金缴费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16.4</w:t>
            </w:r>
            <w:r>
              <w:rPr>
                <w:rFonts w:hint="eastAsia" w:ascii="宋体" w:hAnsi="宋体" w:eastAsia="宋体" w:cs="宋体"/>
                <w:color w:val="auto"/>
                <w:kern w:val="0"/>
                <w:sz w:val="22"/>
                <w:highlight w:val="none"/>
                <w:lang w:val="en-US" w:eastAsia="zh-CN"/>
              </w:rPr>
              <w:t>5</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30207</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邮电费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31005</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基础设施建设</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职工基本医疗保险缴费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56.03</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30208</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取暖费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31006</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大型修缮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公务员医疗补助缴费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30209</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物业管理费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31007</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信息网络及软件购置更新</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其他社会保障缴费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2.07</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30211</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差旅费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31008</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物资储备</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住房公积金</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43.97</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30212</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因公出国（境）费用</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31009</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土地补偿</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医疗费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30213</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维修（护）费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31010</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安置补助</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其他工资福利支出</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30214</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租赁费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31011</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地上附着物和青苗补偿</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对</w:t>
            </w:r>
            <w:bookmarkStart w:id="3" w:name="_GoBack"/>
            <w:bookmarkEnd w:id="3"/>
            <w:r>
              <w:rPr>
                <w:rFonts w:hint="eastAsia" w:ascii="宋体" w:hAnsi="宋体" w:eastAsia="宋体" w:cs="宋体"/>
                <w:color w:val="auto"/>
                <w:kern w:val="0"/>
                <w:szCs w:val="20"/>
                <w:highlight w:val="none"/>
              </w:rPr>
              <w:t>个人和家庭的补助</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30215</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会议费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31012</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拆迁补偿</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离休费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30216</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培训费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19.72</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31013</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公务用车购置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退休费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30217</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公务接待费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1.7</w:t>
            </w:r>
            <w:r>
              <w:rPr>
                <w:rFonts w:hint="eastAsia" w:ascii="宋体" w:hAnsi="宋体" w:eastAsia="宋体" w:cs="宋体"/>
                <w:color w:val="auto"/>
                <w:kern w:val="0"/>
                <w:sz w:val="22"/>
                <w:highlight w:val="none"/>
                <w:lang w:val="en-US" w:eastAsia="zh-CN"/>
              </w:rPr>
              <w:t>6</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31019</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其他交通工具购置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退职（役）费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30218</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专用材料费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31021</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文物和陈列品购置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抚恤金</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30224</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被装购置费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31022</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无形资产购置</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生活补助</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30225</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专用燃料费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31099</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其他资本性支出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救济费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30226</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劳务费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399</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其他支出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医疗费补助</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30227</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委托业务费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39906</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赠与</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助学金</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30228</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工会经费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39907</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国家赔偿费用支出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奖励金</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30229</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福利费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39908</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对民间非营利组织和群众性自治组织补贴</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个人农业生产补贴</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30231</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公务用车运行维护费</w:t>
            </w:r>
          </w:p>
        </w:tc>
        <w:tc>
          <w:tcPr>
            <w:tcW w:w="113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rPr>
              <w:t>19.6</w:t>
            </w:r>
            <w:r>
              <w:rPr>
                <w:rFonts w:hint="eastAsia" w:ascii="宋体" w:hAnsi="宋体" w:eastAsia="宋体" w:cs="宋体"/>
                <w:color w:val="auto"/>
                <w:kern w:val="0"/>
                <w:sz w:val="22"/>
                <w:highlight w:val="none"/>
                <w:lang w:val="en-US" w:eastAsia="zh-CN"/>
              </w:rPr>
              <w:t>7</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39999</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其他支出</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代缴社会保险费</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30239</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其他交通费用</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其他对个人和家庭的补助</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30240</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税金及附加费用</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84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105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88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30299</w:t>
            </w:r>
          </w:p>
        </w:tc>
        <w:tc>
          <w:tcPr>
            <w:tcW w:w="2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xml:space="preserve">  其他商品和服务支出</w:t>
            </w:r>
          </w:p>
        </w:tc>
        <w:tc>
          <w:tcPr>
            <w:tcW w:w="113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372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18"/>
                <w:highlight w:val="none"/>
              </w:rPr>
            </w:pPr>
            <w:r>
              <w:rPr>
                <w:rFonts w:hint="eastAsia" w:ascii="宋体" w:hAnsi="宋体" w:eastAsia="宋体" w:cs="宋体"/>
                <w:color w:val="auto"/>
                <w:kern w:val="0"/>
                <w:szCs w:val="18"/>
                <w:highlight w:val="none"/>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　</w:t>
            </w:r>
          </w:p>
        </w:tc>
      </w:tr>
      <w:tr>
        <w:tblPrEx>
          <w:tblCellMar>
            <w:top w:w="0" w:type="dxa"/>
            <w:left w:w="108" w:type="dxa"/>
            <w:bottom w:w="0" w:type="dxa"/>
            <w:right w:w="108" w:type="dxa"/>
          </w:tblCellMar>
        </w:tblPrEx>
        <w:trPr>
          <w:trHeight w:val="261" w:hRule="exact"/>
        </w:trPr>
        <w:tc>
          <w:tcPr>
            <w:tcW w:w="42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人员经费合计</w:t>
            </w:r>
          </w:p>
        </w:tc>
        <w:tc>
          <w:tcPr>
            <w:tcW w:w="105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503.90</w:t>
            </w:r>
          </w:p>
        </w:tc>
        <w:tc>
          <w:tcPr>
            <w:tcW w:w="8864"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0"/>
                <w:highlight w:val="none"/>
              </w:rPr>
            </w:pPr>
            <w:r>
              <w:rPr>
                <w:rFonts w:hint="eastAsia" w:ascii="宋体" w:hAnsi="宋体" w:eastAsia="宋体" w:cs="宋体"/>
                <w:color w:val="auto"/>
                <w:kern w:val="0"/>
                <w:szCs w:val="20"/>
                <w:highlight w:val="none"/>
              </w:rPr>
              <w:t>公用经费合计</w:t>
            </w:r>
          </w:p>
        </w:tc>
        <w:tc>
          <w:tcPr>
            <w:tcW w:w="106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auto"/>
                <w:kern w:val="0"/>
                <w:szCs w:val="18"/>
                <w:highlight w:val="none"/>
                <w:lang w:eastAsia="zh-CN"/>
              </w:rPr>
            </w:pPr>
            <w:r>
              <w:rPr>
                <w:rFonts w:hint="eastAsia" w:ascii="宋体" w:hAnsi="宋体" w:eastAsia="宋体" w:cs="宋体"/>
                <w:color w:val="auto"/>
                <w:kern w:val="0"/>
                <w:szCs w:val="18"/>
                <w:highlight w:val="none"/>
              </w:rPr>
              <w:t>　130.9</w:t>
            </w:r>
            <w:r>
              <w:rPr>
                <w:rFonts w:hint="eastAsia" w:ascii="宋体" w:hAnsi="宋体" w:eastAsia="宋体" w:cs="宋体"/>
                <w:color w:val="auto"/>
                <w:kern w:val="0"/>
                <w:szCs w:val="18"/>
                <w:highlight w:val="none"/>
                <w:lang w:val="en-US" w:eastAsia="zh-CN"/>
              </w:rPr>
              <w:t>4</w:t>
            </w:r>
          </w:p>
        </w:tc>
      </w:tr>
      <w:tr>
        <w:tblPrEx>
          <w:tblCellMar>
            <w:top w:w="0" w:type="dxa"/>
            <w:left w:w="108" w:type="dxa"/>
            <w:bottom w:w="0" w:type="dxa"/>
            <w:right w:w="108" w:type="dxa"/>
          </w:tblCellMar>
        </w:tblPrEx>
        <w:trPr>
          <w:trHeight w:val="261" w:hRule="exact"/>
        </w:trPr>
        <w:tc>
          <w:tcPr>
            <w:tcW w:w="15197"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auto"/>
                <w:kern w:val="0"/>
                <w:szCs w:val="24"/>
                <w:highlight w:val="none"/>
              </w:rPr>
            </w:pPr>
            <w:r>
              <w:rPr>
                <w:rFonts w:hint="eastAsia" w:ascii="宋体" w:hAnsi="宋体" w:eastAsia="宋体" w:cs="宋体"/>
                <w:color w:val="auto"/>
                <w:kern w:val="0"/>
                <w:szCs w:val="24"/>
                <w:highlight w:val="none"/>
              </w:rPr>
              <w:t>注：本表反映部门本年度一般公共预算财政拨款基本支出明细情况。</w:t>
            </w:r>
          </w:p>
        </w:tc>
      </w:tr>
    </w:tbl>
    <w:p>
      <w:pPr>
        <w:widowControl/>
        <w:jc w:val="center"/>
        <w:rPr>
          <w:rFonts w:hint="eastAsia" w:ascii="方正小标宋简体" w:hAnsi="Times New Roman" w:eastAsia="方正小标宋简体" w:cs="Times New Roman"/>
          <w:color w:val="auto"/>
          <w:kern w:val="0"/>
          <w:sz w:val="32"/>
          <w:szCs w:val="36"/>
          <w:highlight w:val="none"/>
        </w:rPr>
      </w:pPr>
      <w:r>
        <w:rPr>
          <w:rFonts w:hint="eastAsia" w:ascii="方正小标宋简体" w:hAnsi="Times New Roman" w:eastAsia="方正小标宋简体" w:cs="Times New Roman"/>
          <w:color w:val="auto"/>
          <w:kern w:val="0"/>
          <w:sz w:val="32"/>
          <w:szCs w:val="36"/>
          <w:highlight w:val="none"/>
        </w:rPr>
        <w:t>一般公共预算财政拨款“三公”经费支出决算表</w:t>
      </w:r>
    </w:p>
    <w:p>
      <w:pPr>
        <w:widowControl/>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部门：</w:t>
      </w:r>
      <w:r>
        <w:rPr>
          <w:rFonts w:hint="eastAsia" w:ascii="Times New Roman" w:hAnsi="Times New Roman" w:eastAsia="仿宋_GB2312" w:cs="Times New Roman"/>
          <w:color w:val="auto"/>
          <w:kern w:val="0"/>
          <w:szCs w:val="21"/>
          <w:highlight w:val="none"/>
        </w:rPr>
        <w:t>湘潭县民政局</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公开0</w:t>
      </w:r>
      <w:r>
        <w:rPr>
          <w:rFonts w:hint="eastAsia" w:ascii="Times New Roman" w:hAnsi="Times New Roman" w:eastAsia="仿宋_GB2312" w:cs="Times New Roman"/>
          <w:color w:val="auto"/>
          <w:kern w:val="0"/>
          <w:szCs w:val="21"/>
          <w:highlight w:val="none"/>
        </w:rPr>
        <w:t>7</w:t>
      </w:r>
      <w:r>
        <w:rPr>
          <w:rFonts w:ascii="Times New Roman" w:hAnsi="Times New Roman" w:eastAsia="仿宋_GB2312" w:cs="Times New Roman"/>
          <w:color w:val="auto"/>
          <w:kern w:val="0"/>
          <w:szCs w:val="21"/>
          <w:highlight w:val="none"/>
        </w:rPr>
        <w:t>表</w:t>
      </w:r>
    </w:p>
    <w:p>
      <w:pPr>
        <w:widowControl/>
        <w:ind w:right="420"/>
        <w:jc w:val="righ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w:t>
            </w:r>
          </w:p>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w:t>
            </w:r>
          </w:p>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w:t>
            </w:r>
            <w:r>
              <w:rPr>
                <w:rFonts w:ascii="Times New Roman" w:hAnsi="Times New Roman" w:eastAsia="仿宋_GB2312" w:cs="Times New Roman"/>
                <w:color w:val="auto"/>
                <w:kern w:val="0"/>
                <w:szCs w:val="21"/>
                <w:highlight w:val="none"/>
              </w:rPr>
              <w:br w:type="textWrapping"/>
            </w:r>
            <w:r>
              <w:rPr>
                <w:rFonts w:ascii="Times New Roman" w:hAnsi="Times New Roman" w:eastAsia="仿宋_GB2312" w:cs="Times New Roman"/>
                <w:color w:val="auto"/>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w:t>
            </w:r>
            <w:r>
              <w:rPr>
                <w:rFonts w:ascii="Times New Roman" w:hAnsi="Times New Roman" w:eastAsia="仿宋_GB2312" w:cs="Times New Roman"/>
                <w:color w:val="auto"/>
                <w:kern w:val="0"/>
                <w:szCs w:val="21"/>
                <w:highlight w:val="none"/>
              </w:rPr>
              <w:br w:type="textWrapping"/>
            </w:r>
            <w:r>
              <w:rPr>
                <w:rFonts w:ascii="Times New Roman" w:hAnsi="Times New Roman" w:eastAsia="仿宋_GB2312" w:cs="Times New Roman"/>
                <w:color w:val="auto"/>
                <w:kern w:val="0"/>
                <w:szCs w:val="21"/>
                <w:highlight w:val="none"/>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highlight w:val="none"/>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w:t>
            </w:r>
            <w:r>
              <w:rPr>
                <w:rFonts w:ascii="Times New Roman" w:hAnsi="Times New Roman" w:eastAsia="仿宋_GB2312" w:cs="Times New Roman"/>
                <w:color w:val="auto"/>
                <w:kern w:val="0"/>
                <w:szCs w:val="21"/>
                <w:highlight w:val="none"/>
              </w:rPr>
              <w:br w:type="textWrapping"/>
            </w:r>
            <w:r>
              <w:rPr>
                <w:rFonts w:ascii="Times New Roman" w:hAnsi="Times New Roman" w:eastAsia="仿宋_GB2312" w:cs="Times New Roman"/>
                <w:color w:val="auto"/>
                <w:kern w:val="0"/>
                <w:szCs w:val="21"/>
                <w:highlight w:val="none"/>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公务用车</w:t>
            </w:r>
            <w:r>
              <w:rPr>
                <w:rFonts w:ascii="Times New Roman" w:hAnsi="Times New Roman" w:eastAsia="仿宋_GB2312" w:cs="Times New Roman"/>
                <w:color w:val="auto"/>
                <w:kern w:val="0"/>
                <w:szCs w:val="21"/>
                <w:highlight w:val="none"/>
              </w:rPr>
              <w:br w:type="textWrapping"/>
            </w:r>
            <w:r>
              <w:rPr>
                <w:rFonts w:ascii="Times New Roman" w:hAnsi="Times New Roman" w:eastAsia="仿宋_GB2312" w:cs="Times New Roman"/>
                <w:color w:val="auto"/>
                <w:kern w:val="0"/>
                <w:szCs w:val="21"/>
                <w:highlight w:val="none"/>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color w:val="auto"/>
                <w:kern w:val="0"/>
                <w:szCs w:val="21"/>
                <w:highlight w:val="none"/>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21.42</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22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19.67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22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19.67</w:t>
            </w:r>
          </w:p>
        </w:tc>
        <w:tc>
          <w:tcPr>
            <w:tcW w:w="122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1.75</w:t>
            </w:r>
          </w:p>
        </w:tc>
        <w:tc>
          <w:tcPr>
            <w:tcW w:w="122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21.42</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220" w:type="dxa"/>
            <w:tcBorders>
              <w:top w:val="nil"/>
              <w:left w:val="nil"/>
              <w:bottom w:val="single" w:color="auto" w:sz="8" w:space="0"/>
              <w:right w:val="single" w:color="auto" w:sz="4"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19.67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220" w:type="dxa"/>
            <w:tcBorders>
              <w:top w:val="nil"/>
              <w:left w:val="nil"/>
              <w:bottom w:val="single" w:color="auto" w:sz="8" w:space="0"/>
              <w:right w:val="nil"/>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19.67</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right"/>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1.75</w:t>
            </w:r>
          </w:p>
        </w:tc>
      </w:tr>
    </w:tbl>
    <w:p>
      <w:pPr>
        <w:widowControl/>
        <w:jc w:val="left"/>
        <w:rPr>
          <w:rFonts w:ascii="宋体" w:eastAsia="宋体" w:cs="宋体"/>
          <w:color w:val="auto"/>
          <w:kern w:val="0"/>
          <w:sz w:val="24"/>
          <w:szCs w:val="24"/>
          <w:highlight w:val="none"/>
        </w:rPr>
      </w:pPr>
      <w:r>
        <w:rPr>
          <w:rFonts w:hint="eastAsia" w:ascii="宋体" w:eastAsia="宋体" w:cs="宋体"/>
          <w:color w:val="auto"/>
          <w:kern w:val="0"/>
          <w:sz w:val="24"/>
          <w:szCs w:val="24"/>
          <w:highlight w:val="none"/>
        </w:rPr>
        <w:t xml:space="preserve">   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color w:val="auto"/>
          <w:kern w:val="0"/>
          <w:sz w:val="24"/>
          <w:szCs w:val="24"/>
          <w:highlight w:val="none"/>
        </w:rPr>
        <w:br w:type="page"/>
      </w:r>
    </w:p>
    <w:p>
      <w:pPr>
        <w:autoSpaceDE w:val="0"/>
        <w:autoSpaceDN w:val="0"/>
        <w:adjustRightInd w:val="0"/>
        <w:ind w:left="315" w:leftChars="150"/>
        <w:jc w:val="left"/>
        <w:rPr>
          <w:rFonts w:ascii="宋体" w:eastAsia="宋体" w:cs="宋体"/>
          <w:color w:val="auto"/>
          <w:kern w:val="0"/>
          <w:sz w:val="24"/>
          <w:szCs w:val="24"/>
          <w:highlight w:val="none"/>
        </w:rPr>
      </w:pPr>
    </w:p>
    <w:p>
      <w:pPr>
        <w:widowControl/>
        <w:jc w:val="center"/>
        <w:rPr>
          <w:rFonts w:hint="eastAsia" w:ascii="方正小标宋简体" w:hAnsi="Times New Roman" w:eastAsia="方正小标宋简体" w:cs="Times New Roman"/>
          <w:color w:val="auto"/>
          <w:kern w:val="0"/>
          <w:sz w:val="36"/>
          <w:szCs w:val="36"/>
          <w:highlight w:val="none"/>
        </w:rPr>
      </w:pPr>
      <w:r>
        <w:rPr>
          <w:rFonts w:hint="eastAsia" w:ascii="方正小标宋简体" w:hAnsi="Times New Roman" w:eastAsia="方正小标宋简体" w:cs="Times New Roman"/>
          <w:color w:val="auto"/>
          <w:kern w:val="0"/>
          <w:sz w:val="36"/>
          <w:szCs w:val="36"/>
          <w:highlight w:val="none"/>
        </w:rPr>
        <w:t>政府性基金预算财政拨款收入支出决算表</w:t>
      </w:r>
    </w:p>
    <w:p>
      <w:pPr>
        <w:widowControl/>
        <w:wordWrap w:val="0"/>
        <w:ind w:firstLine="630" w:firstLineChars="300"/>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部门：</w:t>
      </w:r>
      <w:r>
        <w:rPr>
          <w:rFonts w:hint="eastAsia" w:ascii="Times New Roman" w:hAnsi="Times New Roman" w:eastAsia="仿宋_GB2312" w:cs="Times New Roman"/>
          <w:color w:val="auto"/>
          <w:kern w:val="0"/>
          <w:szCs w:val="21"/>
          <w:highlight w:val="none"/>
        </w:rPr>
        <w:t>湘潭县民政局</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r>
        <w:rPr>
          <w:rFonts w:ascii="Times New Roman" w:hAnsi="Times New Roman" w:eastAsia="仿宋_GB2312" w:cs="Times New Roman"/>
          <w:color w:val="auto"/>
          <w:kern w:val="0"/>
          <w:szCs w:val="21"/>
          <w:highlight w:val="none"/>
        </w:rPr>
        <w:t xml:space="preserve">  公开08表</w:t>
      </w:r>
    </w:p>
    <w:p>
      <w:pPr>
        <w:widowControl/>
        <w:ind w:firstLine="13650" w:firstLineChars="6500"/>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3188"/>
        <w:gridCol w:w="1777"/>
        <w:gridCol w:w="1638"/>
        <w:gridCol w:w="1627"/>
        <w:gridCol w:w="1650"/>
        <w:gridCol w:w="1743"/>
        <w:gridCol w:w="169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308" w:type="dxa"/>
            <w:gridSpan w:val="2"/>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项 目</w:t>
            </w:r>
          </w:p>
        </w:tc>
        <w:tc>
          <w:tcPr>
            <w:tcW w:w="1777"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年初结转和结余</w:t>
            </w:r>
          </w:p>
        </w:tc>
        <w:tc>
          <w:tcPr>
            <w:tcW w:w="1638"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本年收入</w:t>
            </w:r>
          </w:p>
        </w:tc>
        <w:tc>
          <w:tcPr>
            <w:tcW w:w="5020" w:type="dxa"/>
            <w:gridSpan w:val="3"/>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本年支出</w:t>
            </w:r>
          </w:p>
        </w:tc>
        <w:tc>
          <w:tcPr>
            <w:tcW w:w="1697"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功能分类科目编码</w:t>
            </w:r>
          </w:p>
        </w:tc>
        <w:tc>
          <w:tcPr>
            <w:tcW w:w="3188"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科目名称</w:t>
            </w:r>
          </w:p>
        </w:tc>
        <w:tc>
          <w:tcPr>
            <w:tcW w:w="1777" w:type="dxa"/>
            <w:vMerge w:val="continue"/>
            <w:vAlign w:val="center"/>
          </w:tcPr>
          <w:p>
            <w:pPr>
              <w:widowControl/>
              <w:jc w:val="left"/>
              <w:rPr>
                <w:rFonts w:ascii="Times New Roman" w:hAnsi="Times New Roman" w:eastAsia="仿宋_GB2312" w:cs="Times New Roman"/>
                <w:b/>
                <w:color w:val="auto"/>
                <w:kern w:val="0"/>
                <w:szCs w:val="21"/>
                <w:highlight w:val="none"/>
              </w:rPr>
            </w:pPr>
          </w:p>
        </w:tc>
        <w:tc>
          <w:tcPr>
            <w:tcW w:w="1638" w:type="dxa"/>
            <w:vMerge w:val="continue"/>
            <w:vAlign w:val="center"/>
          </w:tcPr>
          <w:p>
            <w:pPr>
              <w:widowControl/>
              <w:jc w:val="left"/>
              <w:rPr>
                <w:rFonts w:ascii="Times New Roman" w:hAnsi="Times New Roman" w:eastAsia="仿宋_GB2312" w:cs="Times New Roman"/>
                <w:b/>
                <w:color w:val="auto"/>
                <w:kern w:val="0"/>
                <w:szCs w:val="21"/>
                <w:highlight w:val="none"/>
              </w:rPr>
            </w:pPr>
          </w:p>
        </w:tc>
        <w:tc>
          <w:tcPr>
            <w:tcW w:w="1627"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小计</w:t>
            </w:r>
          </w:p>
        </w:tc>
        <w:tc>
          <w:tcPr>
            <w:tcW w:w="1650"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 xml:space="preserve">基本支出  </w:t>
            </w:r>
          </w:p>
        </w:tc>
        <w:tc>
          <w:tcPr>
            <w:tcW w:w="1743" w:type="dxa"/>
            <w:vMerge w:val="restart"/>
            <w:shd w:val="clear" w:color="auto" w:fill="auto"/>
            <w:vAlign w:val="center"/>
          </w:tcPr>
          <w:p>
            <w:pPr>
              <w:widowControl/>
              <w:jc w:val="center"/>
              <w:rPr>
                <w:rFonts w:ascii="Times New Roman" w:hAnsi="Times New Roman" w:eastAsia="仿宋_GB2312" w:cs="Times New Roman"/>
                <w:b/>
                <w:color w:val="auto"/>
                <w:kern w:val="0"/>
                <w:szCs w:val="21"/>
                <w:highlight w:val="none"/>
              </w:rPr>
            </w:pPr>
            <w:r>
              <w:rPr>
                <w:rFonts w:ascii="Times New Roman" w:hAnsi="Times New Roman" w:eastAsia="仿宋_GB2312" w:cs="Times New Roman"/>
                <w:b/>
                <w:color w:val="auto"/>
                <w:kern w:val="0"/>
                <w:szCs w:val="21"/>
                <w:highlight w:val="none"/>
              </w:rPr>
              <w:t>项目支出</w:t>
            </w:r>
          </w:p>
        </w:tc>
        <w:tc>
          <w:tcPr>
            <w:tcW w:w="1697" w:type="dxa"/>
            <w:vMerge w:val="continue"/>
            <w:vAlign w:val="center"/>
          </w:tcPr>
          <w:p>
            <w:pPr>
              <w:widowControl/>
              <w:jc w:val="left"/>
              <w:rPr>
                <w:rFonts w:ascii="Times New Roman" w:hAnsi="Times New Roman" w:eastAsia="仿宋_GB2312" w:cs="Times New Roman"/>
                <w:b/>
                <w:color w:val="auto"/>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3188"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777"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38"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27"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50"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743"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97" w:type="dxa"/>
            <w:vMerge w:val="continue"/>
            <w:vAlign w:val="center"/>
          </w:tcPr>
          <w:p>
            <w:pPr>
              <w:widowControl/>
              <w:jc w:val="left"/>
              <w:rPr>
                <w:rFonts w:ascii="Times New Roman" w:hAnsi="Times New Roman" w:eastAsia="仿宋_GB2312" w:cs="Times New Roman"/>
                <w:color w:val="auto"/>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3188"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777"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38"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27"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50"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743" w:type="dxa"/>
            <w:vMerge w:val="continue"/>
            <w:vAlign w:val="center"/>
          </w:tcPr>
          <w:p>
            <w:pPr>
              <w:widowControl/>
              <w:jc w:val="left"/>
              <w:rPr>
                <w:rFonts w:ascii="Times New Roman" w:hAnsi="Times New Roman" w:eastAsia="仿宋_GB2312" w:cs="Times New Roman"/>
                <w:color w:val="auto"/>
                <w:kern w:val="0"/>
                <w:szCs w:val="21"/>
                <w:highlight w:val="none"/>
              </w:rPr>
            </w:pPr>
          </w:p>
        </w:tc>
        <w:tc>
          <w:tcPr>
            <w:tcW w:w="1697" w:type="dxa"/>
            <w:vMerge w:val="continue"/>
            <w:vAlign w:val="center"/>
          </w:tcPr>
          <w:p>
            <w:pPr>
              <w:widowControl/>
              <w:jc w:val="left"/>
              <w:rPr>
                <w:rFonts w:ascii="Times New Roman" w:hAnsi="Times New Roman" w:eastAsia="仿宋_GB2312" w:cs="Times New Roman"/>
                <w:color w:val="auto"/>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308" w:type="dxa"/>
            <w:gridSpan w:val="2"/>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栏次</w:t>
            </w:r>
          </w:p>
        </w:tc>
        <w:tc>
          <w:tcPr>
            <w:tcW w:w="177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1</w:t>
            </w:r>
          </w:p>
        </w:tc>
        <w:tc>
          <w:tcPr>
            <w:tcW w:w="1638"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2</w:t>
            </w:r>
          </w:p>
        </w:tc>
        <w:tc>
          <w:tcPr>
            <w:tcW w:w="162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3</w:t>
            </w:r>
          </w:p>
        </w:tc>
        <w:tc>
          <w:tcPr>
            <w:tcW w:w="165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4</w:t>
            </w:r>
          </w:p>
        </w:tc>
        <w:tc>
          <w:tcPr>
            <w:tcW w:w="1743"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5</w:t>
            </w:r>
          </w:p>
        </w:tc>
        <w:tc>
          <w:tcPr>
            <w:tcW w:w="169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308" w:type="dxa"/>
            <w:gridSpan w:val="2"/>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合计</w:t>
            </w:r>
          </w:p>
        </w:tc>
        <w:tc>
          <w:tcPr>
            <w:tcW w:w="177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宋体" w:hAnsi="宋体" w:eastAsia="宋体" w:cs="宋体"/>
                <w:color w:val="auto"/>
                <w:kern w:val="0"/>
                <w:sz w:val="22"/>
                <w:highlight w:val="none"/>
              </w:rPr>
              <w:t>832.07</w:t>
            </w:r>
          </w:p>
        </w:tc>
        <w:tc>
          <w:tcPr>
            <w:tcW w:w="162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宋体" w:hAnsi="宋体" w:eastAsia="宋体" w:cs="宋体"/>
                <w:color w:val="auto"/>
                <w:kern w:val="0"/>
                <w:sz w:val="22"/>
                <w:highlight w:val="none"/>
              </w:rPr>
              <w:t>832.07</w:t>
            </w:r>
          </w:p>
        </w:tc>
        <w:tc>
          <w:tcPr>
            <w:tcW w:w="165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43"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宋体" w:hAnsi="宋体" w:eastAsia="宋体" w:cs="宋体"/>
                <w:color w:val="auto"/>
                <w:kern w:val="0"/>
                <w:sz w:val="22"/>
                <w:highlight w:val="none"/>
              </w:rPr>
              <w:t>832.07</w:t>
            </w:r>
          </w:p>
        </w:tc>
        <w:tc>
          <w:tcPr>
            <w:tcW w:w="1697"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229</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其他支出</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center"/>
              <w:textAlignment w:val="center"/>
              <w:rPr>
                <w:rFonts w:ascii="宋体" w:hAnsi="宋体" w:eastAsia="宋体" w:cs="宋体"/>
                <w:b/>
                <w:bCs/>
                <w:color w:val="auto"/>
                <w:sz w:val="22"/>
                <w:highlight w:val="none"/>
              </w:rPr>
            </w:pPr>
            <w:r>
              <w:rPr>
                <w:rFonts w:hint="eastAsia" w:ascii="宋体" w:hAnsi="宋体" w:eastAsia="宋体" w:cs="宋体"/>
                <w:color w:val="auto"/>
                <w:kern w:val="0"/>
                <w:sz w:val="22"/>
                <w:highlight w:val="none"/>
              </w:rPr>
              <w:t>832.07</w:t>
            </w:r>
          </w:p>
        </w:tc>
        <w:tc>
          <w:tcPr>
            <w:tcW w:w="1627" w:type="dxa"/>
            <w:shd w:val="clear" w:color="auto" w:fill="auto"/>
            <w:vAlign w:val="center"/>
          </w:tcPr>
          <w:p>
            <w:pPr>
              <w:widowControl/>
              <w:jc w:val="center"/>
              <w:textAlignment w:val="center"/>
              <w:rPr>
                <w:rFonts w:ascii="宋体" w:hAnsi="宋体" w:eastAsia="宋体" w:cs="宋体"/>
                <w:b/>
                <w:bCs/>
                <w:color w:val="auto"/>
                <w:sz w:val="22"/>
                <w:highlight w:val="none"/>
              </w:rPr>
            </w:pPr>
            <w:r>
              <w:rPr>
                <w:rFonts w:hint="eastAsia" w:ascii="宋体" w:hAnsi="宋体" w:eastAsia="宋体" w:cs="宋体"/>
                <w:color w:val="auto"/>
                <w:kern w:val="0"/>
                <w:sz w:val="22"/>
                <w:highlight w:val="none"/>
              </w:rPr>
              <w:t>832.07</w:t>
            </w:r>
          </w:p>
        </w:tc>
        <w:tc>
          <w:tcPr>
            <w:tcW w:w="1650" w:type="dxa"/>
            <w:shd w:val="clear" w:color="auto" w:fill="auto"/>
            <w:vAlign w:val="center"/>
          </w:tcPr>
          <w:p>
            <w:pPr>
              <w:widowControl/>
              <w:jc w:val="center"/>
              <w:textAlignment w:val="center"/>
              <w:rPr>
                <w:rFonts w:ascii="宋体" w:hAnsi="宋体" w:eastAsia="宋体" w:cs="宋体"/>
                <w:b/>
                <w:bCs/>
                <w:color w:val="auto"/>
                <w:sz w:val="22"/>
                <w:highlight w:val="none"/>
              </w:rPr>
            </w:pPr>
          </w:p>
        </w:tc>
        <w:tc>
          <w:tcPr>
            <w:tcW w:w="1743" w:type="dxa"/>
            <w:shd w:val="clear" w:color="auto" w:fill="auto"/>
            <w:vAlign w:val="center"/>
          </w:tcPr>
          <w:p>
            <w:pPr>
              <w:widowControl/>
              <w:jc w:val="center"/>
              <w:textAlignment w:val="center"/>
              <w:rPr>
                <w:rFonts w:ascii="宋体" w:hAnsi="宋体" w:eastAsia="宋体" w:cs="宋体"/>
                <w:b/>
                <w:bCs/>
                <w:color w:val="auto"/>
                <w:sz w:val="22"/>
                <w:highlight w:val="none"/>
              </w:rPr>
            </w:pPr>
            <w:r>
              <w:rPr>
                <w:rFonts w:hint="eastAsia" w:ascii="宋体" w:hAnsi="宋体" w:eastAsia="宋体" w:cs="宋体"/>
                <w:color w:val="auto"/>
                <w:kern w:val="0"/>
                <w:sz w:val="22"/>
                <w:highlight w:val="none"/>
              </w:rPr>
              <w:t>832.07</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22960</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彩票公益金安排的支出</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27"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50" w:type="dxa"/>
            <w:shd w:val="clear" w:color="auto" w:fill="auto"/>
            <w:vAlign w:val="center"/>
          </w:tcPr>
          <w:p>
            <w:pPr>
              <w:widowControl/>
              <w:jc w:val="center"/>
              <w:textAlignment w:val="center"/>
              <w:rPr>
                <w:rFonts w:ascii="宋体" w:hAnsi="宋体" w:eastAsia="宋体" w:cs="宋体"/>
                <w:color w:val="auto"/>
                <w:sz w:val="22"/>
                <w:highlight w:val="none"/>
              </w:rPr>
            </w:pPr>
          </w:p>
        </w:tc>
        <w:tc>
          <w:tcPr>
            <w:tcW w:w="1743"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2296002</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用于社会福利的彩票公益金支出</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27"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50" w:type="dxa"/>
            <w:shd w:val="clear" w:color="auto" w:fill="auto"/>
            <w:vAlign w:val="center"/>
          </w:tcPr>
          <w:p>
            <w:pPr>
              <w:widowControl/>
              <w:jc w:val="center"/>
              <w:textAlignment w:val="center"/>
              <w:rPr>
                <w:rFonts w:ascii="宋体" w:hAnsi="宋体" w:eastAsia="宋体" w:cs="宋体"/>
                <w:color w:val="auto"/>
                <w:sz w:val="22"/>
                <w:highlight w:val="none"/>
              </w:rPr>
            </w:pPr>
          </w:p>
        </w:tc>
        <w:tc>
          <w:tcPr>
            <w:tcW w:w="1743" w:type="dxa"/>
            <w:shd w:val="clear" w:color="auto" w:fill="auto"/>
            <w:vAlign w:val="center"/>
          </w:tcPr>
          <w:p>
            <w:pPr>
              <w:widowControl/>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832.07</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2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50"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43"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2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50"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43"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318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7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38"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2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50"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743"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c>
          <w:tcPr>
            <w:tcW w:w="1697" w:type="dxa"/>
            <w:shd w:val="clear" w:color="auto" w:fill="auto"/>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　</w:t>
            </w:r>
          </w:p>
        </w:tc>
      </w:tr>
    </w:tbl>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注：本表反映部门本年度政府性基金预算财政拨款收入、支出及结转和结余情况</w:t>
      </w:r>
    </w:p>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(若本单位无政府性基金收支</w:t>
      </w:r>
      <w:r>
        <w:rPr>
          <w:rFonts w:hint="eastAsia" w:ascii="Times New Roman" w:hAnsi="Times New Roman" w:eastAsia="仿宋_GB2312" w:cs="Times New Roman"/>
          <w:color w:val="auto"/>
          <w:kern w:val="0"/>
          <w:szCs w:val="21"/>
          <w:highlight w:val="none"/>
        </w:rPr>
        <w:t>,请说明：XX单位没有政府性基金收入，也没有使用政府性基金安排的支出，故本表无数据</w:t>
      </w:r>
      <w:r>
        <w:rPr>
          <w:rFonts w:ascii="Times New Roman" w:hAnsi="Times New Roman" w:eastAsia="仿宋_GB2312" w:cs="Times New Roman"/>
          <w:color w:val="auto"/>
          <w:kern w:val="0"/>
          <w:szCs w:val="21"/>
          <w:highlight w:val="none"/>
        </w:rPr>
        <w:t>)。</w:t>
      </w:r>
    </w:p>
    <w:p>
      <w:pPr>
        <w:widowControl/>
        <w:jc w:val="left"/>
        <w:rPr>
          <w:rFonts w:ascii="黑体" w:hAnsi="黑体" w:eastAsia="黑体"/>
          <w:color w:val="auto"/>
          <w:szCs w:val="21"/>
          <w:highlight w:val="none"/>
        </w:rPr>
      </w:pPr>
      <w:r>
        <w:rPr>
          <w:rFonts w:ascii="黑体" w:hAnsi="黑体" w:eastAsia="黑体"/>
          <w:color w:val="auto"/>
          <w:szCs w:val="21"/>
          <w:highlight w:val="none"/>
        </w:rPr>
        <w:br w:type="page"/>
      </w:r>
    </w:p>
    <w:tbl>
      <w:tblPr>
        <w:tblStyle w:val="6"/>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pPr>
              <w:widowControl/>
              <w:jc w:val="center"/>
              <w:rPr>
                <w:rFonts w:ascii="华文中宋" w:hAnsi="华文中宋" w:eastAsia="华文中宋" w:cs="宋体"/>
                <w:color w:val="auto"/>
                <w:kern w:val="0"/>
                <w:sz w:val="32"/>
                <w:szCs w:val="32"/>
                <w:highlight w:val="none"/>
              </w:rPr>
            </w:pPr>
            <w:r>
              <w:rPr>
                <w:rFonts w:hint="eastAsia" w:ascii="黑体" w:hAnsi="黑体" w:eastAsia="黑体" w:cs="黑体"/>
                <w:color w:val="auto"/>
                <w:kern w:val="0"/>
                <w:sz w:val="36"/>
                <w:szCs w:val="36"/>
                <w:highlight w:val="none"/>
              </w:rPr>
              <w:t>国有资本经营预算财政拨款支出决算表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372" w:type="dxa"/>
            <w:tcBorders>
              <w:top w:val="nil"/>
              <w:left w:val="nil"/>
              <w:bottom w:val="nil"/>
              <w:right w:val="nil"/>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3187" w:type="dxa"/>
            <w:gridSpan w:val="2"/>
            <w:tcBorders>
              <w:top w:val="nil"/>
              <w:left w:val="nil"/>
              <w:bottom w:val="nil"/>
              <w:right w:val="nil"/>
            </w:tcBorders>
            <w:noWrap w:val="0"/>
            <w:vAlign w:val="center"/>
          </w:tcPr>
          <w:p>
            <w:pPr>
              <w:widowControl/>
              <w:jc w:val="center"/>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1215" w:type="dxa"/>
            <w:tcBorders>
              <w:top w:val="nil"/>
              <w:left w:val="nil"/>
              <w:bottom w:val="nil"/>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2596" w:type="dxa"/>
            <w:gridSpan w:val="2"/>
            <w:tcBorders>
              <w:top w:val="nil"/>
              <w:left w:val="nil"/>
              <w:bottom w:val="nil"/>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公开09表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pPr>
              <w:widowControl/>
              <w:jc w:val="left"/>
              <w:rPr>
                <w:rFonts w:hint="eastAsia" w:ascii="宋体" w:hAnsi="宋体" w:eastAsia="宋体" w:cs="宋体"/>
                <w:color w:val="auto"/>
                <w:kern w:val="0"/>
                <w:sz w:val="20"/>
                <w:szCs w:val="20"/>
                <w:highlight w:val="none"/>
              </w:rPr>
            </w:pPr>
            <w:r>
              <w:rPr>
                <w:rFonts w:hint="eastAsia" w:ascii="Times New Roman" w:hAnsi="Times New Roman" w:eastAsia="仿宋_GB2312" w:cs="Times New Roman"/>
                <w:color w:val="auto"/>
                <w:kern w:val="0"/>
                <w:szCs w:val="21"/>
                <w:highlight w:val="none"/>
              </w:rPr>
              <w:t>部门：</w:t>
            </w:r>
          </w:p>
        </w:tc>
        <w:tc>
          <w:tcPr>
            <w:tcW w:w="3559" w:type="dxa"/>
            <w:gridSpan w:val="3"/>
            <w:tcBorders>
              <w:top w:val="nil"/>
              <w:left w:val="nil"/>
              <w:bottom w:val="nil"/>
              <w:right w:val="nil"/>
            </w:tcBorders>
            <w:noWrap w:val="0"/>
            <w:vAlign w:val="center"/>
          </w:tcPr>
          <w:p>
            <w:pPr>
              <w:widowControl/>
              <w:jc w:val="both"/>
              <w:rPr>
                <w:rFonts w:hint="eastAsia" w:ascii="宋体" w:hAnsi="宋体" w:eastAsia="宋体" w:cs="宋体"/>
                <w:color w:val="auto"/>
                <w:kern w:val="0"/>
                <w:sz w:val="20"/>
                <w:szCs w:val="20"/>
                <w:highlight w:val="none"/>
              </w:rPr>
            </w:pPr>
            <w:r>
              <w:rPr>
                <w:rFonts w:hint="eastAsia" w:ascii="Times New Roman" w:hAnsi="Times New Roman" w:eastAsia="仿宋_GB2312" w:cs="Times New Roman"/>
                <w:color w:val="auto"/>
                <w:kern w:val="0"/>
                <w:szCs w:val="21"/>
                <w:highlight w:val="none"/>
              </w:rPr>
              <w:t>湘潭县民政局</w:t>
            </w:r>
            <w:r>
              <w:rPr>
                <w:rFonts w:ascii="Times New Roman" w:hAnsi="Times New Roman" w:eastAsia="仿宋_GB2312" w:cs="Times New Roman"/>
                <w:color w:val="auto"/>
                <w:kern w:val="0"/>
                <w:szCs w:val="21"/>
                <w:highlight w:val="none"/>
              </w:rPr>
              <w:t xml:space="preserve"> </w:t>
            </w:r>
            <w:r>
              <w:rPr>
                <w:rFonts w:hint="eastAsia" w:ascii="Times New Roman" w:hAnsi="Times New Roman" w:eastAsia="仿宋_GB2312" w:cs="Times New Roman"/>
                <w:color w:val="auto"/>
                <w:kern w:val="0"/>
                <w:szCs w:val="21"/>
                <w:highlight w:val="none"/>
              </w:rPr>
              <w:t xml:space="preserve"> </w:t>
            </w:r>
          </w:p>
        </w:tc>
        <w:tc>
          <w:tcPr>
            <w:tcW w:w="1215" w:type="dxa"/>
            <w:tcBorders>
              <w:top w:val="nil"/>
              <w:left w:val="nil"/>
              <w:bottom w:val="single" w:color="auto" w:sz="8" w:space="0"/>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2596" w:type="dxa"/>
            <w:gridSpan w:val="2"/>
            <w:tcBorders>
              <w:top w:val="nil"/>
              <w:left w:val="nil"/>
              <w:bottom w:val="single" w:color="auto" w:sz="8" w:space="0"/>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单位：万元</w:t>
            </w:r>
          </w:p>
        </w:tc>
      </w:tr>
      <w:tr>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本年支出</w:t>
            </w:r>
          </w:p>
        </w:tc>
      </w:tr>
      <w:tr>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color w:val="auto"/>
                <w:kern w:val="0"/>
                <w:szCs w:val="21"/>
                <w:highlight w:val="none"/>
              </w:rPr>
            </w:pPr>
            <w:r>
              <w:rPr>
                <w:rFonts w:hint="eastAsia" w:ascii="Times New Roman" w:hAnsi="Times New Roman" w:eastAsia="仿宋_GB2312" w:cs="Times New Roman"/>
                <w:b/>
                <w:bCs/>
                <w:color w:val="auto"/>
                <w:kern w:val="0"/>
                <w:szCs w:val="21"/>
                <w:highlight w:val="none"/>
              </w:rPr>
              <w:t>项目支出</w:t>
            </w: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color w:val="auto"/>
                <w:kern w:val="0"/>
                <w:sz w:val="20"/>
                <w:szCs w:val="20"/>
                <w:highlight w:val="none"/>
              </w:rPr>
            </w:pPr>
          </w:p>
        </w:tc>
      </w:tr>
      <w:tr>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栏次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1</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2</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3</w:t>
            </w:r>
          </w:p>
        </w:tc>
      </w:tr>
      <w:tr>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合计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lang w:val="en-US" w:eastAsia="zh-CN"/>
              </w:rPr>
              <w:t>0</w:t>
            </w: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lang w:val="en-US" w:eastAsia="zh-CN"/>
              </w:rPr>
            </w:pPr>
            <w:r>
              <w:rPr>
                <w:rFonts w:hint="eastAsia" w:ascii="Times New Roman" w:hAnsi="Times New Roman" w:eastAsia="仿宋_GB2312" w:cs="Times New Roman"/>
                <w:color w:val="auto"/>
                <w:kern w:val="0"/>
                <w:szCs w:val="21"/>
                <w:highlight w:val="none"/>
              </w:rPr>
              <w:t>　</w:t>
            </w:r>
            <w:r>
              <w:rPr>
                <w:rFonts w:hint="eastAsia" w:ascii="Times New Roman" w:hAnsi="Times New Roman" w:eastAsia="仿宋_GB2312" w:cs="Times New Roman"/>
                <w:color w:val="auto"/>
                <w:kern w:val="0"/>
                <w:szCs w:val="21"/>
                <w:highlight w:val="none"/>
                <w:lang w:val="en-US" w:eastAsia="zh-CN"/>
              </w:rPr>
              <w:t>0</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lang w:val="en-US" w:eastAsia="zh-CN"/>
              </w:rPr>
            </w:pPr>
            <w:r>
              <w:rPr>
                <w:rFonts w:hint="eastAsia" w:ascii="Times New Roman" w:hAnsi="Times New Roman" w:eastAsia="仿宋_GB2312" w:cs="Times New Roman"/>
                <w:color w:val="auto"/>
                <w:kern w:val="0"/>
                <w:szCs w:val="21"/>
                <w:highlight w:val="none"/>
              </w:rPr>
              <w:t>　</w:t>
            </w:r>
            <w:r>
              <w:rPr>
                <w:rFonts w:hint="eastAsia" w:ascii="Times New Roman" w:hAnsi="Times New Roman" w:eastAsia="仿宋_GB2312" w:cs="Times New Roman"/>
                <w:color w:val="auto"/>
                <w:kern w:val="0"/>
                <w:szCs w:val="21"/>
                <w:highlight w:val="none"/>
                <w:lang w:val="en-US" w:eastAsia="zh-CN"/>
              </w:rPr>
              <w:t>0</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187"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2883"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225"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c>
          <w:tcPr>
            <w:tcW w:w="3975" w:type="dxa"/>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color w:val="auto"/>
                <w:kern w:val="0"/>
                <w:szCs w:val="21"/>
                <w:highlight w:val="none"/>
              </w:rPr>
            </w:pPr>
            <w:r>
              <w:rPr>
                <w:rFonts w:hint="eastAsia" w:ascii="Times New Roman" w:hAnsi="Times New Roman" w:eastAsia="仿宋_GB2312" w:cs="Times New Roman"/>
                <w:color w:val="auto"/>
                <w:kern w:val="0"/>
                <w:szCs w:val="21"/>
                <w:highlight w:val="none"/>
              </w:rPr>
              <w:t>　</w:t>
            </w:r>
          </w:p>
        </w:tc>
      </w:tr>
      <w:tr>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pPr>
              <w:widowControl/>
              <w:jc w:val="left"/>
              <w:rPr>
                <w:rFonts w:hint="eastAsia" w:ascii="宋体" w:hAnsi="宋体" w:eastAsia="宋体" w:cs="宋体"/>
                <w:color w:val="auto"/>
                <w:kern w:val="0"/>
                <w:sz w:val="20"/>
                <w:szCs w:val="20"/>
                <w:highlight w:val="none"/>
              </w:rPr>
            </w:pPr>
            <w:r>
              <w:rPr>
                <w:rFonts w:hint="eastAsia" w:ascii="Times New Roman" w:hAnsi="Times New Roman" w:eastAsia="仿宋_GB2312" w:cs="Times New Roman"/>
                <w:color w:val="auto"/>
                <w:kern w:val="0"/>
                <w:szCs w:val="21"/>
                <w:highlight w:val="none"/>
              </w:rPr>
              <w:t>注：本表反映部门本年度国有资本经营预算财政拨款支出情况。</w:t>
            </w:r>
          </w:p>
        </w:tc>
      </w:tr>
    </w:tbl>
    <w:p>
      <w:pPr>
        <w:pStyle w:val="10"/>
        <w:rPr>
          <w:color w:val="auto"/>
          <w:sz w:val="72"/>
          <w:szCs w:val="72"/>
          <w:highlight w:val="none"/>
        </w:rPr>
        <w:sectPr>
          <w:pgSz w:w="16838" w:h="11906" w:orient="landscape"/>
          <w:pgMar w:top="720" w:right="720" w:bottom="720" w:left="720" w:header="851" w:footer="992" w:gutter="0"/>
          <w:cols w:space="425" w:num="1"/>
          <w:docGrid w:type="lines" w:linePitch="312" w:charSpace="0"/>
        </w:sectPr>
      </w:pPr>
    </w:p>
    <w:p>
      <w:pPr>
        <w:pStyle w:val="10"/>
        <w:jc w:val="center"/>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 xml:space="preserve">第三部分：2020年度部门决算情况说明 </w:t>
      </w:r>
    </w:p>
    <w:p>
      <w:pPr>
        <w:pStyle w:val="10"/>
        <w:rPr>
          <w:rFonts w:ascii="仿宋" w:hAnsi="仿宋" w:eastAsia="仿宋"/>
          <w:b/>
          <w:color w:val="auto"/>
          <w:sz w:val="32"/>
          <w:szCs w:val="32"/>
          <w:highlight w:val="none"/>
        </w:rPr>
      </w:pPr>
      <w:r>
        <w:rPr>
          <w:rFonts w:hint="eastAsia" w:hAnsi="黑体"/>
          <w:b/>
          <w:color w:val="auto"/>
          <w:sz w:val="32"/>
          <w:szCs w:val="32"/>
          <w:highlight w:val="none"/>
        </w:rPr>
        <w:t xml:space="preserve">    </w:t>
      </w:r>
      <w:r>
        <w:rPr>
          <w:rFonts w:hint="eastAsia" w:ascii="仿宋" w:hAnsi="仿宋" w:eastAsia="仿宋"/>
          <w:b/>
          <w:color w:val="auto"/>
          <w:sz w:val="32"/>
          <w:szCs w:val="32"/>
          <w:highlight w:val="none"/>
        </w:rPr>
        <w:t>一、收入支出决算总体情况说明</w:t>
      </w:r>
    </w:p>
    <w:p>
      <w:pPr>
        <w:pStyle w:val="10"/>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2020年度收入总计19819.68万元，支出总计17347.34万元</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与</w:t>
      </w:r>
      <w:r>
        <w:rPr>
          <w:rFonts w:hint="eastAsia" w:ascii="仿宋" w:hAnsi="仿宋" w:eastAsia="仿宋"/>
          <w:color w:val="auto"/>
          <w:sz w:val="32"/>
          <w:szCs w:val="32"/>
          <w:highlight w:val="none"/>
          <w:lang w:val="en-US" w:eastAsia="zh-CN"/>
        </w:rPr>
        <w:t>2019年</w:t>
      </w:r>
      <w:r>
        <w:rPr>
          <w:rFonts w:hint="eastAsia" w:ascii="仿宋" w:hAnsi="仿宋" w:eastAsia="仿宋"/>
          <w:color w:val="auto"/>
          <w:sz w:val="32"/>
          <w:szCs w:val="32"/>
          <w:highlight w:val="none"/>
        </w:rPr>
        <w:t>相比，</w:t>
      </w:r>
      <w:r>
        <w:rPr>
          <w:rFonts w:hint="eastAsia" w:ascii="仿宋" w:hAnsi="仿宋" w:eastAsia="仿宋"/>
          <w:color w:val="auto"/>
          <w:sz w:val="32"/>
          <w:szCs w:val="32"/>
          <w:highlight w:val="none"/>
          <w:lang w:eastAsia="zh-CN"/>
        </w:rPr>
        <w:t>收入</w:t>
      </w:r>
      <w:r>
        <w:rPr>
          <w:rFonts w:hint="eastAsia" w:ascii="仿宋" w:hAnsi="仿宋" w:eastAsia="仿宋"/>
          <w:color w:val="auto"/>
          <w:sz w:val="32"/>
          <w:szCs w:val="32"/>
          <w:highlight w:val="none"/>
        </w:rPr>
        <w:t>减少11933.21万元，减少37.58%，</w:t>
      </w:r>
      <w:r>
        <w:rPr>
          <w:rFonts w:hint="eastAsia" w:ascii="仿宋" w:hAnsi="仿宋" w:eastAsia="仿宋"/>
          <w:color w:val="auto"/>
          <w:sz w:val="32"/>
          <w:szCs w:val="32"/>
          <w:highlight w:val="none"/>
          <w:lang w:eastAsia="zh-CN"/>
        </w:rPr>
        <w:t>支出</w:t>
      </w:r>
      <w:r>
        <w:rPr>
          <w:rFonts w:hint="eastAsia" w:ascii="仿宋" w:hAnsi="仿宋" w:eastAsia="仿宋"/>
          <w:color w:val="auto"/>
          <w:sz w:val="32"/>
          <w:szCs w:val="32"/>
          <w:highlight w:val="none"/>
        </w:rPr>
        <w:t>减少10930.48万元，减少38.65%，主要是因为机构改革，优抚、医疗救助业务转移出去导致财政拨款收入</w:t>
      </w:r>
      <w:r>
        <w:rPr>
          <w:rFonts w:hint="eastAsia" w:ascii="仿宋" w:hAnsi="仿宋" w:eastAsia="仿宋"/>
          <w:color w:val="auto"/>
          <w:sz w:val="32"/>
          <w:szCs w:val="32"/>
          <w:highlight w:val="none"/>
          <w:lang w:eastAsia="zh-CN"/>
        </w:rPr>
        <w:t>和</w:t>
      </w:r>
      <w:r>
        <w:rPr>
          <w:rFonts w:hint="eastAsia" w:ascii="仿宋" w:hAnsi="仿宋" w:eastAsia="仿宋"/>
          <w:color w:val="auto"/>
          <w:sz w:val="32"/>
          <w:szCs w:val="32"/>
          <w:highlight w:val="none"/>
        </w:rPr>
        <w:t>支出大幅度减少。</w:t>
      </w:r>
    </w:p>
    <w:p>
      <w:pPr>
        <w:pStyle w:val="10"/>
        <w:rPr>
          <w:rFonts w:hint="eastAsia" w:ascii="仿宋" w:hAnsi="仿宋" w:eastAsia="仿宋"/>
          <w:color w:val="auto"/>
          <w:sz w:val="32"/>
          <w:szCs w:val="32"/>
          <w:highlight w:val="none"/>
        </w:rPr>
      </w:pPr>
    </w:p>
    <w:p>
      <w:pPr>
        <w:pStyle w:val="10"/>
        <w:rPr>
          <w:rFonts w:ascii="仿宋" w:hAnsi="仿宋" w:eastAsia="仿宋"/>
          <w:b/>
          <w:color w:val="auto"/>
          <w:sz w:val="32"/>
          <w:szCs w:val="32"/>
          <w:highlight w:val="none"/>
        </w:rPr>
      </w:pPr>
      <w:r>
        <w:rPr>
          <w:rFonts w:hint="eastAsia" w:ascii="仿宋" w:hAnsi="仿宋" w:eastAsia="仿宋"/>
          <w:color w:val="auto"/>
          <w:sz w:val="32"/>
          <w:szCs w:val="32"/>
          <w:highlight w:val="none"/>
        </w:rPr>
        <w:t xml:space="preserve">    </w:t>
      </w:r>
      <w:r>
        <w:rPr>
          <w:rFonts w:hint="eastAsia" w:ascii="仿宋" w:hAnsi="仿宋" w:eastAsia="仿宋"/>
          <w:b/>
          <w:color w:val="auto"/>
          <w:sz w:val="32"/>
          <w:szCs w:val="32"/>
          <w:highlight w:val="none"/>
        </w:rPr>
        <w:t>二、收入决算情况说明</w:t>
      </w:r>
    </w:p>
    <w:p>
      <w:pPr>
        <w:pStyle w:val="10"/>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本年收入合计19819.68万元，其中：财政拨款收入14024.0</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万元（含政府性基金预算财政拨款832.07万元），占70.76%；上级补助收入</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%；事业收入</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%；经营收入</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%；附属单位上缴收入</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%；其他收入5795.61万元，占29.24%。</w:t>
      </w:r>
    </w:p>
    <w:p>
      <w:pPr>
        <w:pStyle w:val="10"/>
        <w:ind w:firstLine="640" w:firstLineChars="200"/>
        <w:rPr>
          <w:rFonts w:ascii="仿宋" w:hAnsi="仿宋" w:eastAsia="仿宋"/>
          <w:color w:val="auto"/>
          <w:sz w:val="32"/>
          <w:szCs w:val="32"/>
          <w:highlight w:val="none"/>
        </w:rPr>
      </w:pP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三、支出决算情况说明</w:t>
      </w:r>
    </w:p>
    <w:p>
      <w:pPr>
        <w:pStyle w:val="10"/>
        <w:spacing w:line="600" w:lineRule="exact"/>
        <w:ind w:firstLine="640" w:firstLineChars="200"/>
        <w:rPr>
          <w:rFonts w:ascii="Times New Roman" w:hAnsi="Times New Roman" w:eastAsia="仿宋_GB2312" w:cs="Times New Roman"/>
          <w:color w:val="auto"/>
          <w:sz w:val="32"/>
          <w:szCs w:val="32"/>
          <w:highlight w:val="none"/>
        </w:rPr>
      </w:pPr>
      <w:r>
        <w:rPr>
          <w:rFonts w:hint="eastAsia" w:ascii="仿宋" w:hAnsi="仿宋" w:eastAsia="仿宋"/>
          <w:color w:val="auto"/>
          <w:sz w:val="32"/>
          <w:szCs w:val="32"/>
          <w:highlight w:val="none"/>
        </w:rPr>
        <w:t>本年支出合计17347.34万元，其中：基本支出1365.36万元，占7.87%；项目支出15981.98万元，占92.13%；上缴上级支出0万元</w:t>
      </w:r>
      <w:r>
        <w:rPr>
          <w:rFonts w:hint="eastAsia" w:ascii="仿宋" w:hAnsi="仿宋" w:eastAsia="仿宋"/>
          <w:color w:val="auto"/>
          <w:sz w:val="32"/>
          <w:szCs w:val="32"/>
          <w:highlight w:val="none"/>
          <w:lang w:val="en-US" w:eastAsia="zh-CN"/>
        </w:rPr>
        <w:t>，</w:t>
      </w:r>
      <w:r>
        <w:rPr>
          <w:rFonts w:hint="eastAsia" w:ascii="仿宋" w:hAnsi="仿宋" w:eastAsia="仿宋"/>
          <w:color w:val="auto"/>
          <w:sz w:val="32"/>
          <w:szCs w:val="32"/>
          <w:highlight w:val="none"/>
        </w:rPr>
        <w:t>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%；经营支出0万元</w:t>
      </w:r>
      <w:r>
        <w:rPr>
          <w:rFonts w:hint="eastAsia" w:ascii="仿宋" w:hAnsi="仿宋" w:eastAsia="仿宋"/>
          <w:color w:val="auto"/>
          <w:sz w:val="32"/>
          <w:szCs w:val="32"/>
          <w:highlight w:val="none"/>
          <w:lang w:val="en-US" w:eastAsia="zh-CN"/>
        </w:rPr>
        <w:t>，</w:t>
      </w:r>
      <w:r>
        <w:rPr>
          <w:rFonts w:hint="eastAsia" w:ascii="仿宋" w:hAnsi="仿宋" w:eastAsia="仿宋"/>
          <w:color w:val="auto"/>
          <w:sz w:val="32"/>
          <w:szCs w:val="32"/>
          <w:highlight w:val="none"/>
        </w:rPr>
        <w:t>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%；对附属单位补助支出0万元</w:t>
      </w:r>
      <w:r>
        <w:rPr>
          <w:rFonts w:hint="eastAsia" w:ascii="仿宋" w:hAnsi="仿宋" w:eastAsia="仿宋"/>
          <w:color w:val="auto"/>
          <w:sz w:val="32"/>
          <w:szCs w:val="32"/>
          <w:highlight w:val="none"/>
          <w:lang w:val="en-US" w:eastAsia="zh-CN"/>
        </w:rPr>
        <w:t>，</w:t>
      </w:r>
      <w:r>
        <w:rPr>
          <w:rFonts w:hint="eastAsia" w:ascii="仿宋" w:hAnsi="仿宋" w:eastAsia="仿宋"/>
          <w:color w:val="auto"/>
          <w:sz w:val="32"/>
          <w:szCs w:val="32"/>
          <w:highlight w:val="none"/>
        </w:rPr>
        <w:t>占</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w:t>
      </w:r>
    </w:p>
    <w:p>
      <w:pPr>
        <w:pStyle w:val="10"/>
        <w:ind w:firstLine="640" w:firstLineChars="200"/>
        <w:rPr>
          <w:rFonts w:ascii="仿宋" w:hAnsi="仿宋" w:eastAsia="仿宋"/>
          <w:color w:val="auto"/>
          <w:sz w:val="32"/>
          <w:szCs w:val="32"/>
          <w:highlight w:val="none"/>
        </w:rPr>
      </w:pPr>
    </w:p>
    <w:p>
      <w:pPr>
        <w:pStyle w:val="10"/>
        <w:rPr>
          <w:rFonts w:ascii="仿宋" w:hAnsi="仿宋" w:eastAsia="仿宋"/>
          <w:b/>
          <w:color w:val="auto"/>
          <w:sz w:val="32"/>
          <w:szCs w:val="32"/>
          <w:highlight w:val="none"/>
        </w:rPr>
      </w:pPr>
      <w:r>
        <w:rPr>
          <w:rFonts w:hint="eastAsia" w:ascii="仿宋" w:hAnsi="仿宋" w:eastAsia="仿宋"/>
          <w:color w:val="auto"/>
          <w:sz w:val="32"/>
          <w:szCs w:val="32"/>
          <w:highlight w:val="none"/>
        </w:rPr>
        <w:t xml:space="preserve">    </w:t>
      </w:r>
      <w:r>
        <w:rPr>
          <w:rFonts w:hint="eastAsia" w:ascii="仿宋" w:hAnsi="仿宋" w:eastAsia="仿宋"/>
          <w:b/>
          <w:color w:val="auto"/>
          <w:sz w:val="32"/>
          <w:szCs w:val="32"/>
          <w:highlight w:val="none"/>
        </w:rPr>
        <w:t>四、财政拨款收入支出决算总体情况说明</w:t>
      </w:r>
    </w:p>
    <w:p>
      <w:pPr>
        <w:pStyle w:val="10"/>
        <w:rPr>
          <w:rFonts w:ascii="仿宋" w:hAnsi="仿宋" w:eastAsia="仿宋"/>
          <w:color w:val="auto"/>
          <w:sz w:val="32"/>
          <w:szCs w:val="32"/>
          <w:highlight w:val="none"/>
        </w:rPr>
      </w:pPr>
      <w:r>
        <w:rPr>
          <w:rFonts w:hint="eastAsia" w:ascii="仿宋" w:hAnsi="仿宋" w:eastAsia="仿宋"/>
          <w:color w:val="auto"/>
          <w:sz w:val="32"/>
          <w:szCs w:val="32"/>
          <w:highlight w:val="none"/>
        </w:rPr>
        <w:t xml:space="preserve">    2020年度财政拨款收、支总计14024.0</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万元，与上年相比，减少11874.9</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万元,减少45.85%，主要是因为机构改革，优抚、医疗救助业务转移出去导致财政拨款比去年减少11874.94万元。</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五、一般公共预算财政拨款支出决算情况说明</w:t>
      </w:r>
    </w:p>
    <w:p>
      <w:pPr>
        <w:pStyle w:val="10"/>
        <w:ind w:firstLine="640" w:firstLineChars="200"/>
        <w:rPr>
          <w:rFonts w:ascii="仿宋" w:hAnsi="仿宋" w:eastAsia="仿宋"/>
          <w:b/>
          <w:color w:val="auto"/>
          <w:sz w:val="32"/>
          <w:szCs w:val="32"/>
          <w:highlight w:val="none"/>
        </w:rPr>
      </w:pPr>
      <w:r>
        <w:rPr>
          <w:rFonts w:hint="eastAsia" w:ascii="仿宋" w:hAnsi="仿宋" w:eastAsia="仿宋"/>
          <w:b/>
          <w:color w:val="auto"/>
          <w:sz w:val="32"/>
          <w:szCs w:val="32"/>
          <w:highlight w:val="none"/>
        </w:rPr>
        <w:t>（一）财政拨款支出决算总体情况</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2020年度财政拨款支出13192.01万元，占本年支出合计的76.05%，与上年相比，财政拨款支出减少11791.62万元，减少47.20%，主要是因为机构改革，优抚、医疗救助业务转移出去导致财政拨款比去年减少11874.94万元。</w:t>
      </w:r>
    </w:p>
    <w:p>
      <w:pPr>
        <w:pStyle w:val="10"/>
        <w:ind w:firstLine="480" w:firstLineChars="150"/>
        <w:rPr>
          <w:rFonts w:ascii="仿宋" w:hAnsi="仿宋" w:eastAsia="仿宋"/>
          <w:b/>
          <w:color w:val="auto"/>
          <w:sz w:val="32"/>
          <w:szCs w:val="32"/>
          <w:highlight w:val="none"/>
        </w:rPr>
      </w:pPr>
      <w:r>
        <w:rPr>
          <w:rFonts w:hint="eastAsia" w:ascii="仿宋" w:hAnsi="仿宋" w:eastAsia="仿宋"/>
          <w:b/>
          <w:color w:val="auto"/>
          <w:sz w:val="32"/>
          <w:szCs w:val="32"/>
          <w:highlight w:val="none"/>
        </w:rPr>
        <w:t>（二）财政拨款支出决算结构情况</w:t>
      </w:r>
    </w:p>
    <w:p>
      <w:pPr>
        <w:pStyle w:val="10"/>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2020年度财政拨款支出13192.01万元，主要用于以下方面：一般公共服务支出14.97万元，占0.11%；社会保障和就业支出13142.</w:t>
      </w:r>
      <w:r>
        <w:rPr>
          <w:rFonts w:hint="eastAsia" w:ascii="仿宋" w:hAnsi="仿宋" w:eastAsia="仿宋"/>
          <w:color w:val="auto"/>
          <w:sz w:val="32"/>
          <w:szCs w:val="32"/>
          <w:highlight w:val="none"/>
          <w:lang w:val="en-US" w:eastAsia="zh-CN"/>
        </w:rPr>
        <w:t>60</w:t>
      </w:r>
      <w:r>
        <w:rPr>
          <w:rFonts w:hint="eastAsia" w:ascii="仿宋" w:hAnsi="仿宋" w:eastAsia="仿宋"/>
          <w:color w:val="auto"/>
          <w:sz w:val="32"/>
          <w:szCs w:val="32"/>
          <w:highlight w:val="none"/>
        </w:rPr>
        <w:t>万元，占99.6</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%；卫生健康支出0.2万元，占0.001%；农林水支出17万元，占0.</w:t>
      </w:r>
      <w:r>
        <w:rPr>
          <w:rFonts w:hint="eastAsia" w:ascii="仿宋" w:hAnsi="仿宋" w:eastAsia="仿宋"/>
          <w:color w:val="auto"/>
          <w:sz w:val="32"/>
          <w:szCs w:val="32"/>
          <w:highlight w:val="none"/>
          <w:lang w:val="en-US" w:eastAsia="zh-CN"/>
        </w:rPr>
        <w:t>129</w:t>
      </w:r>
      <w:r>
        <w:rPr>
          <w:rFonts w:hint="eastAsia" w:ascii="仿宋" w:hAnsi="仿宋" w:eastAsia="仿宋"/>
          <w:color w:val="auto"/>
          <w:sz w:val="32"/>
          <w:szCs w:val="32"/>
          <w:highlight w:val="none"/>
        </w:rPr>
        <w:t>%；灾害防治及应急管理支出17.24万元，占0.13%。</w:t>
      </w:r>
    </w:p>
    <w:p>
      <w:pPr>
        <w:pStyle w:val="10"/>
        <w:ind w:firstLine="800" w:firstLineChars="250"/>
        <w:rPr>
          <w:rFonts w:ascii="仿宋" w:hAnsi="仿宋" w:eastAsia="仿宋"/>
          <w:b/>
          <w:color w:val="auto"/>
          <w:sz w:val="32"/>
          <w:szCs w:val="32"/>
          <w:highlight w:val="none"/>
        </w:rPr>
      </w:pPr>
      <w:r>
        <w:rPr>
          <w:rFonts w:hint="eastAsia" w:ascii="仿宋" w:hAnsi="仿宋" w:eastAsia="仿宋"/>
          <w:b/>
          <w:color w:val="auto"/>
          <w:sz w:val="32"/>
          <w:szCs w:val="32"/>
          <w:highlight w:val="none"/>
        </w:rPr>
        <w:t>（三）财政拨款支出决算具体情况</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2020年度财政拨款支出年初预算数为11140.18万元，支出决算数为13192.01万元，完成年初预算的118.42%，其中：</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1、一般公共服务</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民族事务</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行政运行</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年初预算为14.97万元，支出决算为14.97万元，完成年初预算的100%。</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2、社会保障和就业支出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民政管理事务</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行政运行</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年初预算为473.02万元，支出决算为473.02万元，完成年初预算的100%。</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3、社会保障和就业支出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民政管理事务</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其他民政管理事务支出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年初预算为146.85万元，支出决算为146.85万元，完成年初预算的100%。</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4、社会保障和就业支出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抚恤</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死亡抚恤</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年初预算为0万元，支出决算为0.05万元，决算数大于年初预算数的主要原因是有年中追加预算。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5、社会保障和就业支出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退役安置</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军队移交政府的离退休人员安置</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年初预算为0万元，支出决算为115.93万元，决算数大于年初预算数的主要原因是有年中追加预算。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6、社会保障和就业支出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社会福利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儿童福利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年初预算为218万元，支出决算为371.</w:t>
      </w:r>
      <w:r>
        <w:rPr>
          <w:rFonts w:hint="eastAsia" w:ascii="仿宋" w:hAnsi="仿宋" w:eastAsia="仿宋"/>
          <w:color w:val="auto"/>
          <w:sz w:val="32"/>
          <w:szCs w:val="32"/>
          <w:highlight w:val="none"/>
          <w:lang w:val="en-US" w:eastAsia="zh-CN"/>
        </w:rPr>
        <w:t>5</w:t>
      </w:r>
      <w:r>
        <w:rPr>
          <w:rFonts w:hint="eastAsia" w:ascii="仿宋" w:hAnsi="仿宋" w:eastAsia="仿宋"/>
          <w:color w:val="auto"/>
          <w:sz w:val="32"/>
          <w:szCs w:val="32"/>
          <w:highlight w:val="none"/>
        </w:rPr>
        <w:t>万元，完成年初预算的170.4%，决算数大于年初预算数的主要原因是有年中追加预算。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7、社会保障和就业支出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社会福利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老年福利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年初预算为400万元，支出决算为404.91万元，完成年初预算的101.23%，决算数大于年初预算数的主要原因是有年中追加预算。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8、社会保障和就业支出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社会福利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殡葬</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年初预算为100万元，支出决算为143.45万元，完成年初预算的143.45%，决算数大于年初预算数的主要原因是有年中追加预算。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9、社会保障和就业支出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社会福利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养老服务</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年初预算为0万元，支出决算为209.76万元，决算数大于年初预算数的主要原因是有年中追加预算。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10、社会保障和就业支出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社会福利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其他社会福利支出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年初预算为0万元，支出决算为160万元，决算数大于年初预算数的主要原因是有年中追加预算。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11、社会保障和就业支出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残疾人事业</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残疾人生活补贴和护理补贴</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年初预算为1615.51万元，支出决算为1615.51万元。</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12、社会保障和就业支出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残疾人事业</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其他残疾人事业支出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年初预算为0万元，支出决算为214.71万元，决算数大于年初预算数的主要原因是有年中追加预算。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13、社会保障和就业支出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临时救助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临时救助支出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年初预算为5万元，支出决算为10万元，完成年初预算的200%，决算数大于年初预算数的主要原因是有年中追加预算。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14、社会保障和就业支出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临时救助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流浪乞讨人员救助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年初预算为5万元，支出决算为60.83万元，完成年初预算的1216.60%，决算数大于年初预算数的主要原因是有年中追加预算。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15、社会保障和就业支出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特困人员救助供养</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城</w:t>
      </w:r>
      <w:r>
        <w:rPr>
          <w:rFonts w:hint="eastAsia" w:ascii="仿宋" w:hAnsi="仿宋" w:eastAsia="仿宋"/>
          <w:color w:val="auto"/>
          <w:sz w:val="32"/>
          <w:szCs w:val="32"/>
          <w:highlight w:val="none"/>
          <w:lang w:eastAsia="zh-CN"/>
        </w:rPr>
        <w:t>市</w:t>
      </w:r>
      <w:r>
        <w:rPr>
          <w:rFonts w:hint="eastAsia" w:ascii="仿宋" w:hAnsi="仿宋" w:eastAsia="仿宋"/>
          <w:color w:val="auto"/>
          <w:sz w:val="32"/>
          <w:szCs w:val="32"/>
          <w:highlight w:val="none"/>
        </w:rPr>
        <w:t>特困人员救助供养支出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年初预算为</w:t>
      </w:r>
      <w:r>
        <w:rPr>
          <w:rFonts w:hint="eastAsia" w:ascii="仿宋" w:hAnsi="仿宋" w:eastAsia="仿宋"/>
          <w:color w:val="auto"/>
          <w:sz w:val="32"/>
          <w:szCs w:val="32"/>
          <w:highlight w:val="none"/>
          <w:lang w:val="en-US" w:eastAsia="zh-CN"/>
        </w:rPr>
        <w:t>150</w:t>
      </w:r>
      <w:r>
        <w:rPr>
          <w:rFonts w:hint="eastAsia" w:ascii="仿宋" w:hAnsi="仿宋" w:eastAsia="仿宋"/>
          <w:color w:val="auto"/>
          <w:sz w:val="32"/>
          <w:szCs w:val="32"/>
          <w:highlight w:val="none"/>
        </w:rPr>
        <w:t>万元，支出决算为</w:t>
      </w:r>
      <w:r>
        <w:rPr>
          <w:rFonts w:hint="eastAsia" w:ascii="仿宋" w:hAnsi="仿宋" w:eastAsia="仿宋"/>
          <w:color w:val="auto"/>
          <w:sz w:val="32"/>
          <w:szCs w:val="32"/>
          <w:highlight w:val="none"/>
          <w:lang w:val="en-US" w:eastAsia="zh-CN"/>
        </w:rPr>
        <w:t>177.50</w:t>
      </w:r>
      <w:r>
        <w:rPr>
          <w:rFonts w:hint="eastAsia" w:ascii="仿宋" w:hAnsi="仿宋" w:eastAsia="仿宋"/>
          <w:color w:val="auto"/>
          <w:sz w:val="32"/>
          <w:szCs w:val="32"/>
          <w:highlight w:val="none"/>
        </w:rPr>
        <w:t>万元，完成年初预算的</w:t>
      </w:r>
      <w:r>
        <w:rPr>
          <w:rFonts w:hint="eastAsia" w:ascii="仿宋" w:hAnsi="仿宋" w:eastAsia="仿宋"/>
          <w:color w:val="auto"/>
          <w:sz w:val="32"/>
          <w:szCs w:val="32"/>
          <w:highlight w:val="none"/>
          <w:lang w:val="en-US" w:eastAsia="zh-CN"/>
        </w:rPr>
        <w:t>118.33</w:t>
      </w:r>
      <w:r>
        <w:rPr>
          <w:rFonts w:hint="eastAsia" w:ascii="仿宋" w:hAnsi="仿宋" w:eastAsia="仿宋"/>
          <w:color w:val="auto"/>
          <w:sz w:val="32"/>
          <w:szCs w:val="32"/>
          <w:highlight w:val="none"/>
        </w:rPr>
        <w:t>%，决算数大于年初预算数的主要原因是有年中追加预算。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lang w:val="en-US" w:eastAsia="zh-CN"/>
        </w:rPr>
        <w:t>6</w:t>
      </w:r>
      <w:r>
        <w:rPr>
          <w:rFonts w:hint="eastAsia" w:ascii="仿宋" w:hAnsi="仿宋" w:eastAsia="仿宋"/>
          <w:color w:val="auto"/>
          <w:sz w:val="32"/>
          <w:szCs w:val="32"/>
          <w:highlight w:val="none"/>
        </w:rPr>
        <w:t>、社会保障和就业支出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特困人员救助供养</w:t>
      </w:r>
      <w:r>
        <w:rPr>
          <w:rFonts w:hint="eastAsia" w:ascii="仿宋" w:hAnsi="仿宋" w:eastAsia="仿宋"/>
          <w:color w:val="auto"/>
          <w:sz w:val="32"/>
          <w:szCs w:val="32"/>
          <w:highlight w:val="none"/>
          <w:lang w:eastAsia="zh-CN"/>
        </w:rPr>
        <w:t>（款）农村</w:t>
      </w:r>
      <w:r>
        <w:rPr>
          <w:rFonts w:hint="eastAsia" w:ascii="仿宋" w:hAnsi="仿宋" w:eastAsia="仿宋"/>
          <w:color w:val="auto"/>
          <w:sz w:val="32"/>
          <w:szCs w:val="32"/>
          <w:highlight w:val="none"/>
        </w:rPr>
        <w:t>特困人员救助供养支出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年初预算7965.83万元，支出决算为</w:t>
      </w:r>
      <w:r>
        <w:rPr>
          <w:rFonts w:hint="eastAsia" w:ascii="仿宋" w:hAnsi="仿宋" w:eastAsia="仿宋"/>
          <w:color w:val="auto"/>
          <w:sz w:val="32"/>
          <w:szCs w:val="32"/>
          <w:highlight w:val="none"/>
          <w:lang w:val="en-US" w:eastAsia="zh-CN"/>
        </w:rPr>
        <w:t>8660.92</w:t>
      </w:r>
      <w:r>
        <w:rPr>
          <w:rFonts w:hint="eastAsia" w:ascii="仿宋" w:hAnsi="仿宋" w:eastAsia="仿宋"/>
          <w:color w:val="auto"/>
          <w:sz w:val="32"/>
          <w:szCs w:val="32"/>
          <w:highlight w:val="none"/>
        </w:rPr>
        <w:t>万元，完成年初预算的108.</w:t>
      </w:r>
      <w:r>
        <w:rPr>
          <w:rFonts w:hint="eastAsia" w:ascii="仿宋" w:hAnsi="仿宋" w:eastAsia="仿宋"/>
          <w:color w:val="auto"/>
          <w:sz w:val="32"/>
          <w:szCs w:val="32"/>
          <w:highlight w:val="none"/>
          <w:lang w:val="en-US" w:eastAsia="zh-CN"/>
        </w:rPr>
        <w:t>73</w:t>
      </w:r>
      <w:r>
        <w:rPr>
          <w:rFonts w:hint="eastAsia" w:ascii="仿宋" w:hAnsi="仿宋" w:eastAsia="仿宋"/>
          <w:color w:val="auto"/>
          <w:sz w:val="32"/>
          <w:szCs w:val="32"/>
          <w:highlight w:val="none"/>
        </w:rPr>
        <w:t>%，决算数大于年初预算数的主要原因是有年中追加预算。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其他生活救助</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其他农村生活救助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年初预算为46万元，支出决算为156.2万元，完成年初预算的339.5</w:t>
      </w:r>
      <w:r>
        <w:rPr>
          <w:rFonts w:hint="eastAsia" w:ascii="仿宋" w:hAnsi="仿宋" w:eastAsia="仿宋"/>
          <w:color w:val="auto"/>
          <w:sz w:val="32"/>
          <w:szCs w:val="32"/>
          <w:highlight w:val="none"/>
          <w:lang w:val="en-US" w:eastAsia="zh-CN"/>
        </w:rPr>
        <w:t>7</w:t>
      </w:r>
      <w:r>
        <w:rPr>
          <w:rFonts w:hint="eastAsia" w:ascii="仿宋" w:hAnsi="仿宋" w:eastAsia="仿宋"/>
          <w:color w:val="auto"/>
          <w:sz w:val="32"/>
          <w:szCs w:val="32"/>
          <w:highlight w:val="none"/>
        </w:rPr>
        <w:t>%，决算数大于年初预算数的主要原因是有年中追加预算。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lang w:val="en-US" w:eastAsia="zh-CN"/>
        </w:rPr>
        <w:t>8</w:t>
      </w:r>
      <w:r>
        <w:rPr>
          <w:rFonts w:hint="eastAsia" w:ascii="仿宋" w:hAnsi="仿宋" w:eastAsia="仿宋"/>
          <w:color w:val="auto"/>
          <w:sz w:val="32"/>
          <w:szCs w:val="32"/>
          <w:highlight w:val="none"/>
        </w:rPr>
        <w:t>、社会保障和就业支出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其他社会保障和就业支出</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其他社会保障和就业支出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年初预算为0万元，支出决算为221.46万元，决算数大于年初预算数的主要原因是有年中追加预算。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lang w:val="en-US" w:eastAsia="zh-CN"/>
        </w:rPr>
        <w:t>9</w:t>
      </w:r>
      <w:r>
        <w:rPr>
          <w:rFonts w:hint="eastAsia" w:ascii="仿宋" w:hAnsi="仿宋" w:eastAsia="仿宋"/>
          <w:color w:val="auto"/>
          <w:sz w:val="32"/>
          <w:szCs w:val="32"/>
          <w:highlight w:val="none"/>
        </w:rPr>
        <w:t>、卫生健康支出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其他卫生健康支出</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其他卫生健康支出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年初预算为0万元，支出决算为0.2万元，决算数大于年初预算数的主要原因是有年中追加预算。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20</w:t>
      </w:r>
      <w:r>
        <w:rPr>
          <w:rFonts w:hint="eastAsia" w:ascii="仿宋" w:hAnsi="仿宋" w:eastAsia="仿宋"/>
          <w:color w:val="auto"/>
          <w:sz w:val="32"/>
          <w:szCs w:val="32"/>
          <w:highlight w:val="none"/>
        </w:rPr>
        <w:t>、农林水支出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扶贫</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其他扶贫支出</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年初预算为0万元，支出决算为17万元，决算数大于年初预算数的主要原因是有年中追加预算。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、灾害防治及应急管理支出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自然灾害救灾及恢复重建支出</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中央自然灾害生活补助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年初预算为0万元，支出决算为4.24万元，决算数大于年初预算数的主要原因是有年中追加预算。</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2</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、灾害防治及应急管理支出</w:t>
      </w:r>
      <w:r>
        <w:rPr>
          <w:rFonts w:hint="eastAsia" w:ascii="仿宋" w:hAnsi="仿宋" w:eastAsia="仿宋"/>
          <w:color w:val="auto"/>
          <w:sz w:val="32"/>
          <w:szCs w:val="32"/>
          <w:highlight w:val="none"/>
          <w:lang w:val="en-US" w:eastAsia="zh-CN"/>
        </w:rPr>
        <w:t>(类)</w:t>
      </w:r>
      <w:r>
        <w:rPr>
          <w:rFonts w:hint="eastAsia" w:ascii="仿宋" w:hAnsi="仿宋" w:eastAsia="仿宋"/>
          <w:color w:val="auto"/>
          <w:sz w:val="32"/>
          <w:szCs w:val="32"/>
          <w:highlight w:val="none"/>
        </w:rPr>
        <w:t>自然灾害救灾及恢复重建支出</w:t>
      </w:r>
      <w:r>
        <w:rPr>
          <w:rFonts w:hint="eastAsia" w:ascii="仿宋" w:hAnsi="仿宋" w:eastAsia="仿宋"/>
          <w:color w:val="auto"/>
          <w:sz w:val="32"/>
          <w:szCs w:val="32"/>
          <w:highlight w:val="none"/>
          <w:lang w:eastAsia="zh-CN"/>
        </w:rPr>
        <w:t>（款）</w:t>
      </w:r>
      <w:r>
        <w:rPr>
          <w:rFonts w:hint="eastAsia" w:ascii="仿宋" w:hAnsi="仿宋" w:eastAsia="仿宋"/>
          <w:color w:val="auto"/>
          <w:sz w:val="32"/>
          <w:szCs w:val="32"/>
          <w:highlight w:val="none"/>
        </w:rPr>
        <w:t xml:space="preserve">  自然灾害救灾补助</w:t>
      </w:r>
      <w:r>
        <w:rPr>
          <w:rFonts w:hint="eastAsia" w:ascii="仿宋" w:hAnsi="仿宋" w:eastAsia="仿宋"/>
          <w:color w:val="auto"/>
          <w:sz w:val="32"/>
          <w:szCs w:val="32"/>
          <w:highlight w:val="none"/>
          <w:lang w:eastAsia="zh-CN"/>
        </w:rPr>
        <w:t>（项）</w:t>
      </w:r>
      <w:r>
        <w:rPr>
          <w:rFonts w:hint="eastAsia" w:ascii="仿宋" w:hAnsi="仿宋" w:eastAsia="仿宋"/>
          <w:color w:val="auto"/>
          <w:sz w:val="32"/>
          <w:szCs w:val="32"/>
          <w:highlight w:val="none"/>
        </w:rPr>
        <w:t>。</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年初预算为0万元，支出决算为13万元，决算数大于年初预算数的主要原因是有年中追加预算。</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六、一般公共预算财政拨款基本支出决算情况说明</w:t>
      </w:r>
    </w:p>
    <w:p>
      <w:pPr>
        <w:pStyle w:val="10"/>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2020年度财政拨款基本支出634.8</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万元，其中：人员经费503.9万元，占基本支出的79.37%,主要包括基本工资、津贴补贴、奖金、伙食补助费等；公用经费130.9</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万元，占基本支出的20.63%，主要包括办公费、印刷费、咨询费、手续费等。</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七、一般公共预算财政拨款三公经费支出决算情况说明</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（一）“三公”经费财政拨款支出决算总体情况说明</w:t>
      </w:r>
    </w:p>
    <w:p>
      <w:pPr>
        <w:pStyle w:val="10"/>
        <w:ind w:firstLine="800" w:firstLineChars="25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“三公”经费财政拨款支出预算为21.42万元，支出决算为21.42万元，完成预算的100%，其中：</w:t>
      </w:r>
    </w:p>
    <w:p>
      <w:pPr>
        <w:pStyle w:val="10"/>
        <w:spacing w:line="600" w:lineRule="exact"/>
        <w:ind w:firstLine="960" w:firstLineChars="300"/>
        <w:rPr>
          <w:rFonts w:hint="eastAsia" w:ascii="仿宋" w:hAnsi="仿宋" w:eastAsia="仿宋"/>
          <w:color w:val="auto"/>
          <w:sz w:val="32"/>
          <w:szCs w:val="32"/>
          <w:highlight w:val="none"/>
        </w:rPr>
      </w:pPr>
      <w:r>
        <w:rPr>
          <w:rFonts w:ascii="Times New Roman" w:hAnsi="Times New Roman" w:eastAsia="仿宋_GB2312" w:cs="Times New Roman"/>
          <w:color w:val="auto"/>
          <w:sz w:val="32"/>
          <w:szCs w:val="32"/>
          <w:highlight w:val="none"/>
        </w:rPr>
        <w:t>因公出国（境）费支出预算为</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万元，支出决算为</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万元。</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公务接待费支出预算为1.75万元，支出决算为1.75万元，完成预算的100%，与上年相比减少1.25万元，减少41.67%,减少的主要原因是严格按规定控制“三公”经费的开支。</w:t>
      </w:r>
    </w:p>
    <w:p>
      <w:pPr>
        <w:pStyle w:val="10"/>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rPr>
        <w:t>公务用车购置费及运行维护费支出预算为19.67万元，支出决算为19.67万元，完成预算的100%，与上年相比减少5.88万元，减少23.01%,减少主要原因是严格按规定控制“三公”经费的开支。</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（二）“三公”经费财政拨款支出决算具体情况说明</w:t>
      </w:r>
    </w:p>
    <w:p>
      <w:pPr>
        <w:pStyle w:val="10"/>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2020年度“三公”经费财政拨款支出决算中，公务接待费支出决算1.75万元，占8.17%,因公出国（境）费支出决算0万元，公务用车购置费及运行维护费支出决算19.67万元，占91.83%。其中：</w:t>
      </w:r>
    </w:p>
    <w:p>
      <w:pPr>
        <w:pStyle w:val="10"/>
        <w:spacing w:line="600" w:lineRule="exact"/>
        <w:ind w:firstLine="640" w:firstLineChars="200"/>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color w:val="auto"/>
          <w:sz w:val="32"/>
          <w:szCs w:val="32"/>
          <w:highlight w:val="none"/>
        </w:rPr>
        <w:t>1、因公出国（境）费支出决算为</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 xml:space="preserve">万元，全年安排因公出国（境）团组   </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个，累计</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人次</w:t>
      </w:r>
      <w:r>
        <w:rPr>
          <w:rFonts w:hint="eastAsia" w:ascii="Times New Roman" w:hAnsi="Times New Roman" w:eastAsia="仿宋_GB2312" w:cs="Times New Roman"/>
          <w:color w:val="auto"/>
          <w:sz w:val="32"/>
          <w:szCs w:val="32"/>
          <w:highlight w:val="none"/>
          <w:lang w:eastAsia="zh-CN"/>
        </w:rPr>
        <w:t>。</w:t>
      </w:r>
    </w:p>
    <w:p>
      <w:pPr>
        <w:pStyle w:val="10"/>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、公务接待费支出决算为1.75万元，全年共接待来访团组15个、来宾225人次，主要是上级检查、调研及兄弟单位学习经验交流发生的接待支出。</w:t>
      </w:r>
    </w:p>
    <w:p>
      <w:pPr>
        <w:pStyle w:val="10"/>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、公务用车购置费及运行维护费支出决算为19.67万元，其中：公务用车购置费0万元</w:t>
      </w:r>
      <w:r>
        <w:rPr>
          <w:rFonts w:hint="eastAsia" w:ascii="仿宋" w:hAnsi="仿宋" w:eastAsia="仿宋"/>
          <w:color w:val="auto"/>
          <w:sz w:val="32"/>
          <w:szCs w:val="32"/>
          <w:highlight w:val="none"/>
          <w:lang w:eastAsia="zh-CN"/>
        </w:rPr>
        <w:t>，</w:t>
      </w:r>
      <w:r>
        <w:rPr>
          <w:rFonts w:eastAsia="仿宋_GB2312"/>
          <w:color w:val="auto"/>
          <w:sz w:val="32"/>
          <w:szCs w:val="32"/>
          <w:highlight w:val="none"/>
        </w:rPr>
        <w:t>更新公务用</w:t>
      </w:r>
      <w:r>
        <w:rPr>
          <w:rFonts w:hint="eastAsia" w:ascii="仿宋" w:hAnsi="仿宋" w:eastAsia="仿宋"/>
          <w:color w:val="auto"/>
          <w:sz w:val="32"/>
          <w:szCs w:val="32"/>
          <w:highlight w:val="none"/>
        </w:rPr>
        <w:t>车</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辆。公务用车运行维护费19.67万元，主要是下乡扶贫租车支出，截止2020年12月31日，我单位开支财政拨款的公务用车保有量为2辆。</w:t>
      </w:r>
    </w:p>
    <w:p>
      <w:pPr>
        <w:pStyle w:val="10"/>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八、政府性基金预算收入支出决算情况</w:t>
      </w:r>
    </w:p>
    <w:p>
      <w:pPr>
        <w:pStyle w:val="1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     2020年度政府性基金预算财政拨款收入832.07万元；年初结转和结余0万元；支出832.07万元，其中基本支出0万元，项目支出832.07万元；年末结转和结余0万元。</w:t>
      </w:r>
    </w:p>
    <w:p>
      <w:pPr>
        <w:pStyle w:val="10"/>
        <w:spacing w:line="600" w:lineRule="exact"/>
        <w:ind w:firstLine="640" w:firstLineChars="200"/>
        <w:outlineLvl w:val="1"/>
        <w:rPr>
          <w:rFonts w:hAnsi="黑体" w:cs="Times New Roman"/>
          <w:color w:val="auto"/>
          <w:sz w:val="32"/>
          <w:szCs w:val="32"/>
          <w:highlight w:val="none"/>
        </w:rPr>
      </w:pPr>
      <w:r>
        <w:rPr>
          <w:rFonts w:hint="eastAsia" w:ascii="仿宋" w:hAnsi="仿宋" w:eastAsia="仿宋"/>
          <w:b/>
          <w:color w:val="auto"/>
          <w:sz w:val="32"/>
          <w:szCs w:val="32"/>
          <w:highlight w:val="none"/>
          <w:lang w:eastAsia="zh-CN"/>
        </w:rPr>
        <w:t>九</w:t>
      </w:r>
      <w:r>
        <w:rPr>
          <w:rFonts w:hint="eastAsia" w:ascii="仿宋" w:hAnsi="仿宋" w:eastAsia="仿宋"/>
          <w:b/>
          <w:color w:val="auto"/>
          <w:sz w:val="32"/>
          <w:szCs w:val="32"/>
          <w:highlight w:val="none"/>
        </w:rPr>
        <w:t>、国有资本经营预算财政拨款支出决算情况</w:t>
      </w:r>
    </w:p>
    <w:p>
      <w:pPr>
        <w:pStyle w:val="10"/>
        <w:spacing w:line="600" w:lineRule="exact"/>
        <w:ind w:firstLine="640" w:firstLineChars="200"/>
        <w:rPr>
          <w:rFonts w:hAnsi="黑体"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2020</w:t>
      </w:r>
      <w:r>
        <w:rPr>
          <w:rFonts w:ascii="Times New Roman" w:hAnsi="Times New Roman" w:eastAsia="仿宋_GB2312" w:cs="Times New Roman"/>
          <w:color w:val="auto"/>
          <w:sz w:val="32"/>
          <w:szCs w:val="32"/>
          <w:highlight w:val="none"/>
        </w:rPr>
        <w:t>年度本单位无</w:t>
      </w:r>
      <w:r>
        <w:rPr>
          <w:rFonts w:hint="eastAsia" w:ascii="Times New Roman" w:hAnsi="Times New Roman" w:eastAsia="仿宋_GB2312" w:cs="Times New Roman"/>
          <w:color w:val="auto"/>
          <w:sz w:val="32"/>
          <w:szCs w:val="32"/>
          <w:highlight w:val="none"/>
          <w:lang w:eastAsia="zh-CN"/>
        </w:rPr>
        <w:t>国有资本经营预算支出</w:t>
      </w:r>
    </w:p>
    <w:p>
      <w:pPr>
        <w:pStyle w:val="10"/>
        <w:spacing w:line="600" w:lineRule="exact"/>
        <w:ind w:firstLine="640" w:firstLineChars="200"/>
        <w:outlineLvl w:val="1"/>
        <w:rPr>
          <w:rFonts w:hAnsi="黑体" w:cs="Times New Roman"/>
          <w:color w:val="auto"/>
          <w:sz w:val="32"/>
          <w:szCs w:val="32"/>
          <w:highlight w:val="none"/>
        </w:rPr>
      </w:pPr>
      <w:r>
        <w:rPr>
          <w:rFonts w:hint="eastAsia" w:hAnsi="黑体" w:cs="Times New Roman"/>
          <w:color w:val="auto"/>
          <w:sz w:val="32"/>
          <w:szCs w:val="32"/>
          <w:highlight w:val="none"/>
          <w:lang w:eastAsia="zh-CN"/>
        </w:rPr>
        <w:t>十</w:t>
      </w:r>
      <w:r>
        <w:rPr>
          <w:rFonts w:hAnsi="黑体" w:cs="Times New Roman"/>
          <w:color w:val="auto"/>
          <w:sz w:val="32"/>
          <w:szCs w:val="32"/>
          <w:highlight w:val="none"/>
        </w:rPr>
        <w:t>、关于</w:t>
      </w:r>
      <w:r>
        <w:rPr>
          <w:rFonts w:hint="eastAsia" w:hAnsi="黑体" w:cs="Times New Roman"/>
          <w:color w:val="auto"/>
          <w:sz w:val="32"/>
          <w:szCs w:val="32"/>
          <w:highlight w:val="none"/>
          <w:lang w:val="en-US" w:eastAsia="zh-CN"/>
        </w:rPr>
        <w:t>2020</w:t>
      </w:r>
      <w:r>
        <w:rPr>
          <w:rFonts w:hAnsi="黑体" w:cs="Times New Roman"/>
          <w:color w:val="auto"/>
          <w:sz w:val="32"/>
          <w:szCs w:val="32"/>
          <w:highlight w:val="none"/>
        </w:rPr>
        <w:t>年度预算绩效情况说明</w:t>
      </w:r>
    </w:p>
    <w:p>
      <w:pPr>
        <w:widowControl/>
        <w:shd w:val="clear" w:color="auto" w:fill="FFFFFF"/>
        <w:ind w:firstLine="640" w:firstLineChars="200"/>
        <w:jc w:val="left"/>
        <w:rPr>
          <w:rFonts w:hint="eastAsia" w:ascii="仿宋" w:hAnsi="仿宋" w:eastAsia="仿宋" w:cs="黑体"/>
          <w:color w:val="auto"/>
          <w:kern w:val="0"/>
          <w:sz w:val="32"/>
          <w:szCs w:val="32"/>
          <w:highlight w:val="none"/>
          <w:lang w:val="en-US" w:eastAsia="zh-CN" w:bidi="ar-SA"/>
        </w:rPr>
      </w:pPr>
      <w:r>
        <w:rPr>
          <w:rFonts w:hint="eastAsia" w:ascii="仿宋" w:hAnsi="仿宋" w:eastAsia="仿宋" w:cs="黑体"/>
          <w:color w:val="auto"/>
          <w:kern w:val="0"/>
          <w:sz w:val="32"/>
          <w:szCs w:val="32"/>
          <w:highlight w:val="none"/>
          <w:lang w:val="en-US" w:eastAsia="zh-CN" w:bidi="ar-SA"/>
        </w:rPr>
        <w:t>根据《湘潭县财政局关于做好2020年度本级预算支出绩效自评工作的通知》的工作要求，我局继续加强了对项目资金的绩效管理工作，认真对照财政支出绩效评价指标体系进行了自评，围绕项目产出、项目效益等指标进行了评价，按要求开展预算绩效管理工作，本单位无重点绩效评价项目。</w:t>
      </w:r>
    </w:p>
    <w:p>
      <w:pPr>
        <w:pStyle w:val="10"/>
        <w:spacing w:line="600" w:lineRule="exact"/>
        <w:ind w:firstLine="640" w:firstLineChars="200"/>
        <w:outlineLvl w:val="1"/>
        <w:rPr>
          <w:rFonts w:hAnsi="黑体" w:cs="Times New Roman"/>
          <w:color w:val="auto"/>
          <w:sz w:val="32"/>
          <w:szCs w:val="32"/>
          <w:highlight w:val="none"/>
        </w:rPr>
      </w:pPr>
      <w:r>
        <w:rPr>
          <w:rFonts w:hint="eastAsia" w:ascii="仿宋" w:hAnsi="仿宋" w:eastAsia="仿宋"/>
          <w:b/>
          <w:color w:val="auto"/>
          <w:sz w:val="32"/>
          <w:szCs w:val="32"/>
          <w:highlight w:val="none"/>
        </w:rPr>
        <w:t xml:space="preserve">   </w:t>
      </w:r>
      <w:r>
        <w:rPr>
          <w:rFonts w:hAnsi="黑体" w:cs="Times New Roman"/>
          <w:color w:val="auto"/>
          <w:sz w:val="32"/>
          <w:szCs w:val="32"/>
          <w:highlight w:val="none"/>
        </w:rPr>
        <w:t>十</w:t>
      </w:r>
      <w:r>
        <w:rPr>
          <w:rFonts w:hint="eastAsia" w:hAnsi="黑体" w:cs="Times New Roman"/>
          <w:color w:val="auto"/>
          <w:sz w:val="32"/>
          <w:szCs w:val="32"/>
          <w:highlight w:val="none"/>
          <w:lang w:eastAsia="zh-CN"/>
        </w:rPr>
        <w:t>一</w:t>
      </w:r>
      <w:r>
        <w:rPr>
          <w:rFonts w:hAnsi="黑体" w:cs="Times New Roman"/>
          <w:color w:val="auto"/>
          <w:sz w:val="32"/>
          <w:szCs w:val="32"/>
          <w:highlight w:val="none"/>
        </w:rPr>
        <w:t>、其他重要事项情况说明</w:t>
      </w:r>
    </w:p>
    <w:p>
      <w:pPr>
        <w:spacing w:line="600" w:lineRule="exact"/>
        <w:ind w:firstLine="960" w:firstLineChars="300"/>
        <w:outlineLvl w:val="2"/>
        <w:rPr>
          <w:rFonts w:hint="eastAsia" w:ascii="楷体_GB2312" w:eastAsia="楷体_GB2312"/>
          <w:b/>
          <w:color w:val="auto"/>
          <w:kern w:val="0"/>
          <w:sz w:val="32"/>
          <w:szCs w:val="32"/>
          <w:highlight w:val="none"/>
        </w:rPr>
      </w:pPr>
      <w:r>
        <w:rPr>
          <w:rFonts w:hint="eastAsia" w:ascii="楷体_GB2312" w:eastAsia="楷体_GB2312"/>
          <w:b/>
          <w:color w:val="auto"/>
          <w:kern w:val="0"/>
          <w:sz w:val="32"/>
          <w:szCs w:val="32"/>
          <w:highlight w:val="none"/>
        </w:rPr>
        <w:t>（一）机关运行经费支出情况</w:t>
      </w:r>
    </w:p>
    <w:p>
      <w:pPr>
        <w:pStyle w:val="10"/>
        <w:ind w:firstLine="640" w:firstLineChars="200"/>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本部门2020年度机关运行经费支出130.9</w:t>
      </w:r>
      <w:r>
        <w:rPr>
          <w:rFonts w:hint="eastAsia" w:ascii="仿宋" w:hAnsi="仿宋" w:eastAsia="仿宋"/>
          <w:color w:val="auto"/>
          <w:sz w:val="32"/>
          <w:szCs w:val="32"/>
          <w:highlight w:val="none"/>
          <w:lang w:val="en-US" w:eastAsia="zh-CN"/>
        </w:rPr>
        <w:t>4</w:t>
      </w:r>
      <w:r>
        <w:rPr>
          <w:rFonts w:hint="eastAsia" w:ascii="仿宋" w:hAnsi="仿宋" w:eastAsia="仿宋"/>
          <w:color w:val="auto"/>
          <w:sz w:val="32"/>
          <w:szCs w:val="32"/>
          <w:highlight w:val="none"/>
        </w:rPr>
        <w:t>万元，</w:t>
      </w:r>
      <w:r>
        <w:rPr>
          <w:rFonts w:eastAsia="仿宋_GB2312"/>
          <w:color w:val="auto"/>
          <w:kern w:val="0"/>
          <w:sz w:val="32"/>
          <w:szCs w:val="32"/>
          <w:highlight w:val="none"/>
        </w:rPr>
        <w:t>比年</w:t>
      </w:r>
      <w:r>
        <w:rPr>
          <w:rFonts w:hint="eastAsia" w:ascii="仿宋" w:hAnsi="仿宋" w:eastAsia="仿宋"/>
          <w:color w:val="auto"/>
          <w:sz w:val="32"/>
          <w:szCs w:val="32"/>
          <w:highlight w:val="none"/>
        </w:rPr>
        <w:t>初预算数增加65.88万元，增长</w:t>
      </w:r>
      <w:r>
        <w:rPr>
          <w:rFonts w:hint="eastAsia" w:ascii="仿宋" w:hAnsi="仿宋" w:eastAsia="仿宋"/>
          <w:color w:val="auto"/>
          <w:sz w:val="32"/>
          <w:szCs w:val="32"/>
          <w:highlight w:val="none"/>
          <w:lang w:val="en-US" w:eastAsia="zh-CN"/>
        </w:rPr>
        <w:t>101.26</w:t>
      </w:r>
      <w:r>
        <w:rPr>
          <w:rFonts w:hint="eastAsia" w:ascii="仿宋" w:hAnsi="仿宋" w:eastAsia="仿宋"/>
          <w:color w:val="auto"/>
          <w:sz w:val="32"/>
          <w:szCs w:val="32"/>
          <w:highlight w:val="none"/>
        </w:rPr>
        <w:t xml:space="preserve"> %。主要原因是</w:t>
      </w:r>
      <w:r>
        <w:rPr>
          <w:rFonts w:hint="eastAsia" w:ascii="仿宋" w:hAnsi="仿宋" w:eastAsia="仿宋"/>
          <w:color w:val="auto"/>
          <w:sz w:val="32"/>
          <w:szCs w:val="32"/>
          <w:highlight w:val="none"/>
          <w:lang w:eastAsia="zh-CN"/>
        </w:rPr>
        <w:t>租车费较多。</w:t>
      </w:r>
    </w:p>
    <w:p>
      <w:pPr>
        <w:spacing w:line="600" w:lineRule="exact"/>
        <w:ind w:firstLine="640" w:firstLineChars="200"/>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楷体_GB2312" w:eastAsia="楷体_GB2312"/>
          <w:b/>
          <w:color w:val="auto"/>
          <w:kern w:val="0"/>
          <w:sz w:val="32"/>
          <w:szCs w:val="32"/>
          <w:highlight w:val="none"/>
        </w:rPr>
        <w:t>（二）一般性支出情况</w:t>
      </w:r>
    </w:p>
    <w:p>
      <w:pPr>
        <w:spacing w:line="600" w:lineRule="exact"/>
        <w:ind w:firstLine="640" w:firstLineChars="200"/>
        <w:rPr>
          <w:rFonts w:hint="eastAsia" w:ascii="仿宋" w:hAnsi="仿宋" w:eastAsia="仿宋" w:cs="黑体"/>
          <w:color w:val="auto"/>
          <w:kern w:val="0"/>
          <w:sz w:val="32"/>
          <w:szCs w:val="32"/>
          <w:highlight w:val="none"/>
          <w:lang w:val="en-US" w:eastAsia="zh-CN" w:bidi="ar-SA"/>
        </w:rPr>
      </w:pPr>
      <w:r>
        <w:rPr>
          <w:rFonts w:hint="eastAsia" w:ascii="仿宋" w:hAnsi="仿宋" w:eastAsia="仿宋" w:cs="黑体"/>
          <w:color w:val="auto"/>
          <w:kern w:val="0"/>
          <w:sz w:val="32"/>
          <w:szCs w:val="32"/>
          <w:highlight w:val="none"/>
          <w:lang w:val="en-US" w:eastAsia="zh-CN" w:bidi="ar-SA"/>
        </w:rPr>
        <w:t>2020年 本部门开</w:t>
      </w:r>
      <w:r>
        <w:rPr>
          <w:rFonts w:hint="eastAsia" w:ascii="仿宋" w:hAnsi="仿宋" w:eastAsia="仿宋" w:cs="黑体"/>
          <w:color w:val="auto"/>
          <w:kern w:val="0"/>
          <w:sz w:val="32"/>
          <w:szCs w:val="32"/>
          <w:highlight w:val="none"/>
          <w:lang w:val="en-US" w:eastAsia="zh-CN" w:bidi="ar-SA"/>
        </w:rPr>
        <w:t>支会议费0万元；开支培训费19.72万元，用于开展业务培训，人数225人，内容为儿童督导员、儿童主任培训会；举办节庆、晚会、论坛、赛事活动，开支0万元。</w:t>
      </w:r>
    </w:p>
    <w:p>
      <w:pPr>
        <w:spacing w:line="600" w:lineRule="exact"/>
        <w:ind w:firstLine="640" w:firstLineChars="200"/>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楷体_GB2312" w:eastAsia="楷体_GB2312"/>
          <w:b/>
          <w:color w:val="auto"/>
          <w:kern w:val="0"/>
          <w:sz w:val="32"/>
          <w:szCs w:val="32"/>
          <w:highlight w:val="none"/>
        </w:rPr>
        <w:t>（三）政府采购支出情况</w:t>
      </w:r>
    </w:p>
    <w:p>
      <w:pPr>
        <w:pStyle w:val="10"/>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本部门2020年度政府采购支出总额27.03万元，其中：政府采购货物支出27.03万元</w:t>
      </w:r>
      <w:r>
        <w:rPr>
          <w:rFonts w:hint="eastAsia" w:ascii="仿宋" w:hAnsi="仿宋" w:eastAsia="仿宋"/>
          <w:color w:val="auto"/>
          <w:sz w:val="32"/>
          <w:szCs w:val="32"/>
          <w:highlight w:val="none"/>
          <w:lang w:eastAsia="zh-CN"/>
        </w:rPr>
        <w:t>、政府采购工程支出</w:t>
      </w:r>
      <w:r>
        <w:rPr>
          <w:rFonts w:hint="eastAsia" w:ascii="仿宋" w:hAnsi="仿宋" w:eastAsia="仿宋"/>
          <w:color w:val="auto"/>
          <w:sz w:val="32"/>
          <w:szCs w:val="32"/>
          <w:highlight w:val="none"/>
          <w:lang w:val="en-US" w:eastAsia="zh-CN"/>
        </w:rPr>
        <w:t>0万元、政府采购服务支出0万元</w:t>
      </w:r>
      <w:r>
        <w:rPr>
          <w:rFonts w:hint="eastAsia" w:ascii="仿宋" w:hAnsi="仿宋" w:eastAsia="仿宋"/>
          <w:color w:val="auto"/>
          <w:sz w:val="32"/>
          <w:szCs w:val="32"/>
          <w:highlight w:val="none"/>
        </w:rPr>
        <w:t>。授予中小企业合同金额27.03万元，占政府采购支出总额的100%，其中：授予小微企业合同金额27.03万元，占政府采购支出总额的100%。</w:t>
      </w:r>
    </w:p>
    <w:p>
      <w:pPr>
        <w:spacing w:line="600" w:lineRule="exact"/>
        <w:ind w:firstLine="640" w:firstLineChars="200"/>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楷体_GB2312" w:eastAsia="楷体_GB2312"/>
          <w:b/>
          <w:color w:val="auto"/>
          <w:kern w:val="0"/>
          <w:sz w:val="32"/>
          <w:szCs w:val="32"/>
          <w:highlight w:val="none"/>
        </w:rPr>
        <w:t>（四）国有资产占用情况</w:t>
      </w:r>
    </w:p>
    <w:p>
      <w:pPr>
        <w:pStyle w:val="10"/>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截至2020年12月31日，本单位共有车辆2辆，其中，机要通信用车2辆；单位价值50万元以上通用设备1台；单位价值100万元以上专用设备0台（套）。</w:t>
      </w:r>
    </w:p>
    <w:p>
      <w:pPr>
        <w:pStyle w:val="10"/>
        <w:jc w:val="both"/>
        <w:rPr>
          <w:rFonts w:hint="eastAsia"/>
          <w:color w:val="auto"/>
          <w:sz w:val="72"/>
          <w:szCs w:val="72"/>
          <w:highlight w:val="none"/>
        </w:rPr>
      </w:pPr>
      <w:r>
        <w:rPr>
          <w:rFonts w:hint="eastAsia" w:ascii="仿宋" w:hAnsi="仿宋" w:eastAsia="仿宋"/>
          <w:b/>
          <w:color w:val="auto"/>
          <w:sz w:val="32"/>
          <w:szCs w:val="32"/>
          <w:highlight w:val="none"/>
        </w:rPr>
        <w:t xml:space="preserve">   </w:t>
      </w:r>
    </w:p>
    <w:p>
      <w:pPr>
        <w:pStyle w:val="10"/>
        <w:jc w:val="both"/>
        <w:rPr>
          <w:color w:val="auto"/>
          <w:sz w:val="72"/>
          <w:szCs w:val="72"/>
          <w:highlight w:val="none"/>
        </w:rPr>
      </w:pPr>
    </w:p>
    <w:p>
      <w:pPr>
        <w:pStyle w:val="10"/>
        <w:jc w:val="both"/>
        <w:rPr>
          <w:color w:val="auto"/>
          <w:sz w:val="72"/>
          <w:szCs w:val="72"/>
          <w:highlight w:val="none"/>
        </w:rPr>
      </w:pPr>
    </w:p>
    <w:p>
      <w:pPr>
        <w:pStyle w:val="10"/>
        <w:jc w:val="both"/>
        <w:rPr>
          <w:color w:val="auto"/>
          <w:sz w:val="72"/>
          <w:szCs w:val="72"/>
          <w:highlight w:val="none"/>
        </w:rPr>
      </w:pPr>
    </w:p>
    <w:p>
      <w:pPr>
        <w:pStyle w:val="10"/>
        <w:jc w:val="both"/>
        <w:rPr>
          <w:color w:val="auto"/>
          <w:sz w:val="72"/>
          <w:szCs w:val="72"/>
          <w:highlight w:val="none"/>
        </w:rPr>
      </w:pPr>
    </w:p>
    <w:p>
      <w:pPr>
        <w:pStyle w:val="10"/>
        <w:jc w:val="center"/>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第四部分：名词解释</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一、机关运行经费：</w:t>
      </w:r>
      <w:r>
        <w:rPr>
          <w:rFonts w:hint="eastAsia" w:ascii="仿宋" w:hAnsi="仿宋" w:eastAsia="仿宋" w:cs="黑体"/>
          <w:color w:val="auto"/>
          <w:kern w:val="0"/>
          <w:sz w:val="32"/>
          <w:szCs w:val="32"/>
          <w:highlight w:val="none"/>
        </w:rPr>
        <w:t>是指各部门的公用经费，包括办公及印刷费、邮电费、差旅费、会议费、福利费、日常维修费、专用设备及信息网络、办公用房水电费、办公用房物业管理费、公务用车运行维护费以及其他费用。</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二、“三公”经费：</w:t>
      </w:r>
      <w:r>
        <w:rPr>
          <w:rFonts w:hint="eastAsia" w:ascii="仿宋" w:hAnsi="仿宋" w:eastAsia="仿宋" w:cs="黑体"/>
          <w:color w:val="auto"/>
          <w:kern w:val="0"/>
          <w:sz w:val="32"/>
          <w:szCs w:val="32"/>
          <w:highlight w:val="none"/>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三、基本支出：</w:t>
      </w:r>
      <w:r>
        <w:rPr>
          <w:rFonts w:hint="eastAsia" w:ascii="仿宋" w:hAnsi="仿宋" w:eastAsia="仿宋" w:cs="黑体"/>
          <w:color w:val="auto"/>
          <w:kern w:val="0"/>
          <w:sz w:val="32"/>
          <w:szCs w:val="32"/>
          <w:highlight w:val="none"/>
        </w:rPr>
        <w:t>是指为保障机构正常运转、完成日常工作任务而发生的人员支出和公用支出。</w:t>
      </w:r>
    </w:p>
    <w:p>
      <w:pPr>
        <w:ind w:firstLine="640" w:firstLineChars="200"/>
        <w:jc w:val="left"/>
        <w:rPr>
          <w:rFonts w:ascii="仿宋" w:hAnsi="仿宋" w:eastAsia="仿宋" w:cs="黑体"/>
          <w:color w:val="auto"/>
          <w:kern w:val="0"/>
          <w:sz w:val="32"/>
          <w:szCs w:val="32"/>
          <w:highlight w:val="none"/>
        </w:rPr>
      </w:pPr>
      <w:r>
        <w:rPr>
          <w:rFonts w:hint="eastAsia" w:ascii="仿宋" w:hAnsi="仿宋" w:eastAsia="仿宋" w:cs="黑体"/>
          <w:b/>
          <w:color w:val="auto"/>
          <w:kern w:val="0"/>
          <w:sz w:val="32"/>
          <w:szCs w:val="32"/>
          <w:highlight w:val="none"/>
        </w:rPr>
        <w:t>四、项目支出：</w:t>
      </w:r>
      <w:r>
        <w:rPr>
          <w:rFonts w:hint="eastAsia" w:ascii="仿宋" w:hAnsi="仿宋" w:eastAsia="仿宋" w:cs="黑体"/>
          <w:color w:val="auto"/>
          <w:kern w:val="0"/>
          <w:sz w:val="32"/>
          <w:szCs w:val="32"/>
          <w:highlight w:val="none"/>
        </w:rPr>
        <w:t>是指在基本支出之外为完成特定行政任务和事业发展目标所发生的支出。</w:t>
      </w:r>
    </w:p>
    <w:p>
      <w:pPr>
        <w:pStyle w:val="10"/>
        <w:jc w:val="center"/>
        <w:rPr>
          <w:rFonts w:asciiTheme="minorEastAsia" w:hAnsiTheme="minorEastAsia" w:eastAsiaTheme="minorEastAsia"/>
          <w:color w:val="auto"/>
          <w:sz w:val="32"/>
          <w:szCs w:val="3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color w:val="auto"/>
          <w:sz w:val="72"/>
          <w:szCs w:val="72"/>
          <w:highlight w:val="none"/>
        </w:rPr>
      </w:pPr>
    </w:p>
    <w:p>
      <w:pPr>
        <w:pStyle w:val="10"/>
        <w:jc w:val="center"/>
        <w:rPr>
          <w:rFonts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第五部分：附件</w:t>
      </w:r>
    </w:p>
    <w:p>
      <w:pPr>
        <w:ind w:firstLine="640" w:firstLineChars="200"/>
        <w:jc w:val="center"/>
        <w:rPr>
          <w:rFonts w:cs="黑体" w:asciiTheme="minorEastAsia" w:hAnsiTheme="minorEastAsia"/>
          <w:b/>
          <w:color w:val="auto"/>
          <w:kern w:val="0"/>
          <w:sz w:val="32"/>
          <w:szCs w:val="32"/>
          <w:highlight w:val="none"/>
        </w:rPr>
      </w:pPr>
      <w:r>
        <w:rPr>
          <w:rFonts w:hint="eastAsia" w:cs="黑体" w:asciiTheme="minorEastAsia" w:hAnsiTheme="minorEastAsia"/>
          <w:b/>
          <w:color w:val="auto"/>
          <w:kern w:val="0"/>
          <w:sz w:val="32"/>
          <w:szCs w:val="32"/>
          <w:highlight w:val="none"/>
        </w:rPr>
        <w:t>湘潭县民政局2020年度部门整体支出绩效评价报告</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384" w:type="dxa"/>
            <w:vMerge w:val="restart"/>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部门概况</w:t>
            </w: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单位名称</w:t>
            </w:r>
          </w:p>
        </w:tc>
        <w:tc>
          <w:tcPr>
            <w:tcW w:w="5670" w:type="dxa"/>
            <w:vAlign w:val="center"/>
          </w:tcPr>
          <w:p>
            <w:pPr>
              <w:spacing w:line="576" w:lineRule="exact"/>
              <w:ind w:right="879" w:rightChars="419"/>
              <w:jc w:val="center"/>
              <w:rPr>
                <w:rFonts w:ascii="仿宋_GB2312" w:hAnsi="宋体" w:eastAsia="仿宋_GB2312" w:cs="宋体"/>
                <w:color w:val="auto"/>
                <w:szCs w:val="21"/>
                <w:highlight w:val="none"/>
              </w:rPr>
            </w:pPr>
            <w:r>
              <w:rPr>
                <w:rFonts w:hint="eastAsia" w:ascii="仿宋" w:hAnsi="仿宋" w:eastAsia="仿宋" w:cs="仿宋"/>
                <w:color w:val="auto"/>
                <w:kern w:val="0"/>
                <w:sz w:val="24"/>
                <w:highlight w:val="none"/>
              </w:rPr>
              <w:t>湘潭县民政局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年度预算金额</w:t>
            </w:r>
          </w:p>
        </w:tc>
        <w:tc>
          <w:tcPr>
            <w:tcW w:w="5670" w:type="dxa"/>
            <w:vAlign w:val="center"/>
          </w:tcPr>
          <w:p>
            <w:pPr>
              <w:spacing w:line="576" w:lineRule="exact"/>
              <w:ind w:right="879" w:rightChars="419"/>
              <w:jc w:val="center"/>
              <w:rPr>
                <w:rFonts w:ascii="仿宋_GB2312" w:hAnsi="宋体" w:eastAsia="仿宋_GB2312" w:cs="宋体"/>
                <w:color w:val="auto"/>
                <w:szCs w:val="21"/>
                <w:highlight w:val="none"/>
              </w:rPr>
            </w:pPr>
            <w:r>
              <w:rPr>
                <w:rFonts w:hint="eastAsia"/>
                <w:color w:val="auto"/>
                <w:highlight w:val="none"/>
                <w:shd w:val="clear" w:color="auto" w:fill="FFFFFF"/>
              </w:rPr>
              <w:t>7046.2242</w:t>
            </w:r>
            <w:r>
              <w:rPr>
                <w:rFonts w:hint="eastAsia" w:ascii="仿宋" w:hAnsi="仿宋" w:eastAsia="仿宋" w:cs="仿宋"/>
                <w:color w:val="auto"/>
                <w:kern w:val="0"/>
                <w:sz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主管部门</w:t>
            </w:r>
          </w:p>
        </w:tc>
        <w:tc>
          <w:tcPr>
            <w:tcW w:w="5670" w:type="dxa"/>
            <w:vAlign w:val="center"/>
          </w:tcPr>
          <w:p>
            <w:pPr>
              <w:spacing w:line="576" w:lineRule="exact"/>
              <w:ind w:right="879" w:rightChars="419"/>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6"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单位基本职能</w:t>
            </w:r>
          </w:p>
        </w:tc>
        <w:tc>
          <w:tcPr>
            <w:tcW w:w="5670" w:type="dxa"/>
            <w:vAlign w:val="center"/>
          </w:tcPr>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（一）</w:t>
            </w:r>
            <w:r>
              <w:rPr>
                <w:rFonts w:ascii="仿宋" w:hAnsi="仿宋" w:eastAsia="仿宋" w:cs="仿宋"/>
                <w:color w:val="auto"/>
                <w:kern w:val="0"/>
                <w:sz w:val="24"/>
                <w:highlight w:val="none"/>
              </w:rPr>
              <w:t>贯彻执行国家、省、市、县关于民政工作的方针政策和法律法规。拟订全县民政事业发展规划和政策，并组织实施和监督检查。推进民政科技和民政行业标准化工作。</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（二）</w:t>
            </w:r>
            <w:r>
              <w:rPr>
                <w:rFonts w:ascii="仿宋" w:hAnsi="仿宋" w:eastAsia="仿宋" w:cs="仿宋"/>
                <w:color w:val="auto"/>
                <w:kern w:val="0"/>
                <w:sz w:val="24"/>
                <w:highlight w:val="none"/>
              </w:rPr>
              <w:t>依法承担对全县社会团体、基金会、民办非企业单位的登记管理和相应的监督管理责任。负责开展、推动本系统社会组织党建工作。</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（三）</w:t>
            </w:r>
            <w:r>
              <w:rPr>
                <w:rFonts w:ascii="仿宋" w:hAnsi="仿宋" w:eastAsia="仿宋" w:cs="仿宋"/>
                <w:color w:val="auto"/>
                <w:kern w:val="0"/>
                <w:sz w:val="24"/>
                <w:highlight w:val="none"/>
              </w:rPr>
              <w:t>承办上级民政部门和县政府交办的革命老区的调查研究、资料收集、宣传教育及老区开发项目的考察论证、评估审核、资金的监督管理工作。</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（四）</w:t>
            </w:r>
            <w:r>
              <w:rPr>
                <w:rFonts w:ascii="仿宋" w:hAnsi="仿宋" w:eastAsia="仿宋" w:cs="仿宋"/>
                <w:color w:val="auto"/>
                <w:kern w:val="0"/>
                <w:sz w:val="24"/>
                <w:highlight w:val="none"/>
              </w:rPr>
              <w:t>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pPr>
              <w:spacing w:line="400" w:lineRule="exact"/>
              <w:ind w:firstLine="480" w:firstLineChars="200"/>
              <w:rPr>
                <w:rFonts w:ascii="仿宋" w:hAnsi="仿宋" w:eastAsia="仿宋" w:cs="仿宋"/>
                <w:color w:val="auto"/>
                <w:kern w:val="0"/>
                <w:sz w:val="24"/>
                <w:highlight w:val="none"/>
              </w:rPr>
            </w:pP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（五）</w:t>
            </w:r>
            <w:r>
              <w:rPr>
                <w:rFonts w:ascii="仿宋" w:hAnsi="仿宋" w:eastAsia="仿宋" w:cs="仿宋"/>
                <w:color w:val="auto"/>
                <w:kern w:val="0"/>
                <w:sz w:val="24"/>
                <w:highlight w:val="none"/>
              </w:rPr>
              <w:t>拟订全县社会福利事业发展规划、政策并组织实施。指导全县社会福利机构的建设和管理。指导老年人、留守儿童、儿和残疾人等特殊群体的权益保障工作。指导和监督社会福利</w:t>
            </w:r>
            <w:r>
              <w:rPr>
                <w:rFonts w:ascii="仿宋" w:hAnsi="仿宋" w:eastAsia="仿宋" w:cs="仿宋"/>
                <w:color w:val="auto"/>
                <w:kern w:val="0"/>
                <w:sz w:val="24"/>
                <w:highlight w:val="none"/>
              </w:rPr>
              <w:br w:type="textWrapping"/>
            </w:r>
            <w:r>
              <w:rPr>
                <w:rFonts w:ascii="仿宋" w:hAnsi="仿宋" w:eastAsia="仿宋" w:cs="仿宋"/>
                <w:color w:val="auto"/>
                <w:kern w:val="0"/>
                <w:sz w:val="24"/>
                <w:highlight w:val="none"/>
              </w:rPr>
              <w:t>资金的管理使用。</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（六）</w:t>
            </w:r>
            <w:r>
              <w:rPr>
                <w:rFonts w:ascii="仿宋" w:hAnsi="仿宋" w:eastAsia="仿宋" w:cs="仿宋"/>
                <w:color w:val="auto"/>
                <w:kern w:val="0"/>
                <w:sz w:val="24"/>
                <w:highlight w:val="none"/>
              </w:rPr>
              <w:t>拟订促进慈善事业发展的规划、政策。组织、指导公益性社会捐助工作。负责全县性社会福利募捐的管理。</w:t>
            </w:r>
          </w:p>
          <w:p>
            <w:pPr>
              <w:spacing w:line="400" w:lineRule="exact"/>
              <w:ind w:firstLine="480" w:firstLineChars="200"/>
              <w:rPr>
                <w:rFonts w:ascii="仿宋" w:hAnsi="仿宋" w:eastAsia="仿宋" w:cs="仿宋"/>
                <w:color w:val="auto"/>
                <w:kern w:val="0"/>
                <w:sz w:val="24"/>
                <w:highlight w:val="none"/>
              </w:rPr>
            </w:pP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（七）</w:t>
            </w:r>
            <w:r>
              <w:rPr>
                <w:rFonts w:ascii="仿宋" w:hAnsi="仿宋" w:eastAsia="仿宋" w:cs="仿宋"/>
                <w:color w:val="auto"/>
                <w:kern w:val="0"/>
                <w:sz w:val="24"/>
                <w:highlight w:val="none"/>
              </w:rPr>
              <w:t>推进全县养老服务体系建设。负责全县民办养老机构的备案，指导养老服务、老年人福利、特困人员救助供养机构的建设和监督管理。</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（八）</w:t>
            </w:r>
            <w:r>
              <w:rPr>
                <w:rFonts w:ascii="仿宋" w:hAnsi="仿宋" w:eastAsia="仿宋" w:cs="仿宋"/>
                <w:color w:val="auto"/>
                <w:kern w:val="0"/>
                <w:sz w:val="24"/>
                <w:highlight w:val="none"/>
              </w:rPr>
              <w:t>协调相关部门指导、监管民政系统的安全生产工作。</w:t>
            </w:r>
          </w:p>
          <w:p>
            <w:pPr>
              <w:spacing w:line="400" w:lineRule="exact"/>
              <w:ind w:firstLine="480" w:firstLineChars="200"/>
              <w:rPr>
                <w:rFonts w:ascii="仿宋" w:hAnsi="仿宋" w:eastAsia="仿宋" w:cs="仿宋"/>
                <w:color w:val="auto"/>
                <w:kern w:val="0"/>
                <w:sz w:val="24"/>
                <w:highlight w:val="none"/>
              </w:rPr>
            </w:pPr>
          </w:p>
          <w:p>
            <w:pPr>
              <w:spacing w:line="400" w:lineRule="exact"/>
              <w:ind w:firstLine="480" w:firstLineChars="200"/>
              <w:rPr>
                <w:color w:val="auto"/>
                <w:highlight w:val="none"/>
                <w:shd w:val="clear" w:color="auto" w:fill="FFFFFF"/>
              </w:rPr>
            </w:pPr>
            <w:r>
              <w:rPr>
                <w:rFonts w:hint="eastAsia" w:ascii="仿宋" w:hAnsi="仿宋" w:eastAsia="仿宋" w:cs="仿宋"/>
                <w:color w:val="auto"/>
                <w:kern w:val="0"/>
                <w:sz w:val="24"/>
                <w:highlight w:val="none"/>
              </w:rPr>
              <w:t>（九）</w:t>
            </w:r>
            <w:r>
              <w:rPr>
                <w:rFonts w:ascii="仿宋" w:hAnsi="仿宋" w:eastAsia="仿宋" w:cs="仿宋"/>
                <w:color w:val="auto"/>
                <w:kern w:val="0"/>
                <w:sz w:val="24"/>
                <w:highlight w:val="none"/>
              </w:rPr>
              <w:t>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w:t>
            </w:r>
            <w:r>
              <w:rPr>
                <w:rFonts w:hint="eastAsia" w:ascii="仿宋" w:hAnsi="仿宋" w:eastAsia="仿宋" w:cs="仿宋"/>
                <w:color w:val="auto"/>
                <w:kern w:val="0"/>
                <w:sz w:val="24"/>
                <w:highlight w:val="none"/>
              </w:rPr>
              <w:t>干</w:t>
            </w:r>
            <w:r>
              <w:rPr>
                <w:rFonts w:ascii="仿宋" w:hAnsi="仿宋" w:eastAsia="仿宋" w:cs="仿宋"/>
                <w:color w:val="auto"/>
                <w:kern w:val="0"/>
                <w:sz w:val="24"/>
                <w:highlight w:val="none"/>
              </w:rPr>
              <w:t>部的培训和表彰</w:t>
            </w:r>
            <w:r>
              <w:rPr>
                <w:rFonts w:hint="eastAsia" w:ascii="仿宋" w:hAnsi="仿宋" w:eastAsia="仿宋" w:cs="仿宋"/>
                <w:color w:val="auto"/>
                <w:kern w:val="0"/>
                <w:sz w:val="24"/>
                <w:highlight w:val="none"/>
              </w:rPr>
              <w:t>。</w:t>
            </w:r>
            <w:r>
              <w:rPr>
                <w:rFonts w:ascii="仿宋" w:hAnsi="仿宋" w:eastAsia="仿宋" w:cs="仿宋"/>
                <w:color w:val="auto"/>
                <w:kern w:val="0"/>
                <w:sz w:val="24"/>
                <w:highlight w:val="none"/>
              </w:rPr>
              <w:br w:type="textWrapping"/>
            </w:r>
            <w:r>
              <w:rPr>
                <w:rFonts w:ascii="仿宋" w:hAnsi="仿宋" w:eastAsia="仿宋" w:cs="仿宋"/>
                <w:color w:val="auto"/>
                <w:kern w:val="0"/>
                <w:sz w:val="24"/>
                <w:highlight w:val="none"/>
              </w:rPr>
              <w:br w:type="textWrapping"/>
            </w:r>
            <w:r>
              <w:rPr>
                <w:rFonts w:hint="eastAsia"/>
                <w:color w:val="auto"/>
                <w:highlight w:val="none"/>
                <w:shd w:val="clear" w:color="auto" w:fill="FFFFFF"/>
              </w:rPr>
              <w:t xml:space="preserve">     （十）</w:t>
            </w:r>
            <w:r>
              <w:rPr>
                <w:rFonts w:ascii="仿宋" w:hAnsi="仿宋" w:eastAsia="仿宋" w:cs="仿宋"/>
                <w:color w:val="auto"/>
                <w:kern w:val="0"/>
                <w:sz w:val="24"/>
                <w:highlight w:val="none"/>
              </w:rPr>
              <w:t>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r>
              <w:rPr>
                <w:rFonts w:ascii="仿宋" w:hAnsi="仿宋" w:eastAsia="仿宋" w:cs="仿宋"/>
                <w:color w:val="auto"/>
                <w:kern w:val="0"/>
                <w:sz w:val="24"/>
                <w:highlight w:val="none"/>
              </w:rPr>
              <w:br w:type="textWrapping"/>
            </w:r>
          </w:p>
          <w:p>
            <w:pPr>
              <w:spacing w:line="400" w:lineRule="exact"/>
              <w:ind w:firstLine="420" w:firstLineChars="200"/>
              <w:rPr>
                <w:color w:val="auto"/>
                <w:highlight w:val="none"/>
                <w:shd w:val="clear" w:color="auto" w:fill="FFFFFF"/>
              </w:rPr>
            </w:pPr>
            <w:r>
              <w:rPr>
                <w:rFonts w:hint="eastAsia"/>
                <w:color w:val="auto"/>
                <w:highlight w:val="none"/>
                <w:shd w:val="clear" w:color="auto" w:fill="FFFFFF"/>
              </w:rPr>
              <w:t xml:space="preserve"> （十一）</w:t>
            </w:r>
            <w:r>
              <w:rPr>
                <w:rFonts w:ascii="仿宋" w:hAnsi="仿宋" w:eastAsia="仿宋" w:cs="仿宋"/>
                <w:color w:val="auto"/>
                <w:kern w:val="0"/>
                <w:sz w:val="24"/>
                <w:highlight w:val="none"/>
              </w:rPr>
              <w:t>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r>
              <w:rPr>
                <w:rFonts w:ascii="仿宋" w:hAnsi="仿宋" w:eastAsia="仿宋" w:cs="仿宋"/>
                <w:color w:val="auto"/>
                <w:kern w:val="0"/>
                <w:sz w:val="24"/>
                <w:highlight w:val="none"/>
              </w:rPr>
              <w:br w:type="textWrapping"/>
            </w:r>
          </w:p>
          <w:p>
            <w:pPr>
              <w:spacing w:line="400" w:lineRule="exact"/>
              <w:ind w:firstLine="420" w:firstLineChars="200"/>
              <w:rPr>
                <w:color w:val="auto"/>
                <w:highlight w:val="none"/>
                <w:shd w:val="clear" w:color="auto" w:fill="FFFFFF"/>
              </w:rPr>
            </w:pPr>
            <w:r>
              <w:rPr>
                <w:rFonts w:hint="eastAsia"/>
                <w:color w:val="auto"/>
                <w:highlight w:val="none"/>
                <w:shd w:val="clear" w:color="auto" w:fill="FFFFFF"/>
              </w:rPr>
              <w:t xml:space="preserve"> （十二）</w:t>
            </w:r>
            <w:r>
              <w:rPr>
                <w:rFonts w:ascii="仿宋" w:hAnsi="仿宋" w:eastAsia="仿宋" w:cs="仿宋"/>
                <w:color w:val="auto"/>
                <w:kern w:val="0"/>
                <w:sz w:val="24"/>
                <w:highlight w:val="none"/>
              </w:rPr>
              <w:t>拟订全县福利彩票销售规划，组织指导和规范管理全县福利彩票销售工作。指导、监督全县福彩公益金的管理和使</w:t>
            </w:r>
            <w:r>
              <w:rPr>
                <w:rFonts w:hint="eastAsia" w:ascii="仿宋" w:hAnsi="仿宋" w:eastAsia="仿宋" w:cs="仿宋"/>
                <w:color w:val="auto"/>
                <w:kern w:val="0"/>
                <w:sz w:val="24"/>
                <w:highlight w:val="none"/>
              </w:rPr>
              <w:t>用</w:t>
            </w:r>
            <w:r>
              <w:rPr>
                <w:rFonts w:ascii="仿宋" w:hAnsi="仿宋" w:eastAsia="仿宋" w:cs="仿宋"/>
                <w:color w:val="auto"/>
                <w:kern w:val="0"/>
                <w:sz w:val="24"/>
                <w:highlight w:val="none"/>
              </w:rPr>
              <w:br w:type="textWrapping"/>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（十三）</w:t>
            </w:r>
            <w:r>
              <w:rPr>
                <w:rFonts w:ascii="仿宋" w:hAnsi="仿宋" w:eastAsia="仿宋" w:cs="仿宋"/>
                <w:color w:val="auto"/>
                <w:kern w:val="0"/>
                <w:sz w:val="24"/>
                <w:highlight w:val="none"/>
              </w:rPr>
              <w:t>完成县委、县人民政府交办的其他任务。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绩效完成情况</w:t>
            </w: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部门整体支出管理和使用基本情况</w:t>
            </w:r>
          </w:p>
        </w:tc>
        <w:tc>
          <w:tcPr>
            <w:tcW w:w="5670" w:type="dxa"/>
            <w:vAlign w:val="center"/>
          </w:tcPr>
          <w:p>
            <w:pPr>
              <w:spacing w:line="36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1、2020年年初部门预算7046.2242万元（其中基本支出600.2242万元；项目支出6446万元；）。基本支出年初安排600.2242万元，包含工资福利支出527.5245万，商品服务支出65.0597万，其他对个人和家庭的补助支出7.64万。年中调整数：殡葬惠民补贴150万元。上级补助收入13767万元。</w:t>
            </w:r>
          </w:p>
          <w:p>
            <w:pPr>
              <w:spacing w:line="36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2、部门实际支出共</w:t>
            </w:r>
            <w:r>
              <w:rPr>
                <w:rFonts w:ascii="仿宋" w:hAnsi="仿宋" w:eastAsia="仿宋" w:cs="仿宋"/>
                <w:color w:val="auto"/>
                <w:kern w:val="0"/>
                <w:sz w:val="24"/>
                <w:highlight w:val="none"/>
              </w:rPr>
              <w:t>20119.79</w:t>
            </w:r>
            <w:r>
              <w:rPr>
                <w:rFonts w:hint="eastAsia" w:ascii="仿宋" w:hAnsi="仿宋" w:eastAsia="仿宋" w:cs="仿宋"/>
                <w:color w:val="auto"/>
                <w:kern w:val="0"/>
                <w:sz w:val="24"/>
                <w:highlight w:val="none"/>
              </w:rPr>
              <w:t>万元。基本支出840.94万元，项目支出19278.85万元。</w:t>
            </w:r>
          </w:p>
          <w:p>
            <w:pPr>
              <w:spacing w:line="36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3、“三公”经费预算：2020年“三公”经费预算数</w:t>
            </w:r>
            <w:r>
              <w:rPr>
                <w:rFonts w:hint="eastAsia" w:ascii="仿宋" w:hAnsi="仿宋" w:eastAsia="仿宋" w:cs="仿宋"/>
                <w:color w:val="auto"/>
                <w:kern w:val="0"/>
                <w:sz w:val="24"/>
                <w:highlight w:val="none"/>
                <w:lang w:val="en-US" w:eastAsia="zh-CN"/>
              </w:rPr>
              <w:t>21.42</w:t>
            </w:r>
            <w:r>
              <w:rPr>
                <w:rFonts w:hint="eastAsia" w:ascii="仿宋" w:hAnsi="仿宋" w:eastAsia="仿宋" w:cs="仿宋"/>
                <w:color w:val="auto"/>
                <w:kern w:val="0"/>
                <w:sz w:val="24"/>
                <w:highlight w:val="none"/>
              </w:rPr>
              <w:t xml:space="preserve">万元，其中：公务接待费 </w:t>
            </w:r>
            <w:r>
              <w:rPr>
                <w:rFonts w:hint="eastAsia" w:ascii="仿宋" w:hAnsi="仿宋" w:eastAsia="仿宋" w:cs="仿宋"/>
                <w:color w:val="auto"/>
                <w:kern w:val="0"/>
                <w:sz w:val="24"/>
                <w:highlight w:val="none"/>
                <w:lang w:val="en-US" w:eastAsia="zh-CN"/>
              </w:rPr>
              <w:t>1.75</w:t>
            </w:r>
            <w:r>
              <w:rPr>
                <w:rFonts w:hint="eastAsia" w:ascii="仿宋" w:hAnsi="仿宋" w:eastAsia="仿宋" w:cs="仿宋"/>
                <w:color w:val="auto"/>
                <w:kern w:val="0"/>
                <w:sz w:val="24"/>
                <w:highlight w:val="none"/>
              </w:rPr>
              <w:t>万元，公务用车运行费</w:t>
            </w:r>
            <w:r>
              <w:rPr>
                <w:rFonts w:hint="eastAsia" w:ascii="仿宋" w:hAnsi="仿宋" w:eastAsia="仿宋" w:cs="仿宋"/>
                <w:color w:val="auto"/>
                <w:kern w:val="0"/>
                <w:sz w:val="24"/>
                <w:highlight w:val="none"/>
                <w:lang w:val="en-US" w:eastAsia="zh-CN"/>
              </w:rPr>
              <w:t>19.67</w:t>
            </w:r>
            <w:r>
              <w:rPr>
                <w:rFonts w:hint="eastAsia" w:ascii="仿宋" w:hAnsi="仿宋" w:eastAsia="仿宋" w:cs="仿宋"/>
                <w:color w:val="auto"/>
                <w:kern w:val="0"/>
                <w:sz w:val="24"/>
                <w:highlight w:val="none"/>
              </w:rPr>
              <w:t>万元，因公出国（境）费0元。</w:t>
            </w:r>
          </w:p>
          <w:p>
            <w:pPr>
              <w:pStyle w:val="5"/>
              <w:shd w:val="clear" w:color="auto" w:fill="FFFFFF"/>
              <w:spacing w:before="0" w:beforeAutospacing="0" w:after="0" w:afterAutospacing="0" w:line="360" w:lineRule="exact"/>
              <w:ind w:firstLine="482"/>
              <w:jc w:val="both"/>
              <w:rPr>
                <w:rFonts w:ascii="仿宋" w:hAnsi="仿宋" w:eastAsia="仿宋" w:cs="仿宋"/>
                <w:color w:val="auto"/>
                <w:highlight w:val="none"/>
              </w:rPr>
            </w:pPr>
            <w:r>
              <w:rPr>
                <w:rFonts w:hint="eastAsia" w:ascii="仿宋" w:hAnsi="仿宋" w:eastAsia="仿宋" w:cs="仿宋"/>
                <w:color w:val="auto"/>
                <w:highlight w:val="none"/>
              </w:rPr>
              <w:t>4、项目经费支出情况：殡葬惠民197.13万元；流浪乞讨人员救助116.21万元；城乡社会救济资金42.2万元；民政管理事务支出32万元；县福利中心供养补助资金96万元；孤儿生活费发放及困境儿童基本生活保障金发放106.14万元；留守人员关爱保护138万元；城市居民最低生活保障 1337.84万元；农村居民最低生活保障6958.24万元；特困人员救助供养7791.78万元；残疾人两项补贴1820.72万元；百岁老人长寿保健金及高龄老人生活补贴403.04万元；养老机构补贴资金132.75万元；基本养老服务补贴资金106.8万元；</w:t>
            </w:r>
          </w:p>
          <w:p>
            <w:pPr>
              <w:spacing w:line="360" w:lineRule="exact"/>
              <w:ind w:firstLine="480" w:firstLineChars="200"/>
              <w:rPr>
                <w:rFonts w:ascii="仿宋" w:hAnsi="仿宋" w:eastAsia="仿宋" w:cs="仿宋"/>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绩效目标完成情况</w:t>
            </w:r>
          </w:p>
        </w:tc>
        <w:tc>
          <w:tcPr>
            <w:tcW w:w="5670" w:type="dxa"/>
            <w:vAlign w:val="center"/>
          </w:tcPr>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 xml:space="preserve">          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384" w:type="dxa"/>
            <w:vMerge w:val="restart"/>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存在的问题分析及改进措施</w:t>
            </w: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存在的问题</w:t>
            </w:r>
          </w:p>
        </w:tc>
        <w:tc>
          <w:tcPr>
            <w:tcW w:w="5670" w:type="dxa"/>
            <w:vAlign w:val="center"/>
          </w:tcPr>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1、预算准确率有待提高，部分项目预算不够。</w:t>
            </w:r>
          </w:p>
          <w:p>
            <w:pPr>
              <w:spacing w:line="40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2、因单位全额编制少，工作任务量大，导致一般公用经费压力大。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改进措施</w:t>
            </w:r>
          </w:p>
        </w:tc>
        <w:tc>
          <w:tcPr>
            <w:tcW w:w="5670" w:type="dxa"/>
            <w:vAlign w:val="center"/>
          </w:tcPr>
          <w:p>
            <w:pPr>
              <w:spacing w:line="44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1、合理安排预算支出，加强预算控制，科学编制预算，提高预算准确度。</w:t>
            </w:r>
          </w:p>
          <w:p>
            <w:pPr>
              <w:spacing w:line="44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2、提高工作效率，加快项目实施进度，加强预算执行进度。</w:t>
            </w:r>
          </w:p>
          <w:p>
            <w:pPr>
              <w:spacing w:line="44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3、落实压减一般性支出，牢固树立过“紧日子”思想。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4" w:type="dxa"/>
            <w:vMerge w:val="continue"/>
          </w:tcPr>
          <w:p>
            <w:pPr>
              <w:spacing w:line="576" w:lineRule="exact"/>
              <w:jc w:val="center"/>
              <w:rPr>
                <w:rFonts w:ascii="仿宋_GB2312" w:hAnsi="宋体" w:eastAsia="仿宋_GB2312" w:cs="宋体"/>
                <w:color w:val="auto"/>
                <w:szCs w:val="21"/>
                <w:highlight w:val="none"/>
              </w:rPr>
            </w:pPr>
          </w:p>
        </w:tc>
        <w:tc>
          <w:tcPr>
            <w:tcW w:w="1985" w:type="dxa"/>
            <w:vAlign w:val="center"/>
          </w:tcPr>
          <w:p>
            <w:pPr>
              <w:spacing w:line="576"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其他需要说明问题</w:t>
            </w:r>
          </w:p>
        </w:tc>
        <w:tc>
          <w:tcPr>
            <w:tcW w:w="5670" w:type="dxa"/>
            <w:vAlign w:val="center"/>
          </w:tcPr>
          <w:p>
            <w:pPr>
              <w:spacing w:line="576" w:lineRule="exact"/>
              <w:ind w:right="879" w:rightChars="419"/>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无</w:t>
            </w:r>
          </w:p>
        </w:tc>
      </w:tr>
    </w:tbl>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RiZGFkNDk1YWQ0ZGJkOGFiZWYxZTkzY2Q4NjkyYTEifQ=="/>
  </w:docVars>
  <w:rsids>
    <w:rsidRoot w:val="004506F9"/>
    <w:rsid w:val="0002229B"/>
    <w:rsid w:val="00026B3A"/>
    <w:rsid w:val="000273BD"/>
    <w:rsid w:val="000415B7"/>
    <w:rsid w:val="00041E3F"/>
    <w:rsid w:val="00055DAA"/>
    <w:rsid w:val="00061F7B"/>
    <w:rsid w:val="000658A3"/>
    <w:rsid w:val="00074155"/>
    <w:rsid w:val="000A0AC3"/>
    <w:rsid w:val="000A3F69"/>
    <w:rsid w:val="00103957"/>
    <w:rsid w:val="00111E55"/>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B3AA2"/>
    <w:rsid w:val="002E0A30"/>
    <w:rsid w:val="003130C4"/>
    <w:rsid w:val="00316C4B"/>
    <w:rsid w:val="0032192B"/>
    <w:rsid w:val="003479BD"/>
    <w:rsid w:val="0035728C"/>
    <w:rsid w:val="0037197D"/>
    <w:rsid w:val="003768D5"/>
    <w:rsid w:val="003C47E6"/>
    <w:rsid w:val="003C4FC2"/>
    <w:rsid w:val="00416E61"/>
    <w:rsid w:val="0042790C"/>
    <w:rsid w:val="004506F9"/>
    <w:rsid w:val="004717A2"/>
    <w:rsid w:val="00473DF3"/>
    <w:rsid w:val="00487911"/>
    <w:rsid w:val="00491741"/>
    <w:rsid w:val="004A740D"/>
    <w:rsid w:val="00500E5F"/>
    <w:rsid w:val="005013CE"/>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012F"/>
    <w:rsid w:val="006C1B53"/>
    <w:rsid w:val="006D7730"/>
    <w:rsid w:val="006E5284"/>
    <w:rsid w:val="006F3EB5"/>
    <w:rsid w:val="00702E34"/>
    <w:rsid w:val="00704395"/>
    <w:rsid w:val="00717621"/>
    <w:rsid w:val="00720FF1"/>
    <w:rsid w:val="00727A53"/>
    <w:rsid w:val="00787B42"/>
    <w:rsid w:val="007C4539"/>
    <w:rsid w:val="007E0284"/>
    <w:rsid w:val="007F3657"/>
    <w:rsid w:val="00812ED5"/>
    <w:rsid w:val="008277D9"/>
    <w:rsid w:val="0084478C"/>
    <w:rsid w:val="00855538"/>
    <w:rsid w:val="0086638C"/>
    <w:rsid w:val="008A3E8D"/>
    <w:rsid w:val="009237C4"/>
    <w:rsid w:val="00944C48"/>
    <w:rsid w:val="00950252"/>
    <w:rsid w:val="00967F5D"/>
    <w:rsid w:val="009A0F09"/>
    <w:rsid w:val="009A0F95"/>
    <w:rsid w:val="009B3ADF"/>
    <w:rsid w:val="009B7A9A"/>
    <w:rsid w:val="009C3B52"/>
    <w:rsid w:val="009E6817"/>
    <w:rsid w:val="009E6E9A"/>
    <w:rsid w:val="00A01D2B"/>
    <w:rsid w:val="00A42218"/>
    <w:rsid w:val="00A70249"/>
    <w:rsid w:val="00A70B02"/>
    <w:rsid w:val="00A71D9F"/>
    <w:rsid w:val="00A92E9F"/>
    <w:rsid w:val="00B33BEA"/>
    <w:rsid w:val="00B45BB2"/>
    <w:rsid w:val="00B57C9F"/>
    <w:rsid w:val="00B63572"/>
    <w:rsid w:val="00B7604E"/>
    <w:rsid w:val="00B845B3"/>
    <w:rsid w:val="00B85D8B"/>
    <w:rsid w:val="00B9306F"/>
    <w:rsid w:val="00BB4A40"/>
    <w:rsid w:val="00BD6C3E"/>
    <w:rsid w:val="00BE3674"/>
    <w:rsid w:val="00BF4BDB"/>
    <w:rsid w:val="00C10681"/>
    <w:rsid w:val="00C3049A"/>
    <w:rsid w:val="00C31B1E"/>
    <w:rsid w:val="00C667DB"/>
    <w:rsid w:val="00C77645"/>
    <w:rsid w:val="00CE04C3"/>
    <w:rsid w:val="00CE76A0"/>
    <w:rsid w:val="00D148C6"/>
    <w:rsid w:val="00D17A8A"/>
    <w:rsid w:val="00D415BA"/>
    <w:rsid w:val="00D644EE"/>
    <w:rsid w:val="00DD06FF"/>
    <w:rsid w:val="00DD5FE9"/>
    <w:rsid w:val="00E00C7A"/>
    <w:rsid w:val="00E36560"/>
    <w:rsid w:val="00E37D6C"/>
    <w:rsid w:val="00E421CE"/>
    <w:rsid w:val="00E55B68"/>
    <w:rsid w:val="00E67BE6"/>
    <w:rsid w:val="00E8683C"/>
    <w:rsid w:val="00EA2B72"/>
    <w:rsid w:val="00F74360"/>
    <w:rsid w:val="00F918FE"/>
    <w:rsid w:val="00FB462F"/>
    <w:rsid w:val="00FE16FA"/>
    <w:rsid w:val="00FE328A"/>
    <w:rsid w:val="00FE6269"/>
    <w:rsid w:val="0453633E"/>
    <w:rsid w:val="04727BC0"/>
    <w:rsid w:val="05B55C2C"/>
    <w:rsid w:val="0790347B"/>
    <w:rsid w:val="086A7E33"/>
    <w:rsid w:val="0D49663A"/>
    <w:rsid w:val="0FE26226"/>
    <w:rsid w:val="11F5001D"/>
    <w:rsid w:val="131E4819"/>
    <w:rsid w:val="13EC0E50"/>
    <w:rsid w:val="178766DD"/>
    <w:rsid w:val="1B3E6190"/>
    <w:rsid w:val="1F3C3503"/>
    <w:rsid w:val="21F22AC0"/>
    <w:rsid w:val="220F5C46"/>
    <w:rsid w:val="248400A9"/>
    <w:rsid w:val="25CA558D"/>
    <w:rsid w:val="25DC037D"/>
    <w:rsid w:val="27820A88"/>
    <w:rsid w:val="27F24D23"/>
    <w:rsid w:val="28F315FF"/>
    <w:rsid w:val="2A176C4D"/>
    <w:rsid w:val="2BC374BB"/>
    <w:rsid w:val="2BFC19E3"/>
    <w:rsid w:val="2C5F157F"/>
    <w:rsid w:val="2C673938"/>
    <w:rsid w:val="2D8B578C"/>
    <w:rsid w:val="2F8336E1"/>
    <w:rsid w:val="300A1801"/>
    <w:rsid w:val="310A308F"/>
    <w:rsid w:val="31A32CC8"/>
    <w:rsid w:val="31D238EB"/>
    <w:rsid w:val="325C56A3"/>
    <w:rsid w:val="32D54B9D"/>
    <w:rsid w:val="35476EC4"/>
    <w:rsid w:val="35D6790D"/>
    <w:rsid w:val="36032A70"/>
    <w:rsid w:val="36FE6E8E"/>
    <w:rsid w:val="39B23EF5"/>
    <w:rsid w:val="39C42A21"/>
    <w:rsid w:val="39D268EA"/>
    <w:rsid w:val="3BF01EBB"/>
    <w:rsid w:val="41D81175"/>
    <w:rsid w:val="42F4331A"/>
    <w:rsid w:val="433C2998"/>
    <w:rsid w:val="43C81E8F"/>
    <w:rsid w:val="483A764F"/>
    <w:rsid w:val="498E140A"/>
    <w:rsid w:val="4B8F46BD"/>
    <w:rsid w:val="4D5310EA"/>
    <w:rsid w:val="4F147B4F"/>
    <w:rsid w:val="5134614C"/>
    <w:rsid w:val="5731329A"/>
    <w:rsid w:val="59AC10B0"/>
    <w:rsid w:val="5AF54CD9"/>
    <w:rsid w:val="5E601034"/>
    <w:rsid w:val="5F417E97"/>
    <w:rsid w:val="613D4B85"/>
    <w:rsid w:val="65DB17F7"/>
    <w:rsid w:val="677514BA"/>
    <w:rsid w:val="677C0594"/>
    <w:rsid w:val="6780592A"/>
    <w:rsid w:val="6B19231D"/>
    <w:rsid w:val="6B332CDE"/>
    <w:rsid w:val="6B5E6670"/>
    <w:rsid w:val="70676DDE"/>
    <w:rsid w:val="70F13180"/>
    <w:rsid w:val="71B35E88"/>
    <w:rsid w:val="748669AD"/>
    <w:rsid w:val="76DB38D3"/>
    <w:rsid w:val="78BC02B4"/>
    <w:rsid w:val="79365576"/>
    <w:rsid w:val="7A140880"/>
    <w:rsid w:val="7C063B48"/>
    <w:rsid w:val="7C1508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11330</Words>
  <Characters>14827</Characters>
  <Lines>127</Lines>
  <Paragraphs>36</Paragraphs>
  <TotalTime>16</TotalTime>
  <ScaleCrop>false</ScaleCrop>
  <LinksUpToDate>false</LinksUpToDate>
  <CharactersWithSpaces>16265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2022-06-17T07:49:33Z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863627185A554476AECFC679B5D41B6B</vt:lpwstr>
  </property>
</Properties>
</file>