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ind w:firstLine="2880" w:firstLineChars="400"/>
        <w:jc w:val="both"/>
        <w:rPr>
          <w:rFonts w:hint="eastAsia" w:ascii="宋体" w:hAnsi="宋体" w:eastAsia="宋体" w:cs="宋体"/>
          <w:sz w:val="72"/>
          <w:szCs w:val="72"/>
        </w:rPr>
      </w:pPr>
      <w:r>
        <w:rPr>
          <w:rFonts w:hint="eastAsia" w:ascii="宋体" w:hAnsi="宋体" w:eastAsia="宋体" w:cs="宋体"/>
          <w:sz w:val="72"/>
          <w:szCs w:val="72"/>
        </w:rPr>
        <w:t>2020年度</w:t>
      </w:r>
    </w:p>
    <w:p>
      <w:pPr>
        <w:pStyle w:val="11"/>
        <w:jc w:val="center"/>
        <w:rPr>
          <w:rFonts w:hint="eastAsia" w:ascii="宋体" w:hAnsi="宋体" w:eastAsia="宋体" w:cs="宋体"/>
          <w:sz w:val="72"/>
          <w:szCs w:val="72"/>
        </w:rPr>
      </w:pPr>
      <w:r>
        <w:rPr>
          <w:rFonts w:hint="eastAsia" w:ascii="宋体" w:hAnsi="宋体" w:eastAsia="宋体" w:cs="宋体"/>
          <w:sz w:val="72"/>
          <w:szCs w:val="72"/>
          <w:lang w:val="en-US" w:eastAsia="zh-CN"/>
        </w:rPr>
        <w:t>湘潭县看守所</w:t>
      </w:r>
      <w:r>
        <w:rPr>
          <w:rFonts w:hint="eastAsia" w:ascii="宋体" w:hAnsi="宋体" w:eastAsia="宋体" w:cs="宋体"/>
          <w:sz w:val="72"/>
          <w:szCs w:val="72"/>
        </w:rPr>
        <w:t>部门决算</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p>
    <w:p>
      <w:pPr>
        <w:pStyle w:val="11"/>
        <w:spacing w:line="500" w:lineRule="exact"/>
        <w:jc w:val="center"/>
        <w:rPr>
          <w:rFonts w:cs="Times New Roman"/>
          <w:b/>
          <w:bCs/>
          <w:sz w:val="36"/>
          <w:szCs w:val="36"/>
        </w:rPr>
      </w:pPr>
    </w:p>
    <w:p>
      <w:pPr>
        <w:pStyle w:val="11"/>
        <w:spacing w:line="500" w:lineRule="exact"/>
        <w:jc w:val="center"/>
        <w:rPr>
          <w:rFonts w:cs="Times New Roman"/>
          <w:b/>
          <w:bCs/>
          <w:sz w:val="36"/>
          <w:szCs w:val="36"/>
        </w:rPr>
      </w:pPr>
      <w:r>
        <w:rPr>
          <w:rFonts w:hint="eastAsia"/>
          <w:b/>
          <w:bCs/>
          <w:sz w:val="36"/>
          <w:szCs w:val="36"/>
        </w:rPr>
        <w:t>目录</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湘潭县看守所</w:t>
      </w:r>
      <w:r>
        <w:rPr>
          <w:rFonts w:hint="eastAsia"/>
          <w:b/>
          <w:bCs/>
          <w:sz w:val="28"/>
          <w:szCs w:val="28"/>
        </w:rPr>
        <w:t>概况</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keepNext w:val="0"/>
        <w:keepLines w:val="0"/>
        <w:pageBreakBefore w:val="0"/>
        <w:widowControl w:val="0"/>
        <w:kinsoku/>
        <w:wordWrap/>
        <w:overflowPunct/>
        <w:topLinePunct w:val="0"/>
        <w:bidi w:val="0"/>
        <w:snapToGrid/>
        <w:spacing w:line="46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11"/>
        <w:jc w:val="center"/>
        <w:rPr>
          <w:rFonts w:hint="eastAsia" w:ascii="宋体" w:hAnsi="宋体" w:eastAsia="宋体" w:cs="宋体"/>
          <w:sz w:val="72"/>
          <w:szCs w:val="72"/>
        </w:rPr>
      </w:pPr>
    </w:p>
    <w:p>
      <w:pPr>
        <w:pStyle w:val="11"/>
        <w:jc w:val="center"/>
        <w:rPr>
          <w:rFonts w:cs="Times New Roman"/>
          <w:sz w:val="84"/>
          <w:szCs w:val="84"/>
        </w:rPr>
      </w:pPr>
      <w:r>
        <w:rPr>
          <w:rFonts w:hint="eastAsia" w:ascii="宋体" w:hAnsi="宋体" w:eastAsia="宋体" w:cs="宋体"/>
          <w:sz w:val="72"/>
          <w:szCs w:val="72"/>
          <w:lang w:val="en-US" w:eastAsia="zh-CN"/>
        </w:rPr>
        <w:t>湘潭县看守所</w:t>
      </w:r>
      <w:r>
        <w:rPr>
          <w:rFonts w:hint="eastAsia" w:ascii="宋体" w:hAnsi="宋体" w:eastAsia="宋体" w:cs="宋体"/>
          <w:sz w:val="72"/>
          <w:szCs w:val="72"/>
        </w:rPr>
        <w:t>单位概况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2"/>
        <w:ind w:left="72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numPr>
          <w:ilvl w:val="0"/>
          <w:numId w:val="2"/>
        </w:numPr>
        <w:ind w:firstLine="800" w:firstLineChars="250"/>
        <w:jc w:val="left"/>
        <w:rPr>
          <w:rFonts w:hint="eastAsia" w:ascii="仿宋" w:hAnsi="仿宋" w:eastAsia="仿宋" w:cs="??_GB2312"/>
          <w:sz w:val="32"/>
          <w:szCs w:val="32"/>
        </w:rPr>
      </w:pPr>
      <w:r>
        <w:rPr>
          <w:rFonts w:hint="eastAsia" w:ascii="仿宋" w:hAnsi="仿宋" w:eastAsia="仿宋" w:cs="??_GB2312"/>
          <w:sz w:val="32"/>
          <w:szCs w:val="32"/>
        </w:rPr>
        <w:t>对被羁押的犯罪嫌疑人、被告人实行警戒看守，管理教育；</w:t>
      </w:r>
    </w:p>
    <w:p>
      <w:pPr>
        <w:numPr>
          <w:ilvl w:val="0"/>
          <w:numId w:val="2"/>
        </w:numPr>
        <w:ind w:firstLine="800" w:firstLineChars="250"/>
        <w:jc w:val="left"/>
        <w:rPr>
          <w:rFonts w:ascii="宋体" w:cs="Times New Roman"/>
          <w:sz w:val="32"/>
          <w:szCs w:val="32"/>
        </w:rPr>
      </w:pPr>
      <w:r>
        <w:rPr>
          <w:rFonts w:hint="eastAsia" w:ascii="仿宋" w:hAnsi="仿宋" w:eastAsia="仿宋" w:cs="??_GB2312"/>
          <w:sz w:val="32"/>
          <w:szCs w:val="32"/>
        </w:rPr>
        <w:t>保障侦查机关、检察机关、审判机关、辩护人等诉讼参与人依法进行诉讼活动；</w:t>
      </w:r>
    </w:p>
    <w:p>
      <w:pPr>
        <w:numPr>
          <w:ilvl w:val="0"/>
          <w:numId w:val="2"/>
        </w:numPr>
        <w:ind w:firstLine="800" w:firstLineChars="250"/>
        <w:jc w:val="left"/>
        <w:rPr>
          <w:rFonts w:ascii="宋体" w:cs="Times New Roman"/>
          <w:sz w:val="32"/>
          <w:szCs w:val="32"/>
        </w:rPr>
      </w:pPr>
      <w:r>
        <w:rPr>
          <w:rFonts w:hint="eastAsia" w:ascii="仿宋" w:hAnsi="仿宋" w:eastAsia="仿宋" w:cs="??_GB2312"/>
          <w:sz w:val="32"/>
          <w:szCs w:val="32"/>
        </w:rPr>
        <w:t>保障犯罪嫌疑人、被告人的诉讼权利和其他合法权益；</w:t>
      </w:r>
    </w:p>
    <w:p>
      <w:pPr>
        <w:numPr>
          <w:ilvl w:val="0"/>
          <w:numId w:val="2"/>
        </w:numPr>
        <w:ind w:firstLine="800" w:firstLineChars="250"/>
        <w:jc w:val="left"/>
        <w:rPr>
          <w:rFonts w:ascii="宋体" w:cs="Times New Roman"/>
          <w:sz w:val="32"/>
          <w:szCs w:val="32"/>
        </w:rPr>
      </w:pPr>
      <w:r>
        <w:rPr>
          <w:rFonts w:hint="eastAsia" w:ascii="仿宋" w:hAnsi="仿宋" w:eastAsia="仿宋" w:cs="??_GB2312"/>
          <w:sz w:val="32"/>
          <w:szCs w:val="32"/>
        </w:rPr>
        <w:t>将罪犯交付执行刑罚；</w:t>
      </w:r>
    </w:p>
    <w:p>
      <w:pPr>
        <w:numPr>
          <w:ilvl w:val="0"/>
          <w:numId w:val="2"/>
        </w:numPr>
        <w:ind w:firstLine="800" w:firstLineChars="250"/>
        <w:jc w:val="left"/>
        <w:rPr>
          <w:rFonts w:ascii="宋体" w:cs="Times New Roman"/>
          <w:sz w:val="32"/>
          <w:szCs w:val="32"/>
        </w:rPr>
      </w:pPr>
      <w:r>
        <w:rPr>
          <w:rFonts w:hint="eastAsia" w:ascii="仿宋" w:hAnsi="仿宋" w:eastAsia="仿宋" w:cs="??_GB2312"/>
          <w:sz w:val="32"/>
          <w:szCs w:val="32"/>
        </w:rPr>
        <w:t>对依法由看守所执行刑罚的罪犯执行刑罚。</w:t>
      </w:r>
    </w:p>
    <w:p>
      <w:pPr>
        <w:ind w:firstLine="700" w:firstLineChars="250"/>
        <w:jc w:val="left"/>
        <w:rPr>
          <w:rFonts w:ascii="仿宋_GB2312" w:hAnsi="宋体" w:eastAsia="仿宋_GB2312" w:cs="Times New Roman"/>
          <w:sz w:val="28"/>
          <w:szCs w:val="28"/>
        </w:rPr>
      </w:pP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rPr>
          <w:rFonts w:ascii="宋体" w:cs="Times New Roman"/>
          <w:kern w:val="0"/>
          <w:sz w:val="32"/>
          <w:szCs w:val="32"/>
        </w:rPr>
      </w:pPr>
      <w:r>
        <w:rPr>
          <w:rFonts w:hint="eastAsia" w:ascii="宋体" w:hAnsi="宋体" w:cs="宋体"/>
          <w:kern w:val="0"/>
          <w:sz w:val="32"/>
          <w:szCs w:val="32"/>
        </w:rPr>
        <w:t>（一）内设机构设置。</w:t>
      </w:r>
      <w:r>
        <w:rPr>
          <w:rFonts w:hint="eastAsia" w:ascii="宋体" w:hAnsi="宋体" w:cs="宋体"/>
          <w:kern w:val="0"/>
          <w:sz w:val="32"/>
          <w:szCs w:val="32"/>
          <w:lang w:val="en-US" w:eastAsia="zh-CN"/>
        </w:rPr>
        <w:t>湘潭县看守所</w:t>
      </w:r>
      <w:r>
        <w:rPr>
          <w:rFonts w:hint="eastAsia" w:ascii="宋体" w:hAnsi="宋体" w:cs="宋体"/>
          <w:kern w:val="0"/>
          <w:sz w:val="32"/>
          <w:szCs w:val="32"/>
        </w:rPr>
        <w:t>内设机构包括：</w:t>
      </w:r>
      <w:r>
        <w:rPr>
          <w:rFonts w:hint="eastAsia" w:ascii="仿宋" w:hAnsi="仿宋" w:eastAsia="仿宋"/>
          <w:sz w:val="32"/>
          <w:szCs w:val="32"/>
        </w:rPr>
        <w:t>202</w:t>
      </w:r>
      <w:r>
        <w:rPr>
          <w:rFonts w:hint="eastAsia" w:ascii="仿宋" w:hAnsi="仿宋" w:eastAsia="仿宋"/>
          <w:sz w:val="32"/>
          <w:szCs w:val="32"/>
          <w:lang w:val="en-US" w:eastAsia="zh-CN"/>
        </w:rPr>
        <w:t>0</w:t>
      </w:r>
      <w:r>
        <w:rPr>
          <w:rFonts w:hint="eastAsia" w:ascii="仿宋" w:hAnsi="仿宋" w:eastAsia="仿宋"/>
          <w:sz w:val="32"/>
          <w:szCs w:val="32"/>
        </w:rPr>
        <w:t>年本单位</w:t>
      </w:r>
      <w:r>
        <w:rPr>
          <w:rFonts w:hint="eastAsia" w:ascii="仿宋" w:hAnsi="仿宋" w:eastAsia="仿宋"/>
          <w:color w:val="000000"/>
          <w:kern w:val="0"/>
          <w:sz w:val="32"/>
          <w:szCs w:val="32"/>
        </w:rPr>
        <w:t>属湘潭县公安局二级机构，</w:t>
      </w:r>
      <w:r>
        <w:rPr>
          <w:rFonts w:hint="eastAsia" w:ascii="仿宋" w:hAnsi="仿宋" w:eastAsia="仿宋" w:cs="??_GB2312"/>
          <w:sz w:val="32"/>
          <w:szCs w:val="32"/>
        </w:rPr>
        <w:t>单位性质：行政单位，</w:t>
      </w:r>
      <w:r>
        <w:rPr>
          <w:rFonts w:hint="eastAsia" w:ascii="仿宋" w:hAnsi="仿宋" w:eastAsia="仿宋"/>
          <w:sz w:val="32"/>
          <w:szCs w:val="32"/>
        </w:rPr>
        <w:t>由</w:t>
      </w:r>
      <w:r>
        <w:rPr>
          <w:rFonts w:hint="eastAsia" w:ascii="仿宋" w:hAnsi="仿宋" w:eastAsia="仿宋" w:cs="??_GB2312"/>
          <w:sz w:val="32"/>
          <w:szCs w:val="32"/>
        </w:rPr>
        <w:t>0个下属机构</w:t>
      </w:r>
      <w:r>
        <w:rPr>
          <w:rFonts w:hint="eastAsia" w:ascii="仿宋" w:hAnsi="仿宋" w:eastAsia="仿宋"/>
          <w:sz w:val="32"/>
          <w:szCs w:val="32"/>
        </w:rPr>
        <w:t>组成。</w:t>
      </w:r>
    </w:p>
    <w:p>
      <w:pPr>
        <w:widowControl/>
        <w:spacing w:line="600" w:lineRule="exact"/>
        <w:rPr>
          <w:rFonts w:hint="eastAsia" w:ascii="宋体" w:eastAsia="宋体" w:cs="Times New Roman"/>
          <w:kern w:val="0"/>
          <w:sz w:val="32"/>
          <w:szCs w:val="32"/>
          <w:lang w:eastAsia="zh-CN"/>
        </w:rPr>
      </w:pPr>
      <w:r>
        <w:rPr>
          <w:rFonts w:hint="eastAsia" w:ascii="宋体" w:hAnsi="宋体" w:cs="宋体"/>
          <w:kern w:val="0"/>
          <w:sz w:val="32"/>
          <w:szCs w:val="32"/>
        </w:rPr>
        <w:t>（二）决算单位构成。</w:t>
      </w:r>
      <w:r>
        <w:rPr>
          <w:rFonts w:hint="eastAsia" w:ascii="宋体" w:hAnsi="宋体" w:cs="宋体"/>
          <w:kern w:val="0"/>
          <w:sz w:val="32"/>
          <w:szCs w:val="32"/>
          <w:lang w:val="en-US" w:eastAsia="zh-CN"/>
        </w:rPr>
        <w:t>湘潭县看守所</w:t>
      </w:r>
      <w:r>
        <w:rPr>
          <w:rFonts w:ascii="宋体" w:hAnsi="宋体" w:cs="宋体"/>
          <w:kern w:val="0"/>
          <w:sz w:val="32"/>
          <w:szCs w:val="32"/>
        </w:rPr>
        <w:t>2020</w:t>
      </w:r>
      <w:r>
        <w:rPr>
          <w:rFonts w:hint="eastAsia" w:ascii="宋体" w:hAnsi="宋体" w:cs="宋体"/>
          <w:kern w:val="0"/>
          <w:sz w:val="32"/>
          <w:szCs w:val="32"/>
        </w:rPr>
        <w:t>年部门决算汇总公开单位构成包括：</w:t>
      </w:r>
      <w:r>
        <w:rPr>
          <w:rFonts w:hint="eastAsia" w:ascii="宋体" w:cs="宋体"/>
          <w:kern w:val="0"/>
          <w:sz w:val="32"/>
          <w:szCs w:val="32"/>
          <w:lang w:val="en-US" w:eastAsia="zh-CN"/>
        </w:rPr>
        <w:t>湘潭县看守所</w:t>
      </w:r>
      <w:r>
        <w:rPr>
          <w:rFonts w:hint="eastAsia" w:ascii="宋体" w:hAnsi="宋体" w:cs="宋体"/>
          <w:kern w:val="0"/>
          <w:sz w:val="32"/>
          <w:szCs w:val="32"/>
        </w:rPr>
        <w:t>单位本级</w:t>
      </w:r>
      <w:r>
        <w:rPr>
          <w:rFonts w:hint="eastAsia" w:ascii="宋体" w:hAnsi="宋体" w:cs="宋体"/>
          <w:kern w:val="0"/>
          <w:sz w:val="32"/>
          <w:szCs w:val="32"/>
          <w:lang w:eastAsia="zh-CN"/>
        </w:rPr>
        <w:t>。</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rtlGutter w:val="0"/>
          <w:docGrid w:type="lines" w:linePitch="312" w:charSpace="0"/>
        </w:sectPr>
      </w:pPr>
    </w:p>
    <w:tbl>
      <w:tblPr>
        <w:tblStyle w:val="6"/>
        <w:tblW w:w="14081" w:type="dxa"/>
        <w:tblInd w:w="-106" w:type="dxa"/>
        <w:tblLayout w:type="fixed"/>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Layout w:type="fixed"/>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Layout w:type="fixed"/>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Layout w:type="fixed"/>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lang w:eastAsia="zh-CN"/>
              </w:rPr>
              <w:t>湘潭县看守所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Layout w:type="fixed"/>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432.56</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70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bCs/>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446.16</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432.56</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4.66</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18.26</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450.82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450.82</w:t>
            </w:r>
          </w:p>
        </w:tc>
      </w:tr>
      <w:tr>
        <w:tblPrEx>
          <w:tblLayout w:type="fixed"/>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313"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tblPrEx>
          <w:tblLayout w:type="fixed"/>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Layout w:type="fixed"/>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Layout w:type="fixed"/>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lang w:eastAsia="zh-CN"/>
              </w:rPr>
              <w:t>湘潭县看守所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Layout w:type="fixed"/>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100"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Layout w:type="fixed"/>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1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Layout w:type="fixed"/>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70</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jc w:val="center"/>
              <w:rPr>
                <w:rFonts w:hint="default" w:ascii="宋体" w:eastAsia="宋体" w:cs="Times New Roman"/>
                <w:sz w:val="24"/>
                <w:szCs w:val="24"/>
                <w:lang w:val="en-US" w:eastAsia="zh-CN"/>
              </w:rPr>
            </w:pPr>
            <w:r>
              <w:rPr>
                <w:rFonts w:hint="eastAsia" w:cs="宋体"/>
                <w:lang w:val="en-US" w:eastAsia="zh-CN"/>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cs="宋体"/>
                <w:lang w:val="en-US" w:eastAsia="zh-CN"/>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cs="Times New Roman"/>
                <w:sz w:val="24"/>
                <w:szCs w:val="24"/>
                <w:lang w:val="en-US" w:eastAsia="zh-CN"/>
              </w:rPr>
            </w:pPr>
            <w:r>
              <w:rPr>
                <w:rFonts w:hint="eastAsia" w:ascii="宋体" w:cs="Times New Roman"/>
                <w:sz w:val="24"/>
                <w:szCs w:val="24"/>
                <w:lang w:val="en-US" w:eastAsia="zh-CN"/>
              </w:rPr>
              <w:t>20402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公安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华文中宋" w:hAnsi="华文中宋" w:eastAsia="华文中宋" w:cs="Times New Roman"/>
                <w:sz w:val="24"/>
                <w:szCs w:val="24"/>
                <w:lang w:val="en-US" w:eastAsia="zh-CN"/>
              </w:rPr>
            </w:pPr>
            <w:r>
              <w:rPr>
                <w:rFonts w:hint="eastAsia" w:ascii="华文中宋" w:hAnsi="华文中宋" w:eastAsia="华文中宋" w:cs="Times New Roman"/>
                <w:sz w:val="24"/>
                <w:szCs w:val="24"/>
                <w:lang w:val="en-US" w:eastAsia="zh-CN"/>
              </w:rPr>
              <w:t>446.16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376.16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0</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2040220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执法办案</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115</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115</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2040299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其他公安支出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331.16</w:t>
            </w: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216.16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eastAsia" w:ascii="宋体" w:eastAsia="宋体" w:cs="Times New Roman"/>
                <w:sz w:val="24"/>
                <w:szCs w:val="24"/>
                <w:lang w:val="en-US" w:eastAsia="zh-CN"/>
              </w:rPr>
            </w:pPr>
            <w:r>
              <w:rPr>
                <w:rFonts w:hint="eastAsia" w:ascii="宋体" w:cs="Times New Roman"/>
                <w:sz w:val="24"/>
                <w:szCs w:val="24"/>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hint="default" w:ascii="宋体" w:eastAsia="宋体" w:cs="Times New Roman"/>
                <w:sz w:val="24"/>
                <w:szCs w:val="24"/>
                <w:lang w:val="en-US" w:eastAsia="zh-CN"/>
              </w:rPr>
            </w:pPr>
            <w:r>
              <w:rPr>
                <w:rFonts w:hint="eastAsia" w:ascii="宋体" w:cs="Times New Roman"/>
                <w:sz w:val="24"/>
                <w:szCs w:val="24"/>
                <w:lang w:val="en-US" w:eastAsia="zh-CN"/>
              </w:rPr>
              <w:t>70</w:t>
            </w: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Layout w:type="fixed"/>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center"/>
              <w:rPr>
                <w:rFonts w:ascii="宋体" w:cs="Times New Roman"/>
                <w:sz w:val="24"/>
                <w:szCs w:val="24"/>
              </w:rPr>
            </w:pPr>
          </w:p>
        </w:tc>
      </w:tr>
      <w:tr>
        <w:tblPrEx>
          <w:tblLayout w:type="fixed"/>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363" w:type="dxa"/>
        <w:tblInd w:w="418" w:type="dxa"/>
        <w:tblLayout w:type="fixed"/>
        <w:tblCellMar>
          <w:top w:w="0" w:type="dxa"/>
          <w:left w:w="108" w:type="dxa"/>
          <w:bottom w:w="0" w:type="dxa"/>
          <w:right w:w="108" w:type="dxa"/>
        </w:tblCellMar>
      </w:tblPr>
      <w:tblGrid>
        <w:gridCol w:w="616"/>
        <w:gridCol w:w="884"/>
        <w:gridCol w:w="1363"/>
        <w:gridCol w:w="1312"/>
        <w:gridCol w:w="1237"/>
        <w:gridCol w:w="1679"/>
        <w:gridCol w:w="1679"/>
        <w:gridCol w:w="1679"/>
        <w:gridCol w:w="2914"/>
      </w:tblGrid>
      <w:tr>
        <w:tblPrEx>
          <w:tblLayout w:type="fixed"/>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Layout w:type="fixed"/>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Layout w:type="fixed"/>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8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color w:val="000000"/>
                <w:kern w:val="0"/>
                <w:sz w:val="20"/>
                <w:szCs w:val="20"/>
                <w:lang w:eastAsia="zh-CN"/>
              </w:rPr>
              <w:t>湘潭县看守所</w:t>
            </w: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Layout w:type="fixed"/>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Layout w:type="fixed"/>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36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Layout w:type="fixed"/>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6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Layout w:type="fixed"/>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3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Layout w:type="fixed"/>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公共安全支出</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公安</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432.56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2040220</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执法办案</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115</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115</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2040299</w:t>
            </w: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其他公安支出</w:t>
            </w:r>
          </w:p>
        </w:tc>
        <w:tc>
          <w:tcPr>
            <w:tcW w:w="1312"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317.56</w:t>
            </w:r>
          </w:p>
        </w:tc>
        <w:tc>
          <w:tcPr>
            <w:tcW w:w="1237"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317.56</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1679"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c>
          <w:tcPr>
            <w:tcW w:w="291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4"/>
                <w:szCs w:val="24"/>
                <w:lang w:val="en-US" w:eastAsia="zh-CN"/>
              </w:rPr>
            </w:pPr>
            <w:r>
              <w:rPr>
                <w:rFonts w:hint="eastAsia" w:ascii="宋体" w:cs="Times New Roman"/>
                <w:kern w:val="0"/>
                <w:sz w:val="24"/>
                <w:szCs w:val="24"/>
                <w:lang w:val="en-US" w:eastAsia="zh-CN"/>
              </w:rPr>
              <w:t>0</w:t>
            </w: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Layout w:type="fixed"/>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6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p>
        </w:tc>
        <w:tc>
          <w:tcPr>
            <w:tcW w:w="1312"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23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p>
        </w:tc>
      </w:tr>
      <w:tr>
        <w:tblPrEx>
          <w:tblLayout w:type="fixed"/>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fixed"/>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Layout w:type="fixed"/>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Layout w:type="fixed"/>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Layout w:type="fixed"/>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Layout w:type="fixed"/>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hint="eastAsia" w:ascii="宋体" w:eastAsia="宋体" w:cs="Times New Roman"/>
                <w:color w:val="000000"/>
                <w:kern w:val="0"/>
                <w:sz w:val="20"/>
                <w:szCs w:val="20"/>
                <w:lang w:val="en-US"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湘潭县看守所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Layout w:type="fixed"/>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Layout w:type="fixed"/>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0</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kern w:val="0"/>
                <w:sz w:val="22"/>
                <w:szCs w:val="22"/>
                <w:lang w:val="en-US" w:eastAsia="zh-CN"/>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p>
        </w:tc>
      </w:tr>
      <w:tr>
        <w:tblPrEx>
          <w:tblLayout w:type="fixed"/>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lang w:val="en-US" w:eastAsia="zh-CN"/>
              </w:rPr>
              <w:t>376.16</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376.16</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c>
          <w:tcPr>
            <w:tcW w:w="1573" w:type="dxa"/>
            <w:tcBorders>
              <w:top w:val="nil"/>
              <w:left w:val="nil"/>
              <w:bottom w:val="single" w:color="auto" w:sz="4" w:space="0"/>
              <w:right w:val="single" w:color="auto" w:sz="4" w:space="0"/>
            </w:tcBorders>
            <w:noWrap/>
            <w:vAlign w:val="center"/>
          </w:tcPr>
          <w:p>
            <w:pPr>
              <w:widowControl/>
              <w:jc w:val="center"/>
              <w:rPr>
                <w:rFonts w:hint="eastAsia" w:ascii="宋体" w:eastAsia="宋体" w:cs="Times New Roman"/>
                <w:b/>
                <w:bCs/>
                <w:kern w:val="0"/>
                <w:sz w:val="22"/>
                <w:szCs w:val="22"/>
                <w:lang w:val="en-US" w:eastAsia="zh-CN"/>
              </w:rPr>
            </w:pPr>
            <w:r>
              <w:rPr>
                <w:rFonts w:hint="eastAsia" w:ascii="宋体" w:cs="Times New Roman"/>
                <w:b w:val="0"/>
                <w:bCs w:val="0"/>
                <w:kern w:val="0"/>
                <w:sz w:val="22"/>
                <w:szCs w:val="22"/>
                <w:lang w:val="en-US" w:eastAsia="zh-CN"/>
              </w:rPr>
              <w:t>0</w:t>
            </w:r>
          </w:p>
        </w:tc>
      </w:tr>
      <w:tr>
        <w:tblPrEx>
          <w:tblLayout w:type="fixed"/>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color w:val="000000"/>
          <w:kern w:val="0"/>
          <w:sz w:val="20"/>
          <w:szCs w:val="20"/>
          <w:lang w:eastAsia="zh-CN"/>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Ind w:w="0" w:type="dxa"/>
        <w:tblLayout w:type="fixed"/>
        <w:tblCellMar>
          <w:top w:w="0" w:type="dxa"/>
          <w:left w:w="108" w:type="dxa"/>
          <w:bottom w:w="0" w:type="dxa"/>
          <w:right w:w="108" w:type="dxa"/>
        </w:tblCellMar>
      </w:tblPr>
      <w:tblGrid>
        <w:gridCol w:w="1200"/>
        <w:gridCol w:w="3527"/>
        <w:gridCol w:w="3000"/>
        <w:gridCol w:w="3492"/>
        <w:gridCol w:w="3000"/>
      </w:tblGrid>
      <w:tr>
        <w:tblPrEx>
          <w:tblLayout w:type="fixed"/>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Layout w:type="fixed"/>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Layout w:type="fixed"/>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Layout w:type="fixed"/>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Layout w:type="fixed"/>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Layout w:type="fixed"/>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376.16</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公共安全支出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376.16</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公安</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376.16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376.16</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2040220</w:t>
            </w:r>
          </w:p>
        </w:tc>
        <w:tc>
          <w:tcPr>
            <w:tcW w:w="3527"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执法办案</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115</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115</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2040299</w:t>
            </w:r>
          </w:p>
        </w:tc>
        <w:tc>
          <w:tcPr>
            <w:tcW w:w="3527" w:type="dxa"/>
            <w:tcBorders>
              <w:top w:val="nil"/>
              <w:left w:val="nil"/>
              <w:bottom w:val="single" w:color="auto" w:sz="4" w:space="0"/>
              <w:right w:val="single" w:color="auto" w:sz="4" w:space="0"/>
            </w:tcBorders>
            <w:vAlign w:val="center"/>
          </w:tcPr>
          <w:p>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其他公安支出</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261.16</w:t>
            </w:r>
          </w:p>
        </w:tc>
        <w:tc>
          <w:tcPr>
            <w:tcW w:w="3492"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3000" w:type="dxa"/>
            <w:tcBorders>
              <w:top w:val="nil"/>
              <w:left w:val="nil"/>
              <w:bottom w:val="single" w:color="auto" w:sz="4" w:space="0"/>
              <w:right w:val="single" w:color="auto" w:sz="8"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261.16</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492"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vAlign w:val="center"/>
          </w:tcPr>
          <w:p>
            <w:pPr>
              <w:widowControl/>
              <w:jc w:val="center"/>
              <w:rPr>
                <w:rFonts w:ascii="Times New Roman" w:hAnsi="Times New Roman" w:eastAsia="仿宋_GB2312" w:cs="Times New Roman"/>
                <w:kern w:val="0"/>
              </w:rPr>
            </w:pPr>
          </w:p>
        </w:tc>
      </w:tr>
      <w:tr>
        <w:tblPrEx>
          <w:tblLayout w:type="fixed"/>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15720" w:type="dxa"/>
        <w:tblInd w:w="-106" w:type="dxa"/>
        <w:tblLayout w:type="fixed"/>
        <w:tblCellMar>
          <w:top w:w="0" w:type="dxa"/>
          <w:left w:w="108" w:type="dxa"/>
          <w:bottom w:w="0" w:type="dxa"/>
          <w:right w:w="108" w:type="dxa"/>
        </w:tblCellMar>
      </w:tblPr>
      <w:tblGrid>
        <w:gridCol w:w="1338"/>
        <w:gridCol w:w="3367"/>
        <w:gridCol w:w="717"/>
        <w:gridCol w:w="1171"/>
        <w:gridCol w:w="2316"/>
        <w:gridCol w:w="717"/>
        <w:gridCol w:w="1171"/>
        <w:gridCol w:w="4206"/>
        <w:gridCol w:w="717"/>
      </w:tblGrid>
      <w:tr>
        <w:tblPrEx>
          <w:tblLayout w:type="fixed"/>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lang w:eastAsia="zh-CN"/>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Layout w:type="fixed"/>
          <w:tblCellMar>
            <w:top w:w="0" w:type="dxa"/>
            <w:left w:w="108" w:type="dxa"/>
            <w:bottom w:w="0" w:type="dxa"/>
            <w:right w:w="108" w:type="dxa"/>
          </w:tblCellMar>
        </w:tblPrEx>
        <w:trPr>
          <w:trHeight w:val="113" w:hRule="atLeast"/>
        </w:trPr>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71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17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3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71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17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420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71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hAnsi="宋体" w:cs="宋体"/>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p>
            <w:pPr>
              <w:widowControl/>
              <w:jc w:val="left"/>
              <w:rPr>
                <w:rFonts w:hint="eastAsia" w:ascii="宋体" w:hAnsi="宋体" w:cs="宋体"/>
                <w:color w:val="000000"/>
                <w:kern w:val="0"/>
                <w:lang w:val="en-US" w:eastAsia="zh-CN"/>
              </w:rPr>
            </w:pP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717" w:type="dxa"/>
            <w:tcBorders>
              <w:top w:val="nil"/>
              <w:left w:val="nil"/>
              <w:bottom w:val="single" w:color="auto" w:sz="4" w:space="0"/>
              <w:right w:val="single" w:color="auto" w:sz="4" w:space="0"/>
            </w:tcBorders>
            <w:noWrap/>
            <w:vAlign w:val="center"/>
          </w:tcPr>
          <w:p>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338"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36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31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420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470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9581"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717" w:type="dxa"/>
            <w:tcBorders>
              <w:top w:val="nil"/>
              <w:left w:val="nil"/>
              <w:bottom w:val="single" w:color="auto" w:sz="4" w:space="0"/>
              <w:right w:val="single" w:color="auto" w:sz="4" w:space="0"/>
            </w:tcBorders>
            <w:noWrap/>
            <w:vAlign w:val="center"/>
          </w:tcPr>
          <w:p>
            <w:pPr>
              <w:widowControl/>
              <w:jc w:val="left"/>
              <w:rPr>
                <w:rFonts w:hint="eastAsia"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r>
      <w:tr>
        <w:tblPrEx>
          <w:tblLayout w:type="fixed"/>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lang w:eastAsia="zh-CN"/>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Ind w:w="0" w:type="dxa"/>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Layout w:type="fixed"/>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Layout w:type="fixed"/>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Layout w:type="fixed"/>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nil"/>
              <w:bottom w:val="single" w:color="auto" w:sz="8" w:space="0"/>
              <w:right w:val="nil"/>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Times New Roman"/>
                <w:kern w:val="0"/>
                <w:lang w:val="en-US" w:eastAsia="zh-CN"/>
              </w:rPr>
              <w:t>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宋体" w:hAnsi="宋体" w:cs="宋体"/>
          <w:color w:val="000000"/>
          <w:kern w:val="0"/>
          <w:sz w:val="20"/>
          <w:szCs w:val="20"/>
          <w:lang w:eastAsia="zh-CN"/>
        </w:rPr>
        <w:t>湘潭县看守所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lang w:eastAsia="zh-CN"/>
        </w:rPr>
        <w:t>湘潭县看守所</w:t>
      </w:r>
      <w:r>
        <w:rPr>
          <w:rFonts w:hint="eastAsia" w:ascii="Times New Roman" w:hAnsi="Times New Roman" w:eastAsia="仿宋_GB2312" w:cs="仿宋_GB2312"/>
          <w:kern w:val="0"/>
        </w:rPr>
        <w:t>没有政府性基金收入，也没有使用政府性基金安排的支出，故本表无数据。</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Layout w:type="fixed"/>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Layout w:type="fixed"/>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Layout w:type="fixed"/>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湘潭县看守所</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Layout w:type="fixed"/>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Layout w:type="fixed"/>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Layout w:type="fixed"/>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Layout w:type="fixed"/>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Layout w:type="fixed"/>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Layout w:type="fixed"/>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hint="eastAsia" w:ascii="宋体" w:eastAsia="宋体" w:cs="Times New Roman"/>
                <w:kern w:val="0"/>
                <w:sz w:val="24"/>
                <w:szCs w:val="24"/>
                <w:lang w:val="en-US" w:eastAsia="zh-CN"/>
              </w:rPr>
            </w:pPr>
            <w:r>
              <w:rPr>
                <w:rFonts w:hint="eastAsia" w:ascii="宋体" w:hAnsi="宋体" w:cs="宋体"/>
                <w:kern w:val="0"/>
                <w:sz w:val="24"/>
                <w:szCs w:val="24"/>
              </w:rPr>
              <w:t>　</w:t>
            </w:r>
            <w:r>
              <w:rPr>
                <w:rFonts w:hint="eastAsia" w:ascii="宋体" w:hAnsi="宋体" w:cs="宋体"/>
                <w:kern w:val="0"/>
                <w:sz w:val="24"/>
                <w:szCs w:val="24"/>
                <w:lang w:val="en-US" w:eastAsia="zh-CN"/>
              </w:rPr>
              <w:t>0</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lang w:eastAsia="zh-CN"/>
              </w:rPr>
              <w:t>湘潭县看守所没有国有资本经营预算财政拨款的支出，故本表无数据。</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hint="eastAsia" w:ascii="宋体" w:hAnsi="宋体" w:eastAsia="宋体" w:cs="宋体"/>
          <w:sz w:val="72"/>
          <w:szCs w:val="72"/>
        </w:rPr>
      </w:pPr>
    </w:p>
    <w:p>
      <w:pPr>
        <w:pStyle w:val="11"/>
        <w:ind w:firstLine="3240" w:firstLineChars="450"/>
        <w:rPr>
          <w:rFonts w:hint="eastAsia" w:ascii="宋体" w:hAnsi="宋体" w:eastAsia="宋体" w:cs="宋体"/>
          <w:sz w:val="72"/>
          <w:szCs w:val="72"/>
        </w:rPr>
      </w:pPr>
      <w:r>
        <w:rPr>
          <w:rFonts w:hint="eastAsia" w:ascii="宋体" w:hAnsi="宋体" w:eastAsia="宋体" w:cs="宋体"/>
          <w:sz w:val="72"/>
          <w:szCs w:val="72"/>
        </w:rPr>
        <w:t>第三部分</w:t>
      </w:r>
    </w:p>
    <w:p>
      <w:pPr>
        <w:pStyle w:val="11"/>
        <w:jc w:val="center"/>
        <w:rPr>
          <w:rFonts w:hint="eastAsia" w:ascii="宋体" w:hAnsi="宋体" w:eastAsia="宋体" w:cs="宋体"/>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450.82</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51.47</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12.89</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val="en-US" w:eastAsia="zh-CN"/>
        </w:rPr>
        <w:t>物价的上涨。</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hint="default" w:ascii="宋体" w:hAnsi="宋体" w:eastAsia="宋体" w:cs="Times New Roman"/>
          <w:sz w:val="32"/>
          <w:szCs w:val="32"/>
          <w:lang w:val="en-US" w:eastAsia="zh-CN"/>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446.16</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376.16</w:t>
      </w:r>
      <w:r>
        <w:rPr>
          <w:rFonts w:hint="eastAsia" w:ascii="宋体" w:hAnsi="宋体" w:eastAsia="宋体" w:cs="宋体"/>
          <w:sz w:val="32"/>
          <w:szCs w:val="32"/>
        </w:rPr>
        <w:t>万元，占</w:t>
      </w:r>
      <w:r>
        <w:rPr>
          <w:rFonts w:hint="eastAsia" w:ascii="宋体" w:hAnsi="宋体" w:eastAsia="宋体" w:cs="宋体"/>
          <w:sz w:val="32"/>
          <w:szCs w:val="32"/>
          <w:lang w:val="en-US" w:eastAsia="zh-CN"/>
        </w:rPr>
        <w:t>84.31</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70</w:t>
      </w:r>
      <w:r>
        <w:rPr>
          <w:rFonts w:hint="eastAsia" w:ascii="宋体" w:hAnsi="宋体" w:eastAsia="宋体" w:cs="宋体"/>
          <w:sz w:val="32"/>
          <w:szCs w:val="32"/>
        </w:rPr>
        <w:t>万元，占</w:t>
      </w:r>
      <w:r>
        <w:rPr>
          <w:rFonts w:hint="eastAsia" w:ascii="宋体" w:hAnsi="宋体" w:eastAsia="宋体" w:cs="宋体"/>
          <w:sz w:val="32"/>
          <w:szCs w:val="32"/>
          <w:lang w:val="en-US" w:eastAsia="zh-CN"/>
        </w:rPr>
        <w:t>15.69</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财政拨款收入年初预算拨款</w:t>
      </w:r>
      <w:r>
        <w:rPr>
          <w:rFonts w:hint="eastAsia" w:ascii="宋体" w:hAnsi="宋体" w:eastAsia="宋体" w:cs="宋体"/>
          <w:sz w:val="32"/>
          <w:szCs w:val="32"/>
          <w:lang w:val="en-US" w:eastAsia="zh-CN"/>
        </w:rPr>
        <w:t>300万，年中追加指标76.16万元。</w:t>
      </w:r>
    </w:p>
    <w:p>
      <w:pPr>
        <w:pStyle w:val="11"/>
        <w:rPr>
          <w:rFonts w:hAnsi="黑体" w:cs="Times New Roman"/>
          <w:b/>
          <w:bCs/>
          <w:sz w:val="32"/>
          <w:szCs w:val="32"/>
        </w:rPr>
      </w:pPr>
      <w:r>
        <w:rPr>
          <w:rFonts w:hint="eastAsia" w:hAnsi="黑体"/>
          <w:b/>
          <w:bCs/>
          <w:sz w:val="32"/>
          <w:szCs w:val="32"/>
        </w:rPr>
        <w:t>三、支出决算情况说明</w:t>
      </w:r>
      <w:bookmarkStart w:id="4" w:name="_GoBack"/>
      <w:bookmarkEnd w:id="4"/>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432.56</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432.56</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ind w:firstLine="640"/>
        <w:rPr>
          <w:rFonts w:hint="eastAsia" w:ascii="宋体" w:hAnsi="宋体" w:eastAsia="宋体" w:cs="宋体"/>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376.16</w:t>
      </w:r>
      <w:r>
        <w:rPr>
          <w:rFonts w:hint="eastAsia" w:ascii="宋体" w:hAnsi="宋体" w:eastAsia="宋体" w:cs="宋体"/>
          <w:sz w:val="32"/>
          <w:szCs w:val="32"/>
        </w:rPr>
        <w:t>万元，与上年相比，增加</w:t>
      </w:r>
      <w:r>
        <w:rPr>
          <w:rFonts w:hint="eastAsia" w:ascii="宋体" w:hAnsi="宋体" w:eastAsia="宋体" w:cs="宋体"/>
          <w:sz w:val="32"/>
          <w:szCs w:val="32"/>
          <w:lang w:val="en-US" w:eastAsia="zh-CN"/>
        </w:rPr>
        <w:t>57.79</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18.15</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val="en-US" w:eastAsia="zh-CN"/>
        </w:rPr>
        <w:t>物价的上涨。</w:t>
      </w:r>
    </w:p>
    <w:p>
      <w:pPr>
        <w:pStyle w:val="11"/>
        <w:jc w:val="left"/>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1"/>
        <w:ind w:firstLine="800" w:firstLineChars="250"/>
        <w:rPr>
          <w:rFonts w:hint="default"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376.16</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84.31</w:t>
      </w:r>
      <w:r>
        <w:rPr>
          <w:rFonts w:ascii="宋体" w:hAnsi="宋体" w:eastAsia="宋体" w:cs="宋体"/>
          <w:sz w:val="32"/>
          <w:szCs w:val="32"/>
        </w:rPr>
        <w:t>%</w:t>
      </w:r>
      <w:r>
        <w:rPr>
          <w:rFonts w:hint="eastAsia" w:ascii="宋体" w:hAnsi="宋体" w:eastAsia="宋体" w:cs="宋体"/>
          <w:sz w:val="32"/>
          <w:szCs w:val="32"/>
        </w:rPr>
        <w:t>，与上年相比，财政拨款支出增加</w:t>
      </w:r>
      <w:r>
        <w:rPr>
          <w:rFonts w:hint="eastAsia" w:ascii="宋体" w:hAnsi="宋体" w:eastAsia="宋体" w:cs="宋体"/>
          <w:sz w:val="32"/>
          <w:szCs w:val="32"/>
          <w:lang w:val="en-US" w:eastAsia="zh-CN"/>
        </w:rPr>
        <w:t>57.79</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18.15</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val="en-US" w:eastAsia="zh-CN"/>
        </w:rPr>
        <w:t>物价的上涨。</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1"/>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376.16</w:t>
      </w:r>
      <w:r>
        <w:rPr>
          <w:rFonts w:hint="eastAsia" w:ascii="宋体" w:hAnsi="宋体" w:eastAsia="宋体" w:cs="宋体"/>
          <w:sz w:val="32"/>
          <w:szCs w:val="32"/>
        </w:rPr>
        <w:t>万元，主要用于以下方面：</w:t>
      </w:r>
      <w:r>
        <w:rPr>
          <w:rFonts w:hint="eastAsia" w:ascii="宋体" w:hAnsi="宋体" w:eastAsia="宋体" w:cs="宋体"/>
          <w:sz w:val="32"/>
          <w:szCs w:val="32"/>
          <w:lang w:eastAsia="zh-CN"/>
        </w:rPr>
        <w:t>湘潭县看守所无基本支出，只有项目支出。</w:t>
      </w:r>
      <w:r>
        <w:rPr>
          <w:rFonts w:hint="eastAsia" w:ascii="宋体" w:hAnsi="宋体" w:eastAsia="宋体" w:cs="宋体"/>
          <w:sz w:val="32"/>
          <w:szCs w:val="32"/>
        </w:rPr>
        <w:t>一般公共服务（类）支出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；教育（类）支出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val="en-US" w:eastAsia="zh-CN"/>
        </w:rPr>
        <w:t>公安监所公共安全支出376.16万元，占100%。</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376.16</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376.16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公共安全支出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公安</w:t>
      </w:r>
      <w:r>
        <w:rPr>
          <w:rFonts w:hint="eastAsia" w:ascii="宋体" w:hAnsi="宋体" w:eastAsia="宋体" w:cs="宋体"/>
          <w:sz w:val="32"/>
          <w:szCs w:val="32"/>
          <w:highlight w:val="none"/>
        </w:rPr>
        <w:t>（款）</w:t>
      </w:r>
      <w:r>
        <w:rPr>
          <w:rFonts w:hint="eastAsia" w:ascii="宋体" w:hAnsi="宋体" w:eastAsia="宋体" w:cs="宋体"/>
          <w:sz w:val="32"/>
          <w:szCs w:val="32"/>
          <w:highlight w:val="none"/>
          <w:lang w:val="en-US" w:eastAsia="zh-CN"/>
        </w:rPr>
        <w:t>执法办案</w:t>
      </w:r>
      <w:r>
        <w:rPr>
          <w:rFonts w:hint="eastAsia" w:ascii="宋体" w:hAnsi="宋体" w:eastAsia="宋体" w:cs="宋体"/>
          <w:sz w:val="32"/>
          <w:szCs w:val="32"/>
          <w:highlight w:val="none"/>
        </w:rPr>
        <w:t>（项）。</w:t>
      </w:r>
    </w:p>
    <w:p>
      <w:pPr>
        <w:pStyle w:val="11"/>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w:t>
      </w:r>
      <w:r>
        <w:rPr>
          <w:rFonts w:hint="eastAsia" w:ascii="宋体" w:hAnsi="宋体" w:eastAsia="宋体" w:cs="宋体"/>
          <w:sz w:val="32"/>
          <w:szCs w:val="32"/>
          <w:lang w:val="en-US" w:eastAsia="zh-CN"/>
        </w:rPr>
        <w:t>115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115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w:t>
      </w:r>
    </w:p>
    <w:p>
      <w:pPr>
        <w:pStyle w:val="11"/>
        <w:numPr>
          <w:ilvl w:val="0"/>
          <w:numId w:val="3"/>
        </w:numPr>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公共安全支出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公安</w:t>
      </w:r>
      <w:r>
        <w:rPr>
          <w:rFonts w:hint="eastAsia" w:ascii="宋体" w:hAnsi="宋体" w:eastAsia="宋体" w:cs="宋体"/>
          <w:sz w:val="32"/>
          <w:szCs w:val="32"/>
          <w:highlight w:val="none"/>
        </w:rPr>
        <w:t>（款）</w:t>
      </w:r>
      <w:r>
        <w:rPr>
          <w:rFonts w:hint="eastAsia" w:ascii="宋体" w:hAnsi="宋体" w:eastAsia="宋体" w:cs="宋体"/>
          <w:sz w:val="32"/>
          <w:szCs w:val="32"/>
          <w:highlight w:val="none"/>
          <w:lang w:val="en-US" w:eastAsia="zh-CN"/>
        </w:rPr>
        <w:t>其他公安支出（项）。</w:t>
      </w:r>
    </w:p>
    <w:p>
      <w:pPr>
        <w:pStyle w:val="11"/>
        <w:numPr>
          <w:ilvl w:val="0"/>
          <w:numId w:val="0"/>
        </w:numPr>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 xml:space="preserve">     年初预算261.16万元，支出决算为261.16万元，完成年初预算的100%。</w:t>
      </w:r>
    </w:p>
    <w:p>
      <w:pPr>
        <w:pStyle w:val="11"/>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；公用经费</w:t>
      </w:r>
      <w:r>
        <w:rPr>
          <w:rFonts w:hint="eastAsia" w:ascii="宋体" w:hAnsi="宋体" w:eastAsia="宋体" w:cs="宋体"/>
          <w:sz w:val="32"/>
          <w:szCs w:val="32"/>
          <w:lang w:val="en-US" w:eastAsia="zh-CN"/>
        </w:rPr>
        <w:t>0</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，与上年相比减少（增加）</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，与上年相比减少（增加）</w:t>
      </w:r>
      <w:r>
        <w:rPr>
          <w:rFonts w:hint="eastAsia" w:ascii="宋体" w:hAnsi="宋体" w:eastAsia="宋体" w:cs="宋体"/>
          <w:sz w:val="32"/>
          <w:szCs w:val="32"/>
          <w:lang w:val="en-US" w:eastAsia="zh-CN"/>
        </w:rPr>
        <w:t>0</w:t>
      </w:r>
      <w:r>
        <w:rPr>
          <w:rFonts w:hint="eastAsia" w:ascii="宋体" w:hAnsi="宋体" w:eastAsia="宋体" w:cs="宋体"/>
          <w:sz w:val="32"/>
          <w:szCs w:val="32"/>
        </w:rPr>
        <w:t>万元，减少（增长）</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，与上年相比减少（增加）</w:t>
      </w:r>
      <w:r>
        <w:rPr>
          <w:rFonts w:hint="eastAsia" w:ascii="宋体" w:hAnsi="宋体" w:eastAsia="宋体" w:cs="宋体"/>
          <w:sz w:val="32"/>
          <w:szCs w:val="32"/>
          <w:lang w:val="en-US" w:eastAsia="zh-CN"/>
        </w:rPr>
        <w:t>0</w:t>
      </w:r>
      <w:r>
        <w:rPr>
          <w:rFonts w:hint="eastAsia" w:ascii="宋体" w:hAnsi="宋体" w:eastAsia="宋体" w:cs="宋体"/>
          <w:sz w:val="32"/>
          <w:szCs w:val="32"/>
        </w:rPr>
        <w:t>万元，减少（增长）</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0</w:t>
      </w:r>
      <w:r>
        <w:rPr>
          <w:rFonts w:hint="eastAsia" w:ascii="宋体" w:hAnsi="宋体" w:eastAsia="宋体" w:cs="宋体"/>
          <w:sz w:val="32"/>
          <w:szCs w:val="32"/>
        </w:rPr>
        <w:t>个、来宾</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p>
    <w:p>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万元，（单位本级或某二级机构）更新公务用车</w:t>
      </w:r>
      <w:r>
        <w:rPr>
          <w:rFonts w:hint="eastAsia" w:ascii="宋体" w:hAnsi="宋体" w:cs="宋体"/>
          <w:sz w:val="32"/>
          <w:szCs w:val="32"/>
          <w:lang w:val="en-US" w:eastAsia="zh-CN"/>
        </w:rPr>
        <w:t>0</w:t>
      </w:r>
      <w:r>
        <w:rPr>
          <w:rFonts w:hint="eastAsia" w:ascii="宋体" w:hAnsi="宋体" w:cs="宋体"/>
          <w:sz w:val="32"/>
          <w:szCs w:val="32"/>
        </w:rPr>
        <w:t>辆</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val="en-US" w:eastAsia="zh-CN"/>
        </w:rPr>
        <w:t>0</w:t>
      </w:r>
      <w:r>
        <w:rPr>
          <w:rFonts w:hint="eastAsia" w:ascii="宋体" w:hAnsi="宋体" w:cs="宋体"/>
          <w:sz w:val="32"/>
          <w:szCs w:val="32"/>
        </w:rPr>
        <w:t>万元，截止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0</w:t>
      </w:r>
      <w:r>
        <w:rPr>
          <w:rFonts w:hint="eastAsia" w:ascii="宋体" w:hAnsi="宋体" w:cs="宋体"/>
          <w:sz w:val="32"/>
          <w:szCs w:val="32"/>
        </w:rPr>
        <w:t>辆。</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ind w:firstLine="640"/>
        <w:rPr>
          <w:rFonts w:hint="eastAsia" w:ascii="宋体" w:hAnsi="宋体" w:eastAsia="宋体" w:cs="宋体"/>
          <w:sz w:val="32"/>
          <w:szCs w:val="32"/>
        </w:rPr>
      </w:pPr>
      <w:r>
        <w:rPr>
          <w:rFonts w:hint="eastAsia" w:ascii="宋体" w:hAnsi="宋体" w:eastAsia="宋体" w:cs="宋体"/>
          <w:sz w:val="32"/>
          <w:szCs w:val="32"/>
          <w:lang w:val="en-US" w:eastAsia="zh-CN"/>
        </w:rPr>
        <w:t>湘潭县看守所无政府性基金收支。</w:t>
      </w:r>
      <w:r>
        <w:rPr>
          <w:rFonts w:ascii="宋体" w:hAnsi="宋体" w:eastAsia="宋体" w:cs="宋体"/>
          <w:sz w:val="32"/>
          <w:szCs w:val="32"/>
        </w:rPr>
        <w:t xml:space="preserve"> 2020</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1"/>
        <w:rPr>
          <w:rFonts w:hAnsi="黑体" w:cs="Times New Roman"/>
          <w:b/>
          <w:bCs/>
          <w:sz w:val="32"/>
          <w:szCs w:val="32"/>
        </w:rPr>
      </w:pPr>
      <w:r>
        <w:rPr>
          <w:rFonts w:hint="eastAsia" w:hAnsi="黑体"/>
          <w:b/>
          <w:bCs/>
          <w:sz w:val="32"/>
          <w:szCs w:val="32"/>
        </w:rPr>
        <w:t>九、关于机关运行经费支出说明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lang w:val="en-US" w:eastAsia="zh-CN"/>
        </w:rPr>
        <w:t>湘潭县看守所无基本支出只有项目支出，无机关运行经费。</w:t>
      </w: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11"/>
        <w:rPr>
          <w:rFonts w:hAnsi="黑体" w:cs="Times New Roman"/>
          <w:b/>
          <w:bCs/>
          <w:sz w:val="32"/>
          <w:szCs w:val="32"/>
        </w:rPr>
      </w:pPr>
      <w:r>
        <w:rPr>
          <w:rFonts w:hint="eastAsia" w:hAnsi="黑体"/>
          <w:b/>
          <w:bCs/>
          <w:sz w:val="32"/>
          <w:szCs w:val="32"/>
        </w:rPr>
        <w:t>十、一般性支出情况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万元；开支培训费</w:t>
      </w:r>
      <w:r>
        <w:rPr>
          <w:rFonts w:hint="eastAsia" w:ascii="宋体" w:hAnsi="宋体" w:eastAsia="宋体" w:cs="宋体"/>
          <w:sz w:val="32"/>
          <w:szCs w:val="32"/>
          <w:lang w:val="en-US" w:eastAsia="zh-CN"/>
        </w:rPr>
        <w:t>0</w:t>
      </w:r>
      <w:r>
        <w:rPr>
          <w:rFonts w:hint="eastAsia" w:ascii="宋体" w:hAnsi="宋体" w:eastAsia="宋体" w:cs="宋体"/>
          <w:sz w:val="32"/>
          <w:szCs w:val="32"/>
        </w:rPr>
        <w:t>万元；举办……等节庆、晚会、论坛、赛事活动，开支</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r>
        <w:rPr>
          <w:rFonts w:hint="eastAsia" w:ascii="宋体" w:hAnsi="宋体" w:eastAsia="宋体" w:cs="宋体"/>
          <w:sz w:val="32"/>
          <w:szCs w:val="32"/>
          <w:lang w:eastAsia="zh-CN"/>
        </w:rPr>
        <w:t>。</w:t>
      </w:r>
    </w:p>
    <w:p>
      <w:pPr>
        <w:pStyle w:val="11"/>
        <w:rPr>
          <w:rFonts w:hAnsi="黑体" w:cs="Times New Roman"/>
          <w:b/>
          <w:bCs/>
          <w:sz w:val="32"/>
          <w:szCs w:val="32"/>
        </w:rPr>
      </w:pPr>
      <w:r>
        <w:rPr>
          <w:rFonts w:hint="eastAsia" w:hAnsi="黑体"/>
          <w:b/>
          <w:bCs/>
          <w:sz w:val="32"/>
          <w:szCs w:val="32"/>
        </w:rPr>
        <w:t>十一、关于政府采购支出说明</w:t>
      </w:r>
    </w:p>
    <w:p>
      <w:pPr>
        <w:pStyle w:val="11"/>
        <w:ind w:firstLine="640" w:firstLineChars="200"/>
        <w:rPr>
          <w:rFonts w:hint="eastAsia" w:ascii="宋体" w:hAnsi="宋体" w:eastAsia="宋体" w:cs="Times New Roman"/>
          <w:sz w:val="32"/>
          <w:szCs w:val="32"/>
          <w:lang w:val="en-US" w:eastAsia="zh-CN"/>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2020</w:t>
      </w:r>
      <w:r>
        <w:rPr>
          <w:rFonts w:hint="eastAsia" w:ascii="宋体" w:hAnsi="宋体" w:eastAsia="宋体" w:cs="宋体"/>
          <w:sz w:val="32"/>
          <w:szCs w:val="32"/>
          <w:highlight w:val="none"/>
        </w:rPr>
        <w:t>年度政府采购支出总额</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万元，其中：政府采购货物支出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万元、政府采购工程支出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、政府采购服务支出</w:t>
      </w:r>
      <w:r>
        <w:rPr>
          <w:rFonts w:hint="eastAsia" w:ascii="宋体" w:hAnsi="宋体" w:eastAsia="宋体" w:cs="宋体"/>
          <w:sz w:val="32"/>
          <w:szCs w:val="32"/>
          <w:highlight w:val="none"/>
          <w:lang w:val="en-US" w:eastAsia="zh-CN"/>
        </w:rPr>
        <w:t>0万元</w:t>
      </w:r>
      <w:r>
        <w:rPr>
          <w:rFonts w:hint="eastAsia" w:ascii="宋体" w:hAnsi="宋体" w:eastAsia="宋体" w:cs="宋体"/>
          <w:sz w:val="32"/>
          <w:szCs w:val="32"/>
          <w:highlight w:val="none"/>
        </w:rPr>
        <w:t>。</w:t>
      </w:r>
    </w:p>
    <w:p>
      <w:pPr>
        <w:pStyle w:val="11"/>
        <w:rPr>
          <w:rFonts w:hAnsi="黑体" w:cs="Times New Roman"/>
          <w:b/>
          <w:bCs/>
          <w:sz w:val="32"/>
          <w:szCs w:val="32"/>
        </w:rPr>
      </w:pPr>
      <w:r>
        <w:rPr>
          <w:rFonts w:hint="eastAsia" w:hAnsi="黑体"/>
          <w:b/>
          <w:bCs/>
          <w:sz w:val="32"/>
          <w:szCs w:val="32"/>
        </w:rPr>
        <w:t>十二、关于国有资产占用情况说明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pPr>
        <w:pStyle w:val="11"/>
        <w:rPr>
          <w:rFonts w:hAnsi="黑体" w:cs="Times New Roman"/>
          <w:b/>
          <w:bCs/>
          <w:sz w:val="32"/>
          <w:szCs w:val="32"/>
        </w:rPr>
      </w:pPr>
      <w:r>
        <w:rPr>
          <w:rFonts w:hint="eastAsia" w:hAnsi="黑体"/>
          <w:b/>
          <w:bCs/>
          <w:sz w:val="32"/>
          <w:szCs w:val="32"/>
        </w:rPr>
        <w:t>十三、关于</w:t>
      </w:r>
      <w:r>
        <w:rPr>
          <w:rFonts w:hAnsi="黑体"/>
          <w:b/>
          <w:bCs/>
          <w:sz w:val="32"/>
          <w:szCs w:val="32"/>
        </w:rPr>
        <w:t>2020</w:t>
      </w:r>
      <w:r>
        <w:rPr>
          <w:rFonts w:hint="eastAsia" w:hAnsi="黑体"/>
          <w:b/>
          <w:bCs/>
          <w:sz w:val="32"/>
          <w:szCs w:val="32"/>
        </w:rPr>
        <w:t>年度预算绩效情况的说明</w:t>
      </w:r>
    </w:p>
    <w:p>
      <w:pPr>
        <w:ind w:right="384" w:rightChars="183" w:firstLine="3058" w:firstLineChars="695"/>
        <w:rPr>
          <w:rFonts w:hint="eastAsia" w:ascii="黑体" w:hAnsi="宋体" w:eastAsia="黑体"/>
          <w:b/>
          <w:color w:val="auto"/>
          <w:sz w:val="44"/>
          <w:szCs w:val="44"/>
        </w:rPr>
      </w:pPr>
      <w:r>
        <w:rPr>
          <w:rFonts w:hint="eastAsia" w:ascii="黑体" w:hAnsi="宋体" w:eastAsia="黑体"/>
          <w:b/>
          <w:color w:val="auto"/>
          <w:sz w:val="44"/>
          <w:szCs w:val="44"/>
        </w:rPr>
        <w:t>湘潭县看守所</w:t>
      </w:r>
    </w:p>
    <w:p>
      <w:pPr>
        <w:jc w:val="center"/>
        <w:rPr>
          <w:rFonts w:hint="eastAsia" w:ascii="黑体" w:hAnsi="宋体" w:eastAsia="黑体"/>
          <w:b/>
          <w:color w:val="FF0000"/>
          <w:sz w:val="44"/>
          <w:szCs w:val="44"/>
        </w:rPr>
      </w:pPr>
      <w:r>
        <w:rPr>
          <w:rFonts w:hint="eastAsia" w:ascii="黑体" w:hAnsi="宋体" w:eastAsia="黑体"/>
          <w:b/>
          <w:color w:val="auto"/>
          <w:sz w:val="44"/>
          <w:szCs w:val="44"/>
        </w:rPr>
        <w:t>专项经费项目</w:t>
      </w:r>
      <w:r>
        <w:rPr>
          <w:rFonts w:hint="eastAsia" w:ascii="黑体" w:hAnsi="宋体" w:eastAsia="黑体"/>
          <w:b/>
          <w:color w:val="auto"/>
          <w:sz w:val="44"/>
          <w:szCs w:val="44"/>
          <w:lang w:eastAsia="zh-CN"/>
        </w:rPr>
        <w:t>预算</w:t>
      </w:r>
      <w:r>
        <w:rPr>
          <w:rFonts w:hint="eastAsia" w:ascii="黑体" w:hAnsi="宋体" w:eastAsia="黑体"/>
          <w:b/>
          <w:color w:val="auto"/>
          <w:sz w:val="44"/>
          <w:szCs w:val="44"/>
        </w:rPr>
        <w:t>绩效</w:t>
      </w:r>
      <w:r>
        <w:rPr>
          <w:rFonts w:hint="eastAsia" w:ascii="黑体" w:hAnsi="宋体" w:eastAsia="黑体"/>
          <w:b/>
          <w:color w:val="auto"/>
          <w:sz w:val="44"/>
          <w:szCs w:val="44"/>
          <w:lang w:eastAsia="zh-CN"/>
        </w:rPr>
        <w:t>管理实施</w:t>
      </w:r>
      <w:r>
        <w:rPr>
          <w:rFonts w:hint="eastAsia" w:ascii="黑体" w:hAnsi="宋体" w:eastAsia="黑体"/>
          <w:b/>
          <w:color w:val="auto"/>
          <w:sz w:val="44"/>
          <w:szCs w:val="44"/>
        </w:rPr>
        <w:t>方案</w:t>
      </w:r>
    </w:p>
    <w:p>
      <w:pPr>
        <w:jc w:val="center"/>
        <w:rPr>
          <w:rFonts w:hint="eastAsia" w:ascii="仿宋_GB2312" w:eastAsia="仿宋_GB2312"/>
          <w:b/>
          <w:sz w:val="48"/>
          <w:szCs w:val="48"/>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预算绩效管理</w:t>
      </w:r>
      <w:r>
        <w:rPr>
          <w:rFonts w:hint="eastAsia" w:ascii="仿宋_GB2312" w:eastAsia="仿宋_GB2312"/>
          <w:sz w:val="32"/>
          <w:szCs w:val="32"/>
        </w:rPr>
        <w:t xml:space="preserve">小组 </w:t>
      </w:r>
    </w:p>
    <w:p>
      <w:pPr>
        <w:ind w:left="720"/>
        <w:rPr>
          <w:rFonts w:hint="eastAsia" w:ascii="仿宋_GB2312" w:eastAsia="仿宋_GB2312"/>
          <w:sz w:val="32"/>
          <w:szCs w:val="32"/>
        </w:rPr>
      </w:pPr>
      <w:r>
        <w:rPr>
          <w:rFonts w:hint="eastAsia" w:ascii="仿宋_GB2312" w:eastAsia="仿宋_GB2312"/>
          <w:sz w:val="32"/>
          <w:szCs w:val="32"/>
        </w:rPr>
        <w:t>组长：</w:t>
      </w:r>
      <w:r>
        <w:rPr>
          <w:rFonts w:hint="eastAsia" w:ascii="仿宋_GB2312" w:eastAsia="仿宋_GB2312"/>
          <w:sz w:val="32"/>
          <w:szCs w:val="32"/>
          <w:lang w:eastAsia="zh-CN"/>
        </w:rPr>
        <w:t>刘述兵</w:t>
      </w:r>
    </w:p>
    <w:p>
      <w:pPr>
        <w:ind w:left="720"/>
        <w:rPr>
          <w:rFonts w:hint="eastAsia" w:ascii="仿宋_GB2312" w:eastAsia="仿宋_GB2312"/>
          <w:sz w:val="32"/>
          <w:szCs w:val="32"/>
        </w:rPr>
      </w:pPr>
      <w:r>
        <w:rPr>
          <w:rFonts w:hint="eastAsia" w:ascii="仿宋_GB2312" w:eastAsia="仿宋_GB2312"/>
          <w:sz w:val="32"/>
          <w:szCs w:val="32"/>
        </w:rPr>
        <w:t>组员：张树芝 赵国光 张海岩</w:t>
      </w:r>
    </w:p>
    <w:p>
      <w:pPr>
        <w:ind w:left="720"/>
        <w:rPr>
          <w:rFonts w:hint="eastAsia" w:ascii="仿宋_GB2312" w:eastAsia="仿宋_GB2312"/>
          <w:sz w:val="32"/>
          <w:szCs w:val="32"/>
        </w:rPr>
      </w:pPr>
      <w:r>
        <w:rPr>
          <w:rFonts w:hint="eastAsia" w:ascii="仿宋_GB2312" w:eastAsia="仿宋_GB2312"/>
          <w:sz w:val="32"/>
          <w:szCs w:val="32"/>
        </w:rPr>
        <w:t>二、指导思想</w:t>
      </w:r>
    </w:p>
    <w:p>
      <w:pPr>
        <w:ind w:firstLine="640" w:firstLineChars="200"/>
        <w:rPr>
          <w:rFonts w:hint="eastAsia" w:ascii="仿宋_GB2312" w:eastAsia="仿宋_GB2312"/>
          <w:sz w:val="32"/>
          <w:szCs w:val="32"/>
        </w:rPr>
      </w:pPr>
      <w:r>
        <w:rPr>
          <w:rFonts w:hint="eastAsia" w:ascii="仿宋_GB2312" w:eastAsia="仿宋_GB2312"/>
          <w:sz w:val="32"/>
          <w:szCs w:val="32"/>
        </w:rPr>
        <w:t>严格遵守财政部、公安部《看守所经费开支范围和管理办法的规定》，认真贯彻落实《湘潭县人民政府关于全面推进预算绩效管理的实施意见》，配合财政部门做好</w:t>
      </w:r>
      <w:r>
        <w:rPr>
          <w:rFonts w:hint="eastAsia" w:ascii="仿宋_GB2312" w:eastAsia="仿宋_GB2312"/>
          <w:sz w:val="32"/>
          <w:szCs w:val="32"/>
          <w:lang w:eastAsia="zh-CN"/>
        </w:rPr>
        <w:t>预算绩效管理</w:t>
      </w:r>
      <w:r>
        <w:rPr>
          <w:rFonts w:hint="eastAsia" w:ascii="仿宋_GB2312" w:eastAsia="仿宋_GB2312"/>
          <w:sz w:val="32"/>
          <w:szCs w:val="32"/>
        </w:rPr>
        <w:t>工作。</w:t>
      </w:r>
    </w:p>
    <w:p>
      <w:pPr>
        <w:ind w:firstLine="640" w:firstLineChars="200"/>
        <w:rPr>
          <w:rFonts w:hint="eastAsia" w:ascii="仿宋_GB2312" w:eastAsia="仿宋_GB2312"/>
          <w:sz w:val="32"/>
          <w:szCs w:val="32"/>
        </w:rPr>
      </w:pPr>
      <w:r>
        <w:rPr>
          <w:rFonts w:hint="eastAsia" w:ascii="仿宋_GB2312" w:eastAsia="仿宋_GB2312"/>
          <w:sz w:val="32"/>
          <w:szCs w:val="32"/>
        </w:rPr>
        <w:t>三、工作措施</w:t>
      </w:r>
    </w:p>
    <w:p>
      <w:pPr>
        <w:ind w:firstLine="640" w:firstLineChars="200"/>
        <w:rPr>
          <w:rFonts w:hint="eastAsia" w:ascii="仿宋_GB2312" w:eastAsia="仿宋_GB2312"/>
          <w:sz w:val="32"/>
          <w:szCs w:val="32"/>
        </w:rPr>
      </w:pPr>
      <w:r>
        <w:rPr>
          <w:rFonts w:hint="eastAsia" w:ascii="仿宋_GB2312" w:eastAsia="仿宋_GB2312"/>
          <w:sz w:val="32"/>
          <w:szCs w:val="32"/>
        </w:rPr>
        <w:t>1、20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月20日前，对20</w:t>
      </w:r>
      <w:r>
        <w:rPr>
          <w:rFonts w:hint="eastAsia" w:ascii="仿宋_GB2312" w:eastAsia="仿宋_GB2312"/>
          <w:sz w:val="32"/>
          <w:szCs w:val="32"/>
          <w:lang w:val="en-US" w:eastAsia="zh-CN"/>
        </w:rPr>
        <w:t>20</w:t>
      </w:r>
      <w:r>
        <w:rPr>
          <w:rFonts w:hint="eastAsia" w:ascii="仿宋_GB2312" w:eastAsia="仿宋_GB2312"/>
          <w:sz w:val="32"/>
          <w:szCs w:val="32"/>
        </w:rPr>
        <w:t>年看守所专项经费的使用情况进行核算；</w:t>
      </w:r>
      <w:r>
        <w:rPr>
          <w:rFonts w:hint="eastAsia" w:ascii="仿宋_GB2312" w:hAnsi="仿宋" w:eastAsia="仿宋_GB2312"/>
          <w:color w:val="000000"/>
          <w:kern w:val="0"/>
          <w:sz w:val="32"/>
          <w:szCs w:val="32"/>
        </w:rPr>
        <w:t>拟定本单位项目支出绩效评价方案，选取合适的绩效评价方式，根据实际设计绩效评价指标体系</w:t>
      </w:r>
      <w:r>
        <w:rPr>
          <w:rFonts w:hint="eastAsia" w:ascii="仿宋_GB2312" w:eastAsia="仿宋_GB2312"/>
          <w:sz w:val="32"/>
          <w:szCs w:val="32"/>
        </w:rPr>
        <w:t>。</w:t>
      </w:r>
    </w:p>
    <w:p>
      <w:pPr>
        <w:ind w:firstLine="640" w:firstLineChars="200"/>
        <w:rPr>
          <w:rFonts w:hint="eastAsia" w:ascii="仿宋_GB2312" w:hAnsi="仿宋" w:eastAsia="仿宋_GB2312"/>
          <w:color w:val="000000"/>
          <w:kern w:val="0"/>
          <w:sz w:val="32"/>
          <w:szCs w:val="32"/>
        </w:rPr>
      </w:pPr>
      <w:r>
        <w:rPr>
          <w:rFonts w:hint="eastAsia" w:ascii="仿宋_GB2312" w:eastAsia="仿宋_GB2312"/>
          <w:sz w:val="32"/>
          <w:szCs w:val="32"/>
        </w:rPr>
        <w:t>2、20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月29日前，</w:t>
      </w:r>
      <w:r>
        <w:rPr>
          <w:rFonts w:hint="eastAsia" w:ascii="仿宋_GB2312" w:hAnsi="仿宋" w:eastAsia="仿宋_GB2312"/>
          <w:color w:val="000000"/>
          <w:kern w:val="0"/>
          <w:sz w:val="32"/>
          <w:szCs w:val="32"/>
        </w:rPr>
        <w:t>根据资金管理使用情况进行自查，形成项目绩效报告，</w:t>
      </w:r>
      <w:r>
        <w:rPr>
          <w:rFonts w:hint="eastAsia" w:ascii="仿宋_GB2312" w:eastAsia="仿宋_GB2312"/>
          <w:sz w:val="32"/>
          <w:szCs w:val="32"/>
        </w:rPr>
        <w:t>整理好相关资料并及时上报</w:t>
      </w:r>
      <w:r>
        <w:rPr>
          <w:rFonts w:hint="eastAsia" w:ascii="仿宋_GB2312" w:hAnsi="仿宋" w:eastAsia="仿宋_GB2312"/>
          <w:color w:val="000000"/>
          <w:kern w:val="0"/>
          <w:sz w:val="32"/>
          <w:szCs w:val="32"/>
        </w:rPr>
        <w:t>。</w:t>
      </w:r>
    </w:p>
    <w:p>
      <w:pPr>
        <w:ind w:firstLine="640" w:firstLineChars="200"/>
        <w:rPr>
          <w:rFonts w:hint="eastAsia" w:ascii="仿宋_GB2312" w:hAnsi="仿宋" w:eastAsia="仿宋_GB2312"/>
          <w:color w:val="000000"/>
          <w:kern w:val="0"/>
          <w:sz w:val="32"/>
          <w:szCs w:val="32"/>
        </w:rPr>
      </w:pPr>
    </w:p>
    <w:p>
      <w:pPr>
        <w:ind w:firstLine="640" w:firstLineChars="20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 xml:space="preserve">                               湘潭县看守所</w:t>
      </w:r>
    </w:p>
    <w:p>
      <w:pPr>
        <w:ind w:firstLine="640" w:firstLineChars="200"/>
        <w:rPr>
          <w:rFonts w:hint="eastAsia" w:ascii="仿宋_GB2312" w:eastAsia="仿宋_GB2312"/>
          <w:sz w:val="32"/>
          <w:szCs w:val="32"/>
        </w:rPr>
      </w:pPr>
      <w:r>
        <w:rPr>
          <w:rFonts w:hint="eastAsia" w:ascii="仿宋_GB2312" w:hAnsi="仿宋" w:eastAsia="仿宋_GB2312"/>
          <w:color w:val="000000"/>
          <w:kern w:val="0"/>
          <w:sz w:val="32"/>
          <w:szCs w:val="32"/>
        </w:rPr>
        <w:t xml:space="preserve">                              20</w:t>
      </w:r>
      <w:r>
        <w:rPr>
          <w:rFonts w:hint="eastAsia" w:ascii="仿宋_GB2312" w:hAnsi="仿宋" w:eastAsia="仿宋_GB2312"/>
          <w:color w:val="000000"/>
          <w:kern w:val="0"/>
          <w:sz w:val="32"/>
          <w:szCs w:val="32"/>
          <w:lang w:val="en-US" w:eastAsia="zh-CN"/>
        </w:rPr>
        <w:t>21</w:t>
      </w:r>
      <w:r>
        <w:rPr>
          <w:rFonts w:hint="eastAsia" w:ascii="仿宋_GB2312" w:hAnsi="仿宋" w:eastAsia="仿宋_GB2312"/>
          <w:color w:val="000000"/>
          <w:kern w:val="0"/>
          <w:sz w:val="32"/>
          <w:szCs w:val="32"/>
        </w:rPr>
        <w:t>年</w:t>
      </w:r>
      <w:r>
        <w:rPr>
          <w:rFonts w:hint="eastAsia" w:ascii="仿宋_GB2312" w:hAnsi="仿宋" w:eastAsia="仿宋_GB2312"/>
          <w:color w:val="000000"/>
          <w:kern w:val="0"/>
          <w:sz w:val="32"/>
          <w:szCs w:val="32"/>
          <w:lang w:val="en-US" w:eastAsia="zh-CN"/>
        </w:rPr>
        <w:t>5</w:t>
      </w:r>
      <w:r>
        <w:rPr>
          <w:rFonts w:hint="eastAsia" w:ascii="仿宋_GB2312" w:hAnsi="仿宋" w:eastAsia="仿宋_GB2312"/>
          <w:color w:val="000000"/>
          <w:kern w:val="0"/>
          <w:sz w:val="32"/>
          <w:szCs w:val="32"/>
        </w:rPr>
        <w:t>月10日</w:t>
      </w:r>
    </w:p>
    <w:p>
      <w:pPr>
        <w:pStyle w:val="11"/>
        <w:rPr>
          <w:rFonts w:hAnsi="黑体" w:cs="Times New Roman"/>
          <w:b/>
          <w:bCs/>
          <w:sz w:val="32"/>
          <w:szCs w:val="3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highlight w:val="none"/>
        </w:rPr>
      </w:pPr>
      <w:r>
        <w:rPr>
          <w:rFonts w:hint="eastAsia" w:ascii="宋体" w:hAnsi="宋体" w:eastAsia="宋体" w:cs="宋体"/>
          <w:color w:val="000000"/>
          <w:kern w:val="0"/>
          <w:sz w:val="72"/>
          <w:szCs w:val="72"/>
          <w:highlight w:val="none"/>
        </w:rPr>
        <w:t>名词解释</w:t>
      </w:r>
    </w:p>
    <w:p>
      <w:pPr>
        <w:widowControl/>
        <w:ind w:firstLine="960" w:firstLineChars="300"/>
        <w:jc w:val="left"/>
        <w:rPr>
          <w:rFonts w:hint="default" w:ascii="黑体" w:eastAsia="宋体" w:cs="Times New Roman"/>
          <w:color w:val="000000"/>
          <w:kern w:val="0"/>
          <w:sz w:val="70"/>
          <w:szCs w:val="70"/>
          <w:highlight w:val="none"/>
          <w:lang w:val="en-US" w:eastAsia="zh-CN"/>
        </w:rPr>
      </w:pPr>
      <w:r>
        <w:rPr>
          <w:rFonts w:hint="eastAsia" w:ascii="宋体" w:hAnsi="宋体" w:cs="宋体"/>
          <w:color w:val="000000"/>
          <w:kern w:val="0"/>
          <w:sz w:val="32"/>
          <w:szCs w:val="32"/>
          <w:highlight w:val="none"/>
        </w:rPr>
        <w:t>一、</w:t>
      </w:r>
      <w:r>
        <w:rPr>
          <w:rFonts w:hint="eastAsia" w:ascii="宋体" w:hAnsi="宋体" w:cs="宋体"/>
          <w:color w:val="000000"/>
          <w:kern w:val="0"/>
          <w:sz w:val="32"/>
          <w:szCs w:val="32"/>
          <w:highlight w:val="none"/>
          <w:lang w:eastAsia="zh-CN"/>
        </w:rPr>
        <w:t>一般公共预算收入。是按照财政部规定的同一科目和口径统计的收入，包括地方固定收入以及中央和地方共享收入地方所</w:t>
      </w:r>
      <w:r>
        <w:rPr>
          <w:rFonts w:hint="eastAsia" w:ascii="宋体" w:hAnsi="宋体" w:cs="宋体"/>
          <w:color w:val="000000"/>
          <w:kern w:val="0"/>
          <w:sz w:val="32"/>
          <w:szCs w:val="32"/>
          <w:highlight w:val="none"/>
          <w:lang w:val="en-US" w:eastAsia="zh-CN"/>
        </w:rPr>
        <w:t>ode部分。地方各级财政总收入减去上划中央、省收入即为一般公共预算收入。</w:t>
      </w:r>
    </w:p>
    <w:p>
      <w:pPr>
        <w:ind w:firstLine="960" w:firstLineChars="300"/>
        <w:jc w:val="left"/>
        <w:rPr>
          <w:rFonts w:hint="eastAsia" w:ascii="宋体" w:eastAsia="宋体" w:cs="Times New Roman"/>
          <w:color w:val="000000"/>
          <w:kern w:val="0"/>
          <w:sz w:val="32"/>
          <w:szCs w:val="32"/>
          <w:highlight w:val="none"/>
          <w:lang w:eastAsia="zh-CN"/>
        </w:rPr>
      </w:pPr>
      <w:r>
        <w:rPr>
          <w:rFonts w:hint="eastAsia" w:ascii="宋体" w:hAnsi="宋体" w:cs="宋体"/>
          <w:color w:val="000000"/>
          <w:kern w:val="0"/>
          <w:sz w:val="32"/>
          <w:szCs w:val="32"/>
          <w:highlight w:val="none"/>
        </w:rPr>
        <w:t>二</w:t>
      </w:r>
      <w:r>
        <w:rPr>
          <w:rFonts w:hint="eastAsia" w:ascii="宋体" w:hAnsi="宋体" w:cs="宋体"/>
          <w:color w:val="000000"/>
          <w:kern w:val="0"/>
          <w:sz w:val="32"/>
          <w:szCs w:val="32"/>
          <w:highlight w:val="none"/>
          <w:lang w:eastAsia="zh-CN"/>
        </w:rPr>
        <w:t>、政府性基金支出。是指政府用筹集的政府性基金收入安排的支出。</w:t>
      </w:r>
    </w:p>
    <w:p>
      <w:pPr>
        <w:ind w:firstLine="960" w:firstLineChars="300"/>
        <w:jc w:val="left"/>
        <w:rPr>
          <w:rFonts w:hint="eastAsia" w:ascii="宋体" w:eastAsia="宋体" w:cs="Times New Roman"/>
          <w:color w:val="000000"/>
          <w:kern w:val="0"/>
          <w:sz w:val="32"/>
          <w:szCs w:val="32"/>
          <w:highlight w:val="none"/>
          <w:lang w:eastAsia="zh-CN"/>
        </w:rPr>
      </w:pPr>
      <w:r>
        <w:rPr>
          <w:rFonts w:hint="eastAsia" w:ascii="宋体" w:hAnsi="宋体" w:cs="宋体"/>
          <w:color w:val="000000"/>
          <w:kern w:val="0"/>
          <w:sz w:val="32"/>
          <w:szCs w:val="32"/>
          <w:highlight w:val="none"/>
        </w:rPr>
        <w:t>三、</w:t>
      </w:r>
      <w:r>
        <w:rPr>
          <w:rFonts w:hint="eastAsia" w:ascii="宋体" w:hAnsi="宋体" w:cs="宋体"/>
          <w:color w:val="000000"/>
          <w:kern w:val="0"/>
          <w:sz w:val="32"/>
          <w:szCs w:val="32"/>
          <w:highlight w:val="none"/>
          <w:lang w:eastAsia="zh-CN"/>
        </w:rPr>
        <w:t>一般公共预算支出。也即通俗所称财政支出，指政府对上级转移性收入、本级一般公共预算收入等有计划的分配和使用而形成的支出。</w:t>
      </w:r>
    </w:p>
    <w:p>
      <w:pPr>
        <w:pStyle w:val="11"/>
        <w:jc w:val="both"/>
        <w:rPr>
          <w:rFonts w:ascii="宋体" w:eastAsia="宋体" w:cs="Times New Roman"/>
          <w:sz w:val="32"/>
          <w:szCs w:val="32"/>
          <w:highlight w:val="none"/>
        </w:rPr>
      </w:pPr>
    </w:p>
    <w:p>
      <w:pPr>
        <w:pStyle w:val="11"/>
        <w:jc w:val="center"/>
        <w:rPr>
          <w:rFonts w:cs="Times New Roman"/>
          <w:sz w:val="72"/>
          <w:szCs w:val="72"/>
          <w:highlight w:val="none"/>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hint="eastAsia" w:ascii="宋体" w:hAnsi="宋体" w:eastAsia="宋体" w:cs="宋体"/>
          <w:sz w:val="72"/>
          <w:szCs w:val="72"/>
        </w:rPr>
      </w:pPr>
      <w:r>
        <w:rPr>
          <w:rFonts w:hint="eastAsia" w:ascii="宋体" w:hAnsi="宋体" w:eastAsia="宋体" w:cs="宋体"/>
          <w:sz w:val="72"/>
          <w:szCs w:val="72"/>
        </w:rPr>
        <w:t>第五部分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附件</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p>
    <w:p>
      <w:pPr>
        <w:pStyle w:val="15"/>
        <w:jc w:val="center"/>
        <w:rPr>
          <w:rFonts w:hint="eastAsia" w:ascii="黑体" w:hAnsi="仿宋" w:eastAsia="黑体"/>
          <w:b/>
          <w:bCs/>
          <w:kern w:val="0"/>
          <w:sz w:val="44"/>
          <w:szCs w:val="44"/>
        </w:rPr>
      </w:pPr>
      <w:r>
        <w:rPr>
          <w:rFonts w:hint="eastAsia" w:ascii="黑体" w:hAnsi="仿宋" w:eastAsia="黑体"/>
          <w:b/>
          <w:bCs/>
          <w:kern w:val="0"/>
          <w:sz w:val="44"/>
          <w:szCs w:val="44"/>
        </w:rPr>
        <w:t>湘潭县看守所</w:t>
      </w:r>
    </w:p>
    <w:p>
      <w:pPr>
        <w:pStyle w:val="15"/>
        <w:jc w:val="center"/>
        <w:rPr>
          <w:rFonts w:hint="eastAsia" w:ascii="黑体" w:hAnsi="仿宋" w:eastAsia="黑体"/>
          <w:b/>
          <w:bCs/>
          <w:kern w:val="0"/>
          <w:sz w:val="44"/>
          <w:szCs w:val="44"/>
        </w:rPr>
      </w:pPr>
      <w:r>
        <w:rPr>
          <w:rFonts w:hint="eastAsia" w:ascii="黑体" w:hAnsi="仿宋" w:eastAsia="黑体"/>
          <w:b/>
          <w:bCs/>
          <w:kern w:val="0"/>
          <w:sz w:val="44"/>
          <w:szCs w:val="44"/>
        </w:rPr>
        <w:t>20</w:t>
      </w:r>
      <w:r>
        <w:rPr>
          <w:rFonts w:hint="eastAsia" w:ascii="黑体" w:hAnsi="仿宋" w:eastAsia="黑体"/>
          <w:b/>
          <w:bCs/>
          <w:kern w:val="0"/>
          <w:sz w:val="44"/>
          <w:szCs w:val="44"/>
          <w:lang w:val="en-US" w:eastAsia="zh-CN"/>
        </w:rPr>
        <w:t>20</w:t>
      </w:r>
      <w:r>
        <w:rPr>
          <w:rFonts w:hint="eastAsia" w:ascii="黑体" w:hAnsi="仿宋" w:eastAsia="黑体"/>
          <w:b/>
          <w:bCs/>
          <w:kern w:val="0"/>
          <w:sz w:val="44"/>
          <w:szCs w:val="44"/>
        </w:rPr>
        <w:t>年度</w:t>
      </w:r>
      <w:r>
        <w:rPr>
          <w:rFonts w:hint="eastAsia" w:ascii="黑体" w:hAnsi="仿宋" w:eastAsia="黑体"/>
          <w:b/>
          <w:bCs/>
          <w:kern w:val="0"/>
          <w:sz w:val="44"/>
          <w:szCs w:val="44"/>
          <w:lang w:eastAsia="zh-CN"/>
        </w:rPr>
        <w:t>专项</w:t>
      </w:r>
      <w:r>
        <w:rPr>
          <w:rFonts w:hint="eastAsia" w:ascii="黑体" w:hAnsi="仿宋" w:eastAsia="黑体"/>
          <w:b/>
          <w:bCs/>
          <w:kern w:val="0"/>
          <w:sz w:val="44"/>
          <w:szCs w:val="44"/>
        </w:rPr>
        <w:t>支出绩效自评报告</w:t>
      </w:r>
    </w:p>
    <w:p>
      <w:pPr>
        <w:pStyle w:val="15"/>
        <w:rPr>
          <w:rFonts w:hint="eastAsia" w:ascii="仿宋" w:hAnsi="仿宋" w:eastAsia="仿宋"/>
          <w:b/>
          <w:bCs/>
          <w:kern w:val="0"/>
          <w:sz w:val="32"/>
          <w:szCs w:val="32"/>
        </w:rPr>
      </w:pPr>
    </w:p>
    <w:p>
      <w:pPr>
        <w:pStyle w:val="15"/>
        <w:rPr>
          <w:rFonts w:hint="eastAsia" w:ascii="仿宋" w:hAnsi="仿宋" w:eastAsia="仿宋"/>
          <w:b/>
          <w:kern w:val="0"/>
          <w:sz w:val="32"/>
          <w:szCs w:val="32"/>
        </w:rPr>
      </w:pP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评价类型：项目实施过程评价□   项目完成结果评价□</w:t>
      </w:r>
    </w:p>
    <w:p>
      <w:pPr>
        <w:pStyle w:val="15"/>
        <w:rPr>
          <w:rFonts w:hint="eastAsia" w:ascii="仿宋_GB2312" w:hAnsi="仿宋" w:eastAsia="仿宋_GB2312"/>
          <w:kern w:val="0"/>
          <w:sz w:val="32"/>
          <w:szCs w:val="32"/>
          <w:u w:val="single"/>
        </w:rPr>
      </w:pPr>
      <w:r>
        <w:rPr>
          <w:rFonts w:hint="eastAsia" w:ascii="仿宋_GB2312" w:hAnsi="仿宋" w:eastAsia="仿宋_GB2312"/>
          <w:kern w:val="0"/>
          <w:sz w:val="32"/>
          <w:szCs w:val="32"/>
        </w:rPr>
        <w:t>项目名称</w:t>
      </w:r>
      <w:r>
        <w:rPr>
          <w:rFonts w:hint="eastAsia" w:ascii="仿宋_GB2312" w:hAnsi="仿宋" w:eastAsia="仿宋_GB2312"/>
          <w:kern w:val="0"/>
          <w:sz w:val="32"/>
          <w:szCs w:val="32"/>
          <w:u w:val="single"/>
        </w:rPr>
        <w:t xml:space="preserve">    看守专项经费                                  </w:t>
      </w: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项目单位</w:t>
      </w:r>
      <w:r>
        <w:rPr>
          <w:rFonts w:hint="eastAsia" w:ascii="仿宋_GB2312" w:hAnsi="仿宋" w:eastAsia="仿宋_GB2312"/>
          <w:kern w:val="0"/>
          <w:sz w:val="32"/>
          <w:szCs w:val="32"/>
          <w:u w:val="single"/>
        </w:rPr>
        <w:t xml:space="preserve">    湘潭县看守所                                </w:t>
      </w:r>
    </w:p>
    <w:p>
      <w:pPr>
        <w:pStyle w:val="15"/>
        <w:rPr>
          <w:rFonts w:hint="eastAsia" w:ascii="仿宋_GB2312" w:hAnsi="仿宋" w:eastAsia="仿宋_GB2312"/>
          <w:kern w:val="0"/>
          <w:sz w:val="32"/>
          <w:szCs w:val="32"/>
          <w:u w:val="single"/>
        </w:rPr>
      </w:pPr>
      <w:r>
        <w:rPr>
          <w:rFonts w:hint="eastAsia" w:ascii="仿宋_GB2312" w:hAnsi="仿宋" w:eastAsia="仿宋_GB2312"/>
          <w:kern w:val="0"/>
          <w:sz w:val="32"/>
          <w:szCs w:val="32"/>
        </w:rPr>
        <w:t>主管部门</w:t>
      </w:r>
      <w:r>
        <w:rPr>
          <w:rFonts w:hint="eastAsia" w:ascii="仿宋_GB2312" w:hAnsi="仿宋" w:eastAsia="仿宋_GB2312"/>
          <w:kern w:val="0"/>
          <w:sz w:val="32"/>
          <w:szCs w:val="32"/>
          <w:u w:val="single"/>
        </w:rPr>
        <w:t xml:space="preserve">    湘潭县公安局                              </w:t>
      </w:r>
    </w:p>
    <w:p>
      <w:pPr>
        <w:pStyle w:val="15"/>
        <w:rPr>
          <w:rFonts w:hint="eastAsia" w:ascii="仿宋_GB2312" w:hAnsi="仿宋" w:eastAsia="仿宋_GB2312"/>
          <w:kern w:val="0"/>
          <w:sz w:val="32"/>
          <w:szCs w:val="32"/>
        </w:rPr>
      </w:pPr>
      <w:r>
        <w:rPr>
          <w:rFonts w:hint="eastAsia" w:ascii="仿宋_GB2312" w:hAnsi="仿宋" w:eastAsia="仿宋_GB2312"/>
          <w:kern w:val="0"/>
          <w:sz w:val="32"/>
          <w:szCs w:val="32"/>
        </w:rPr>
        <w:t>评价方式：部门（单位）绩效自评</w:t>
      </w:r>
    </w:p>
    <w:p>
      <w:pPr>
        <w:pStyle w:val="15"/>
        <w:rPr>
          <w:rFonts w:ascii="仿宋" w:hAnsi="仿宋" w:eastAsia="仿宋"/>
          <w:kern w:val="0"/>
          <w:sz w:val="32"/>
          <w:szCs w:val="32"/>
        </w:rPr>
      </w:pPr>
      <w:r>
        <w:rPr>
          <w:rFonts w:hint="eastAsia" w:ascii="仿宋_GB2312" w:hAnsi="仿宋" w:eastAsia="仿宋_GB2312"/>
          <w:kern w:val="0"/>
          <w:sz w:val="32"/>
          <w:szCs w:val="32"/>
        </w:rPr>
        <w:t>评价机构：部门（单位）评价组</w:t>
      </w:r>
      <w:r>
        <w:rPr>
          <w:rFonts w:ascii="仿宋" w:hAnsi="仿宋" w:eastAsia="仿宋"/>
          <w:kern w:val="0"/>
          <w:sz w:val="32"/>
          <w:szCs w:val="32"/>
        </w:rPr>
        <w:t xml:space="preserve">   </w:t>
      </w: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ascii="仿宋" w:hAnsi="仿宋" w:eastAsia="仿宋"/>
          <w:kern w:val="0"/>
          <w:sz w:val="32"/>
          <w:szCs w:val="32"/>
        </w:rPr>
      </w:pPr>
    </w:p>
    <w:p>
      <w:pPr>
        <w:pStyle w:val="15"/>
        <w:rPr>
          <w:rFonts w:hint="eastAsia" w:ascii="仿宋" w:hAnsi="仿宋" w:eastAsia="仿宋"/>
          <w:kern w:val="0"/>
          <w:sz w:val="32"/>
          <w:szCs w:val="32"/>
        </w:rPr>
      </w:pPr>
    </w:p>
    <w:p>
      <w:pPr>
        <w:pStyle w:val="15"/>
        <w:rPr>
          <w:rFonts w:hint="eastAsia" w:ascii="仿宋" w:hAnsi="仿宋" w:eastAsia="仿宋"/>
          <w:kern w:val="0"/>
          <w:sz w:val="32"/>
          <w:szCs w:val="32"/>
        </w:rPr>
      </w:pPr>
    </w:p>
    <w:p>
      <w:pPr>
        <w:pStyle w:val="15"/>
        <w:rPr>
          <w:rFonts w:hint="eastAsia" w:ascii="仿宋" w:hAnsi="仿宋" w:eastAsia="仿宋"/>
          <w:kern w:val="0"/>
          <w:sz w:val="32"/>
          <w:szCs w:val="32"/>
        </w:rPr>
      </w:pPr>
    </w:p>
    <w:p>
      <w:pPr>
        <w:pStyle w:val="15"/>
        <w:rPr>
          <w:rFonts w:hint="eastAsia" w:ascii="仿宋" w:hAnsi="仿宋" w:eastAsia="仿宋"/>
          <w:kern w:val="0"/>
          <w:sz w:val="32"/>
          <w:szCs w:val="32"/>
        </w:rPr>
      </w:pPr>
    </w:p>
    <w:p>
      <w:pPr>
        <w:pStyle w:val="15"/>
        <w:ind w:firstLine="1920" w:firstLineChars="600"/>
        <w:rPr>
          <w:rFonts w:ascii="仿宋" w:hAnsi="仿宋" w:eastAsia="仿宋"/>
          <w:kern w:val="0"/>
          <w:sz w:val="32"/>
          <w:szCs w:val="32"/>
        </w:rPr>
      </w:pPr>
      <w:r>
        <w:rPr>
          <w:rFonts w:hint="eastAsia" w:ascii="仿宋" w:hAnsi="仿宋" w:eastAsia="仿宋"/>
          <w:kern w:val="0"/>
          <w:sz w:val="32"/>
          <w:szCs w:val="32"/>
        </w:rPr>
        <w:t>报告日期：</w:t>
      </w:r>
      <w:r>
        <w:rPr>
          <w:rFonts w:ascii="仿宋" w:hAnsi="仿宋" w:eastAsia="仿宋"/>
          <w:kern w:val="0"/>
          <w:sz w:val="32"/>
          <w:szCs w:val="32"/>
        </w:rPr>
        <w:t xml:space="preserve">  </w:t>
      </w:r>
      <w:r>
        <w:rPr>
          <w:rFonts w:hint="eastAsia" w:ascii="仿宋" w:hAnsi="仿宋" w:eastAsia="仿宋"/>
          <w:kern w:val="0"/>
          <w:sz w:val="32"/>
          <w:szCs w:val="32"/>
        </w:rPr>
        <w:t>20</w:t>
      </w:r>
      <w:r>
        <w:rPr>
          <w:rFonts w:hint="eastAsia" w:ascii="仿宋" w:hAnsi="仿宋" w:eastAsia="仿宋"/>
          <w:kern w:val="0"/>
          <w:sz w:val="32"/>
          <w:szCs w:val="32"/>
          <w:lang w:val="en-US" w:eastAsia="zh-CN"/>
        </w:rPr>
        <w:t>21</w:t>
      </w:r>
      <w:r>
        <w:rPr>
          <w:rFonts w:ascii="仿宋" w:hAnsi="仿宋" w:eastAsia="仿宋"/>
          <w:kern w:val="0"/>
          <w:sz w:val="32"/>
          <w:szCs w:val="32"/>
        </w:rPr>
        <w:t xml:space="preserve"> </w:t>
      </w:r>
      <w:r>
        <w:rPr>
          <w:rFonts w:hint="eastAsia" w:ascii="仿宋" w:hAnsi="仿宋" w:eastAsia="仿宋"/>
          <w:kern w:val="0"/>
          <w:sz w:val="32"/>
          <w:szCs w:val="32"/>
        </w:rPr>
        <w:t>年</w:t>
      </w:r>
      <w:r>
        <w:rPr>
          <w:rFonts w:ascii="仿宋" w:hAnsi="仿宋" w:eastAsia="仿宋"/>
          <w:kern w:val="0"/>
          <w:sz w:val="32"/>
          <w:szCs w:val="32"/>
        </w:rPr>
        <w:t xml:space="preserve"> </w:t>
      </w:r>
      <w:r>
        <w:rPr>
          <w:rFonts w:hint="eastAsia" w:ascii="仿宋" w:hAnsi="仿宋" w:eastAsia="仿宋"/>
          <w:kern w:val="0"/>
          <w:sz w:val="32"/>
          <w:szCs w:val="32"/>
          <w:lang w:val="en-US" w:eastAsia="zh-CN"/>
        </w:rPr>
        <w:t>5</w:t>
      </w:r>
      <w:r>
        <w:rPr>
          <w:rFonts w:hint="eastAsia" w:ascii="仿宋" w:hAnsi="仿宋" w:eastAsia="仿宋"/>
          <w:kern w:val="0"/>
          <w:sz w:val="32"/>
          <w:szCs w:val="32"/>
        </w:rPr>
        <w:t>月</w:t>
      </w:r>
      <w:r>
        <w:rPr>
          <w:rFonts w:ascii="仿宋" w:hAnsi="仿宋" w:eastAsia="仿宋"/>
          <w:kern w:val="0"/>
          <w:sz w:val="32"/>
          <w:szCs w:val="32"/>
        </w:rPr>
        <w:t xml:space="preserve"> </w:t>
      </w:r>
      <w:r>
        <w:rPr>
          <w:rFonts w:hint="eastAsia" w:ascii="仿宋" w:hAnsi="仿宋" w:eastAsia="仿宋"/>
          <w:kern w:val="0"/>
          <w:sz w:val="32"/>
          <w:szCs w:val="32"/>
        </w:rPr>
        <w:t>25</w:t>
      </w:r>
      <w:r>
        <w:rPr>
          <w:rFonts w:ascii="仿宋" w:hAnsi="仿宋" w:eastAsia="仿宋"/>
          <w:kern w:val="0"/>
          <w:sz w:val="32"/>
          <w:szCs w:val="32"/>
        </w:rPr>
        <w:t xml:space="preserve"> </w:t>
      </w:r>
      <w:r>
        <w:rPr>
          <w:rFonts w:hint="eastAsia" w:ascii="仿宋" w:hAnsi="仿宋" w:eastAsia="仿宋"/>
          <w:kern w:val="0"/>
          <w:sz w:val="32"/>
          <w:szCs w:val="32"/>
        </w:rPr>
        <w:t>日</w:t>
      </w:r>
    </w:p>
    <w:p>
      <w:pPr>
        <w:ind w:right="384" w:rightChars="183" w:firstLine="3058" w:firstLineChars="695"/>
        <w:rPr>
          <w:rFonts w:hint="eastAsia" w:ascii="黑体" w:hAnsi="宋体" w:eastAsia="黑体"/>
          <w:b/>
          <w:sz w:val="44"/>
          <w:szCs w:val="44"/>
        </w:rPr>
      </w:pPr>
    </w:p>
    <w:p>
      <w:pPr>
        <w:ind w:firstLine="420" w:firstLineChars="200"/>
        <w:rPr>
          <w:rFonts w:hint="eastAsia"/>
        </w:rPr>
      </w:pPr>
    </w:p>
    <w:p>
      <w:pPr>
        <w:rPr>
          <w:rFonts w:hint="eastAsia"/>
        </w:rPr>
      </w:pPr>
    </w:p>
    <w:p>
      <w:pPr>
        <w:rPr>
          <w:rFonts w:hint="eastAsia"/>
        </w:rPr>
      </w:pPr>
    </w:p>
    <w:p>
      <w:pPr>
        <w:rPr>
          <w:rFonts w:hint="eastAsia"/>
        </w:rPr>
      </w:pPr>
    </w:p>
    <w:tbl>
      <w:tblPr>
        <w:tblStyle w:val="6"/>
        <w:tblW w:w="11020" w:type="dxa"/>
        <w:tblInd w:w="93" w:type="dxa"/>
        <w:tblLayout w:type="fixed"/>
        <w:tblCellMar>
          <w:top w:w="0" w:type="dxa"/>
          <w:left w:w="108" w:type="dxa"/>
          <w:bottom w:w="0" w:type="dxa"/>
          <w:right w:w="108" w:type="dxa"/>
        </w:tblCellMar>
      </w:tblPr>
      <w:tblGrid>
        <w:gridCol w:w="11020"/>
      </w:tblGrid>
      <w:tr>
        <w:tblPrEx>
          <w:tblLayout w:type="fixed"/>
        </w:tblPrEx>
        <w:trPr>
          <w:trHeight w:val="567" w:hRule="atLeast"/>
        </w:trPr>
        <w:tc>
          <w:tcPr>
            <w:tcW w:w="11020" w:type="dxa"/>
            <w:tcBorders>
              <w:top w:val="nil"/>
              <w:left w:val="nil"/>
              <w:bottom w:val="nil"/>
              <w:right w:val="nil"/>
            </w:tcBorders>
            <w:noWrap w:val="0"/>
            <w:vAlign w:val="top"/>
          </w:tcPr>
          <w:tbl>
            <w:tblPr>
              <w:tblStyle w:val="6"/>
              <w:tblW w:w="9640" w:type="dxa"/>
              <w:tblInd w:w="0" w:type="dxa"/>
              <w:tblLayout w:type="fixed"/>
              <w:tblCellMar>
                <w:top w:w="0" w:type="dxa"/>
                <w:left w:w="108" w:type="dxa"/>
                <w:bottom w:w="0" w:type="dxa"/>
                <w:right w:w="108" w:type="dxa"/>
              </w:tblCellMar>
            </w:tblPr>
            <w:tblGrid>
              <w:gridCol w:w="680"/>
              <w:gridCol w:w="1420"/>
              <w:gridCol w:w="1320"/>
              <w:gridCol w:w="880"/>
              <w:gridCol w:w="1300"/>
              <w:gridCol w:w="1080"/>
              <w:gridCol w:w="1120"/>
              <w:gridCol w:w="265"/>
              <w:gridCol w:w="1575"/>
            </w:tblGrid>
            <w:tr>
              <w:tblPrEx>
                <w:tblLayout w:type="fixed"/>
                <w:tblCellMar>
                  <w:top w:w="0" w:type="dxa"/>
                  <w:left w:w="108" w:type="dxa"/>
                  <w:bottom w:w="0" w:type="dxa"/>
                  <w:right w:w="108" w:type="dxa"/>
                </w:tblCellMar>
              </w:tblPrEx>
              <w:trPr>
                <w:trHeight w:val="855" w:hRule="atLeast"/>
              </w:trPr>
              <w:tc>
                <w:tcPr>
                  <w:tcW w:w="9640" w:type="dxa"/>
                  <w:gridSpan w:val="9"/>
                  <w:tcBorders>
                    <w:top w:val="nil"/>
                    <w:left w:val="nil"/>
                    <w:bottom w:val="nil"/>
                    <w:right w:val="nil"/>
                  </w:tcBorders>
                  <w:noWrap w:val="0"/>
                  <w:vAlign w:val="center"/>
                </w:tcPr>
                <w:p>
                  <w:pPr>
                    <w:widowControl/>
                    <w:jc w:val="center"/>
                    <w:rPr>
                      <w:rFonts w:ascii="宋体" w:hAnsi="宋体" w:cs="宋体"/>
                      <w:b/>
                      <w:bCs/>
                      <w:kern w:val="0"/>
                      <w:sz w:val="44"/>
                      <w:szCs w:val="44"/>
                    </w:rPr>
                  </w:pPr>
                  <w:r>
                    <w:rPr>
                      <w:rFonts w:hint="eastAsia" w:ascii="宋体" w:hAnsi="宋体" w:cs="宋体"/>
                      <w:b/>
                      <w:bCs/>
                      <w:kern w:val="0"/>
                      <w:sz w:val="44"/>
                      <w:szCs w:val="44"/>
                    </w:rPr>
                    <w:t>项目支出绩效目标申报表</w:t>
                  </w:r>
                </w:p>
              </w:tc>
            </w:tr>
            <w:tr>
              <w:tblPrEx>
                <w:tblLayout w:type="fixed"/>
                <w:tblCellMar>
                  <w:top w:w="0" w:type="dxa"/>
                  <w:left w:w="108" w:type="dxa"/>
                  <w:bottom w:w="0" w:type="dxa"/>
                  <w:right w:w="108" w:type="dxa"/>
                </w:tblCellMar>
              </w:tblPrEx>
              <w:trPr>
                <w:trHeight w:val="540" w:hRule="atLeast"/>
              </w:trPr>
              <w:tc>
                <w:tcPr>
                  <w:tcW w:w="9640" w:type="dxa"/>
                  <w:gridSpan w:val="9"/>
                  <w:tcBorders>
                    <w:top w:val="nil"/>
                    <w:left w:val="nil"/>
                    <w:bottom w:val="nil"/>
                    <w:right w:val="nil"/>
                  </w:tcBorders>
                  <w:noWrap w:val="0"/>
                  <w:vAlign w:val="center"/>
                </w:tcPr>
                <w:p>
                  <w:pPr>
                    <w:widowControl/>
                    <w:jc w:val="center"/>
                    <w:rPr>
                      <w:rFonts w:ascii="楷体_GB2312" w:hAnsi="宋体" w:eastAsia="楷体_GB2312" w:cs="宋体"/>
                      <w:kern w:val="0"/>
                      <w:sz w:val="32"/>
                      <w:szCs w:val="32"/>
                    </w:rPr>
                  </w:pPr>
                  <w:r>
                    <w:rPr>
                      <w:rFonts w:hint="eastAsia" w:ascii="楷体_GB2312" w:hAnsi="宋体" w:eastAsia="楷体_GB2312" w:cs="宋体"/>
                      <w:kern w:val="0"/>
                      <w:sz w:val="32"/>
                      <w:szCs w:val="32"/>
                    </w:rPr>
                    <w:t>（20</w:t>
                  </w:r>
                  <w:r>
                    <w:rPr>
                      <w:rFonts w:hint="eastAsia" w:ascii="楷体_GB2312" w:hAnsi="宋体" w:eastAsia="楷体_GB2312" w:cs="宋体"/>
                      <w:kern w:val="0"/>
                      <w:sz w:val="32"/>
                      <w:szCs w:val="32"/>
                      <w:lang w:val="en-US" w:eastAsia="zh-CN"/>
                    </w:rPr>
                    <w:t>20</w:t>
                  </w:r>
                  <w:r>
                    <w:rPr>
                      <w:rFonts w:hint="eastAsia" w:ascii="楷体_GB2312" w:hAnsi="宋体" w:eastAsia="楷体_GB2312" w:cs="宋体"/>
                      <w:kern w:val="0"/>
                      <w:sz w:val="32"/>
                      <w:szCs w:val="32"/>
                    </w:rPr>
                    <w:t>年度）</w:t>
                  </w:r>
                </w:p>
              </w:tc>
            </w:tr>
            <w:tr>
              <w:tblPrEx>
                <w:tblLayout w:type="fixed"/>
                <w:tblCellMar>
                  <w:top w:w="0" w:type="dxa"/>
                  <w:left w:w="108" w:type="dxa"/>
                  <w:bottom w:w="0" w:type="dxa"/>
                  <w:right w:w="108" w:type="dxa"/>
                </w:tblCellMar>
              </w:tblPrEx>
              <w:trPr>
                <w:trHeight w:val="585" w:hRule="atLeast"/>
              </w:trPr>
              <w:tc>
                <w:tcPr>
                  <w:tcW w:w="9640" w:type="dxa"/>
                  <w:gridSpan w:val="9"/>
                  <w:tcBorders>
                    <w:top w:val="nil"/>
                    <w:left w:val="nil"/>
                    <w:bottom w:val="single" w:color="auto" w:sz="8" w:space="0"/>
                    <w:right w:val="nil"/>
                  </w:tcBorders>
                  <w:noWrap w:val="0"/>
                  <w:vAlign w:val="center"/>
                </w:tcPr>
                <w:p>
                  <w:pPr>
                    <w:widowControl/>
                    <w:jc w:val="left"/>
                    <w:rPr>
                      <w:rFonts w:ascii="楷体_GB2312" w:hAnsi="宋体" w:eastAsia="楷体_GB2312" w:cs="宋体"/>
                      <w:kern w:val="0"/>
                      <w:sz w:val="24"/>
                    </w:rPr>
                  </w:pPr>
                  <w:r>
                    <w:rPr>
                      <w:rFonts w:hint="eastAsia" w:ascii="楷体_GB2312" w:hAnsi="宋体" w:eastAsia="楷体_GB2312" w:cs="宋体"/>
                      <w:kern w:val="0"/>
                      <w:sz w:val="24"/>
                    </w:rPr>
                    <w:t xml:space="preserve"> 填报单位（盖章）湘潭县看守所</w:t>
                  </w:r>
                </w:p>
              </w:tc>
            </w:tr>
            <w:tr>
              <w:tblPrEx>
                <w:tblLayout w:type="fixed"/>
                <w:tblCellMar>
                  <w:top w:w="0" w:type="dxa"/>
                  <w:left w:w="108" w:type="dxa"/>
                  <w:bottom w:w="0" w:type="dxa"/>
                  <w:right w:w="108" w:type="dxa"/>
                </w:tblCellMar>
              </w:tblPrEx>
              <w:trPr>
                <w:trHeight w:val="600" w:hRule="atLeast"/>
              </w:trPr>
              <w:tc>
                <w:tcPr>
                  <w:tcW w:w="680" w:type="dxa"/>
                  <w:vMerge w:val="restart"/>
                  <w:tcBorders>
                    <w:top w:val="nil"/>
                    <w:left w:val="single" w:color="auto" w:sz="8" w:space="0"/>
                    <w:bottom w:val="single" w:color="auto" w:sz="4"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项目</w:t>
                  </w:r>
                  <w:r>
                    <w:rPr>
                      <w:rFonts w:hint="eastAsia" w:ascii="黑体" w:hAnsi="宋体" w:eastAsia="黑体" w:cs="宋体"/>
                      <w:kern w:val="0"/>
                      <w:sz w:val="24"/>
                    </w:rPr>
                    <w:br w:type="textWrapping"/>
                  </w:r>
                  <w:r>
                    <w:rPr>
                      <w:rFonts w:hint="eastAsia" w:ascii="黑体" w:hAnsi="宋体" w:eastAsia="黑体" w:cs="宋体"/>
                      <w:kern w:val="0"/>
                      <w:sz w:val="24"/>
                    </w:rPr>
                    <w:t>基本</w:t>
                  </w:r>
                  <w:r>
                    <w:rPr>
                      <w:rFonts w:hint="eastAsia" w:ascii="黑体" w:hAnsi="宋体" w:eastAsia="黑体" w:cs="宋体"/>
                      <w:kern w:val="0"/>
                      <w:sz w:val="24"/>
                    </w:rPr>
                    <w:br w:type="textWrapping"/>
                  </w:r>
                  <w:r>
                    <w:rPr>
                      <w:rFonts w:hint="eastAsia" w:ascii="黑体" w:hAnsi="宋体" w:eastAsia="黑体" w:cs="宋体"/>
                      <w:kern w:val="0"/>
                      <w:sz w:val="24"/>
                    </w:rPr>
                    <w:t>信息</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项目名称</w:t>
                  </w:r>
                </w:p>
              </w:tc>
              <w:tc>
                <w:tcPr>
                  <w:tcW w:w="2200" w:type="dxa"/>
                  <w:gridSpan w:val="2"/>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看守专项经费</w:t>
                  </w:r>
                </w:p>
              </w:tc>
              <w:tc>
                <w:tcPr>
                  <w:tcW w:w="130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项目属性</w:t>
                  </w:r>
                </w:p>
              </w:tc>
              <w:tc>
                <w:tcPr>
                  <w:tcW w:w="4040" w:type="dxa"/>
                  <w:gridSpan w:val="4"/>
                  <w:tcBorders>
                    <w:top w:val="single" w:color="auto" w:sz="8"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延续专项□     新增专项□    </w:t>
                  </w:r>
                </w:p>
              </w:tc>
            </w:tr>
            <w:tr>
              <w:tblPrEx>
                <w:tblLayout w:type="fixed"/>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主管部门</w:t>
                  </w: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湘潭县看守所</w:t>
                  </w:r>
                </w:p>
              </w:tc>
              <w:tc>
                <w:tcPr>
                  <w:tcW w:w="130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项目负责人</w:t>
                  </w:r>
                </w:p>
              </w:tc>
              <w:tc>
                <w:tcPr>
                  <w:tcW w:w="1080"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刘述兵</w:t>
                  </w:r>
                </w:p>
              </w:tc>
              <w:tc>
                <w:tcPr>
                  <w:tcW w:w="11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联系电话</w:t>
                  </w:r>
                </w:p>
              </w:tc>
              <w:tc>
                <w:tcPr>
                  <w:tcW w:w="1840" w:type="dxa"/>
                  <w:gridSpan w:val="2"/>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13</w:t>
                  </w:r>
                  <w:r>
                    <w:rPr>
                      <w:rFonts w:hint="eastAsia" w:ascii="仿宋_GB2312" w:hAnsi="宋体" w:eastAsia="仿宋_GB2312" w:cs="宋体"/>
                      <w:kern w:val="0"/>
                      <w:sz w:val="24"/>
                      <w:lang w:val="en-US" w:eastAsia="zh-CN"/>
                    </w:rPr>
                    <w:t>907322098</w:t>
                  </w:r>
                </w:p>
              </w:tc>
            </w:tr>
            <w:tr>
              <w:tblPrEx>
                <w:tblLayout w:type="fixed"/>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资金总额</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肆</w:t>
                  </w:r>
                  <w:r>
                    <w:rPr>
                      <w:rFonts w:hint="eastAsia" w:ascii="仿宋_GB2312" w:hAnsi="宋体" w:eastAsia="仿宋_GB2312" w:cs="宋体"/>
                      <w:kern w:val="0"/>
                      <w:sz w:val="24"/>
                    </w:rPr>
                    <w:t>佰</w:t>
                  </w:r>
                  <w:r>
                    <w:rPr>
                      <w:rFonts w:hint="eastAsia" w:ascii="仿宋_GB2312" w:hAnsi="宋体" w:eastAsia="仿宋_GB2312" w:cs="宋体"/>
                      <w:kern w:val="0"/>
                      <w:sz w:val="24"/>
                      <w:lang w:eastAsia="zh-CN"/>
                    </w:rPr>
                    <w:t>伍拾万捌仟壹佰捌</w:t>
                  </w:r>
                  <w:r>
                    <w:rPr>
                      <w:rFonts w:hint="eastAsia" w:ascii="仿宋_GB2312" w:hAnsi="宋体" w:eastAsia="仿宋_GB2312" w:cs="宋体"/>
                      <w:kern w:val="0"/>
                      <w:sz w:val="24"/>
                      <w:lang w:val="en-US" w:eastAsia="zh-CN"/>
                    </w:rPr>
                    <w:t>拾伍</w:t>
                  </w:r>
                  <w:r>
                    <w:rPr>
                      <w:rFonts w:hint="eastAsia" w:ascii="仿宋_GB2312" w:hAnsi="宋体" w:eastAsia="仿宋_GB2312" w:cs="宋体"/>
                      <w:kern w:val="0"/>
                      <w:sz w:val="24"/>
                    </w:rPr>
                    <w:t>元</w:t>
                  </w:r>
                </w:p>
              </w:tc>
            </w:tr>
            <w:tr>
              <w:tblPrEx>
                <w:tblLayout w:type="fixed"/>
                <w:tblCellMar>
                  <w:top w:w="0" w:type="dxa"/>
                  <w:left w:w="108" w:type="dxa"/>
                  <w:bottom w:w="0" w:type="dxa"/>
                  <w:right w:w="108" w:type="dxa"/>
                </w:tblCellMar>
              </w:tblPrEx>
              <w:trPr>
                <w:trHeight w:val="6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项目起止时间</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年1月至20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 xml:space="preserve">年12月 </w:t>
                  </w:r>
                </w:p>
              </w:tc>
            </w:tr>
            <w:tr>
              <w:tblPrEx>
                <w:tblLayout w:type="fixed"/>
                <w:tblCellMar>
                  <w:top w:w="0" w:type="dxa"/>
                  <w:left w:w="108" w:type="dxa"/>
                  <w:bottom w:w="0" w:type="dxa"/>
                  <w:right w:w="108" w:type="dxa"/>
                </w:tblCellMar>
              </w:tblPrEx>
              <w:trPr>
                <w:trHeight w:val="231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项目概况</w:t>
                  </w:r>
                </w:p>
              </w:tc>
              <w:tc>
                <w:tcPr>
                  <w:tcW w:w="7540" w:type="dxa"/>
                  <w:gridSpan w:val="7"/>
                  <w:tcBorders>
                    <w:top w:val="single" w:color="auto" w:sz="4" w:space="0"/>
                    <w:left w:val="nil"/>
                    <w:bottom w:val="single" w:color="auto" w:sz="4" w:space="0"/>
                    <w:right w:val="single" w:color="000000" w:sz="8" w:space="0"/>
                  </w:tcBorders>
                  <w:noWrap w:val="0"/>
                  <w:vAlign w:val="top"/>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对被羁押的犯罪嫌疑人、被告人实行警戒看守，管理教育；保障侦查机关、检察机关、审判机关、辩护人等诉讼参与人依法进行诉讼活动；保障犯罪嫌疑人、被告人的诉讼权利和其他合法权益；将罪犯交付执行刑罚；对依法由看守所执行刑罚的罪犯执行刑罚。 湘潭县看守所月关押在押人员</w:t>
                  </w:r>
                  <w:r>
                    <w:rPr>
                      <w:rFonts w:hint="eastAsia" w:ascii="仿宋_GB2312" w:hAnsi="宋体" w:eastAsia="仿宋_GB2312" w:cs="宋体"/>
                      <w:kern w:val="0"/>
                      <w:sz w:val="24"/>
                      <w:lang w:val="en-US" w:eastAsia="zh-CN"/>
                    </w:rPr>
                    <w:t>40</w:t>
                  </w:r>
                  <w:r>
                    <w:rPr>
                      <w:rFonts w:hint="eastAsia" w:ascii="仿宋_GB2312" w:hAnsi="宋体" w:eastAsia="仿宋_GB2312" w:cs="宋体"/>
                      <w:kern w:val="0"/>
                      <w:sz w:val="24"/>
                    </w:rPr>
                    <w:t>0人。</w:t>
                  </w:r>
                </w:p>
              </w:tc>
            </w:tr>
            <w:tr>
              <w:tblPrEx>
                <w:tblLayout w:type="fixed"/>
                <w:tblCellMar>
                  <w:top w:w="0" w:type="dxa"/>
                  <w:left w:w="108" w:type="dxa"/>
                  <w:bottom w:w="0" w:type="dxa"/>
                  <w:right w:w="108" w:type="dxa"/>
                </w:tblCellMar>
              </w:tblPrEx>
              <w:trPr>
                <w:trHeight w:val="12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项目立</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项情况</w:t>
                  </w: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项目立</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项依据</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1、公安部、财政部关于印发《看守所经费开支范围和管理办法的规定》；2、《湖南省财政厅 湖南省公安厅关于加强全省公安监管场所经费保障的通知》。</w:t>
                  </w:r>
                </w:p>
              </w:tc>
            </w:tr>
            <w:tr>
              <w:tblPrEx>
                <w:tblLayout w:type="fixed"/>
                <w:tblCellMar>
                  <w:top w:w="0" w:type="dxa"/>
                  <w:left w:w="108" w:type="dxa"/>
                  <w:bottom w:w="0" w:type="dxa"/>
                  <w:right w:w="108" w:type="dxa"/>
                </w:tblCellMar>
              </w:tblPrEx>
              <w:trPr>
                <w:trHeight w:val="1200"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项目申报</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的可行性</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1、各级政策文件的要求；2、县委县政府历年来对县监管场所经费保障工作的重视；3、省财政配套经费的拨付。</w:t>
                  </w:r>
                </w:p>
              </w:tc>
            </w:tr>
            <w:tr>
              <w:tblPrEx>
                <w:tblLayout w:type="fixed"/>
                <w:tblCellMar>
                  <w:top w:w="0" w:type="dxa"/>
                  <w:left w:w="108" w:type="dxa"/>
                  <w:bottom w:w="0" w:type="dxa"/>
                  <w:right w:w="108" w:type="dxa"/>
                </w:tblCellMar>
              </w:tblPrEx>
              <w:trPr>
                <w:trHeight w:val="1458"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项目申报</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的必要性</w:t>
                  </w:r>
                </w:p>
              </w:tc>
              <w:tc>
                <w:tcPr>
                  <w:tcW w:w="6220" w:type="dxa"/>
                  <w:gridSpan w:val="6"/>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1、充分发挥看守所监管看守、教育人犯和社会治安综合治理等方面的职能作用，保障刑事诉讼活动的顺利进行；2、保障监所安全，维护湘潭县大局稳定；3、提高政策的有效性，提升服务效能。</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项目实施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进度计划</w:t>
                  </w: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项目实施内容</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计划开始时间</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计划完成时间</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eastAsia="zh-CN"/>
                    </w:rPr>
                    <w:t>给养</w:t>
                  </w:r>
                  <w:r>
                    <w:rPr>
                      <w:rFonts w:hint="eastAsia" w:ascii="仿宋_GB2312" w:hAnsi="宋体" w:eastAsia="仿宋_GB2312" w:cs="宋体"/>
                      <w:kern w:val="0"/>
                      <w:sz w:val="24"/>
                    </w:rPr>
                    <w:t>费</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-1-1</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-12-31</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宋体" w:eastAsia="仿宋_GB2312" w:cs="宋体"/>
                      <w:kern w:val="0"/>
                      <w:sz w:val="24"/>
                      <w:lang w:eastAsia="zh-CN"/>
                    </w:rPr>
                    <w:t>商品和服务支出</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-1-1</w:t>
                  </w: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-12-31</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000000" w:sz="4" w:space="0"/>
                  </w:tcBorders>
                  <w:noWrap w:val="0"/>
                  <w:vAlign w:val="center"/>
                </w:tcPr>
                <w:p>
                  <w:pPr>
                    <w:widowControl/>
                    <w:jc w:val="left"/>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仿宋_GB2312" w:hAnsi="宋体" w:eastAsia="仿宋_GB2312" w:cs="宋体"/>
                      <w:kern w:val="0"/>
                      <w:sz w:val="24"/>
                    </w:rPr>
                  </w:pP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200" w:type="dxa"/>
                  <w:gridSpan w:val="2"/>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2960" w:type="dxa"/>
                  <w:gridSpan w:val="3"/>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1399" w:hRule="atLeast"/>
              </w:trPr>
              <w:tc>
                <w:tcPr>
                  <w:tcW w:w="6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项目</w:t>
                  </w:r>
                  <w:r>
                    <w:rPr>
                      <w:rFonts w:hint="eastAsia" w:ascii="黑体" w:hAnsi="宋体" w:eastAsia="黑体" w:cs="宋体"/>
                      <w:kern w:val="0"/>
                      <w:sz w:val="24"/>
                    </w:rPr>
                    <w:br w:type="textWrapping"/>
                  </w:r>
                  <w:r>
                    <w:rPr>
                      <w:rFonts w:hint="eastAsia" w:ascii="黑体" w:hAnsi="宋体" w:eastAsia="黑体" w:cs="宋体"/>
                      <w:kern w:val="0"/>
                      <w:sz w:val="24"/>
                    </w:rPr>
                    <w:t>支出</w:t>
                  </w:r>
                  <w:r>
                    <w:rPr>
                      <w:rFonts w:hint="eastAsia" w:ascii="黑体" w:hAnsi="宋体" w:eastAsia="黑体" w:cs="宋体"/>
                      <w:kern w:val="0"/>
                      <w:sz w:val="24"/>
                    </w:rPr>
                    <w:br w:type="textWrapping"/>
                  </w:r>
                  <w:r>
                    <w:rPr>
                      <w:rFonts w:hint="eastAsia" w:ascii="黑体" w:hAnsi="宋体" w:eastAsia="黑体" w:cs="宋体"/>
                      <w:kern w:val="0"/>
                      <w:sz w:val="24"/>
                    </w:rPr>
                    <w:t>绩效</w:t>
                  </w:r>
                  <w:r>
                    <w:rPr>
                      <w:rFonts w:hint="eastAsia" w:ascii="黑体" w:hAnsi="宋体" w:eastAsia="黑体" w:cs="宋体"/>
                      <w:kern w:val="0"/>
                      <w:sz w:val="24"/>
                    </w:rPr>
                    <w:br w:type="textWrapping"/>
                  </w:r>
                  <w:r>
                    <w:rPr>
                      <w:rFonts w:hint="eastAsia" w:ascii="黑体" w:hAnsi="宋体" w:eastAsia="黑体" w:cs="宋体"/>
                      <w:kern w:val="0"/>
                      <w:sz w:val="24"/>
                    </w:rPr>
                    <w:t>目标</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项目长期</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绩效目标</w:t>
                  </w:r>
                </w:p>
              </w:tc>
              <w:tc>
                <w:tcPr>
                  <w:tcW w:w="7540" w:type="dxa"/>
                  <w:gridSpan w:val="7"/>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保障看守所在押人员的正常生活，稳定监区秩序，确保监所安全，保障刑事诉讼活动顺利进行，确保全县社会治安大局稳定。</w:t>
                  </w:r>
                </w:p>
              </w:tc>
            </w:tr>
            <w:tr>
              <w:tblPrEx>
                <w:tblLayout w:type="fixed"/>
                <w:tblCellMar>
                  <w:top w:w="0" w:type="dxa"/>
                  <w:left w:w="108" w:type="dxa"/>
                  <w:bottom w:w="0" w:type="dxa"/>
                  <w:right w:w="108" w:type="dxa"/>
                </w:tblCellMar>
              </w:tblPrEx>
              <w:trPr>
                <w:trHeight w:val="13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项目年度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绩效目标</w:t>
                  </w:r>
                </w:p>
              </w:tc>
              <w:tc>
                <w:tcPr>
                  <w:tcW w:w="7540" w:type="dxa"/>
                  <w:gridSpan w:val="7"/>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1、确保监所安全、稳定监区秩序；2、加强经费保障和管理，保障在押人员的正常生活；3、服务好公检法司等部门的办案需求，保障刑事诉讼活动顺利进行。</w:t>
                  </w:r>
                </w:p>
              </w:tc>
            </w:tr>
            <w:tr>
              <w:tblPrEx>
                <w:tblLayout w:type="fixed"/>
                <w:tblCellMar>
                  <w:top w:w="0" w:type="dxa"/>
                  <w:left w:w="108" w:type="dxa"/>
                  <w:bottom w:w="0" w:type="dxa"/>
                  <w:right w:w="108" w:type="dxa"/>
                </w:tblCellMar>
              </w:tblPrEx>
              <w:trPr>
                <w:trHeight w:val="499" w:hRule="atLeast"/>
              </w:trPr>
              <w:tc>
                <w:tcPr>
                  <w:tcW w:w="6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项目</w:t>
                  </w:r>
                  <w:r>
                    <w:rPr>
                      <w:rFonts w:hint="eastAsia" w:ascii="宋体" w:hAnsi="宋体" w:cs="宋体"/>
                      <w:b/>
                      <w:bCs/>
                      <w:kern w:val="0"/>
                      <w:sz w:val="24"/>
                    </w:rPr>
                    <w:br w:type="textWrapping"/>
                  </w:r>
                  <w:r>
                    <w:rPr>
                      <w:rFonts w:hint="eastAsia" w:ascii="宋体" w:hAnsi="宋体" w:cs="宋体"/>
                      <w:b/>
                      <w:bCs/>
                      <w:kern w:val="0"/>
                      <w:sz w:val="24"/>
                    </w:rPr>
                    <w:t>支出</w:t>
                  </w:r>
                  <w:r>
                    <w:rPr>
                      <w:rFonts w:hint="eastAsia" w:ascii="宋体" w:hAnsi="宋体" w:cs="宋体"/>
                      <w:b/>
                      <w:bCs/>
                      <w:kern w:val="0"/>
                      <w:sz w:val="24"/>
                    </w:rPr>
                    <w:br w:type="textWrapping"/>
                  </w:r>
                  <w:r>
                    <w:rPr>
                      <w:rFonts w:hint="eastAsia" w:ascii="宋体" w:hAnsi="宋体" w:cs="宋体"/>
                      <w:b/>
                      <w:bCs/>
                      <w:kern w:val="0"/>
                      <w:sz w:val="24"/>
                    </w:rPr>
                    <w:t>绩效</w:t>
                  </w:r>
                  <w:r>
                    <w:rPr>
                      <w:rFonts w:hint="eastAsia" w:ascii="宋体" w:hAnsi="宋体" w:cs="宋体"/>
                      <w:b/>
                      <w:bCs/>
                      <w:kern w:val="0"/>
                      <w:sz w:val="24"/>
                    </w:rPr>
                    <w:br w:type="textWrapping"/>
                  </w:r>
                  <w:r>
                    <w:rPr>
                      <w:rFonts w:hint="eastAsia" w:ascii="宋体" w:hAnsi="宋体" w:cs="宋体"/>
                      <w:b/>
                      <w:bCs/>
                      <w:kern w:val="0"/>
                      <w:sz w:val="24"/>
                    </w:rPr>
                    <w:t>目标</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3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一级指标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项目年度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绩效指标</w:t>
                  </w:r>
                </w:p>
              </w:tc>
              <w:tc>
                <w:tcPr>
                  <w:tcW w:w="13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给养</w:t>
                  </w:r>
                  <w:r>
                    <w:rPr>
                      <w:rFonts w:hint="eastAsia" w:ascii="仿宋_GB2312" w:hAnsi="宋体" w:eastAsia="仿宋_GB2312" w:cs="宋体"/>
                      <w:kern w:val="0"/>
                      <w:sz w:val="24"/>
                    </w:rPr>
                    <w:t>费</w:t>
                  </w: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包括</w:t>
                  </w:r>
                  <w:r>
                    <w:rPr>
                      <w:rFonts w:hint="eastAsia" w:ascii="仿宋_GB2312" w:hAnsi="宋体" w:eastAsia="仿宋_GB2312" w:cs="宋体"/>
                      <w:kern w:val="0"/>
                      <w:sz w:val="20"/>
                      <w:szCs w:val="20"/>
                      <w:lang w:eastAsia="zh-CN"/>
                    </w:rPr>
                    <w:t>伙食费、医疗费、衣被费、公杂费</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53.6</w:t>
                  </w:r>
                  <w:r>
                    <w:rPr>
                      <w:rFonts w:hint="eastAsia" w:ascii="仿宋_GB2312" w:hAnsi="宋体" w:eastAsia="仿宋_GB2312" w:cs="宋体"/>
                      <w:kern w:val="0"/>
                      <w:sz w:val="24"/>
                    </w:rPr>
                    <w:t>万元</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商品和服务支出</w:t>
                  </w:r>
                </w:p>
              </w:tc>
              <w:tc>
                <w:tcPr>
                  <w:tcW w:w="2380" w:type="dxa"/>
                  <w:gridSpan w:val="2"/>
                  <w:tcBorders>
                    <w:top w:val="single" w:color="auto" w:sz="4" w:space="0"/>
                    <w:left w:val="nil"/>
                    <w:bottom w:val="single" w:color="auto" w:sz="4" w:space="0"/>
                    <w:right w:val="single" w:color="000000" w:sz="4" w:space="0"/>
                  </w:tcBorders>
                  <w:noWrap w:val="0"/>
                  <w:vAlign w:val="top"/>
                </w:tcPr>
                <w:p>
                  <w:pPr>
                    <w:widowControl/>
                    <w:jc w:val="left"/>
                    <w:rPr>
                      <w:rFonts w:ascii="仿宋_GB2312" w:hAnsi="宋体" w:eastAsia="仿宋_GB2312" w:cs="宋体"/>
                      <w:kern w:val="0"/>
                      <w:sz w:val="20"/>
                      <w:szCs w:val="20"/>
                    </w:rPr>
                  </w:pPr>
                  <w:r>
                    <w:rPr>
                      <w:rFonts w:hint="eastAsia" w:ascii="仿宋_GB2312" w:hAnsi="宋体" w:eastAsia="仿宋_GB2312" w:cs="宋体"/>
                      <w:color w:val="000000"/>
                      <w:kern w:val="0"/>
                      <w:sz w:val="20"/>
                      <w:szCs w:val="20"/>
                    </w:rPr>
                    <w:t>公务费、装备购置费、装备消耗费、修缮费及其他费用</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297.2185</w:t>
                  </w:r>
                  <w:r>
                    <w:rPr>
                      <w:rFonts w:hint="eastAsia" w:ascii="仿宋_GB2312" w:hAnsi="宋体" w:eastAsia="仿宋_GB2312" w:cs="宋体"/>
                      <w:kern w:val="0"/>
                      <w:sz w:val="24"/>
                    </w:rPr>
                    <w:t>万元</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top"/>
                </w:tcPr>
                <w:p>
                  <w:pPr>
                    <w:widowControl/>
                    <w:jc w:val="left"/>
                    <w:rPr>
                      <w:rFonts w:ascii="仿宋_GB2312" w:hAnsi="宋体" w:eastAsia="仿宋_GB2312" w:cs="宋体"/>
                      <w:kern w:val="0"/>
                      <w:sz w:val="20"/>
                      <w:szCs w:val="20"/>
                    </w:rPr>
                  </w:pPr>
                </w:p>
              </w:tc>
              <w:tc>
                <w:tcPr>
                  <w:tcW w:w="1385" w:type="dxa"/>
                  <w:gridSpan w:val="2"/>
                  <w:tcBorders>
                    <w:top w:val="nil"/>
                    <w:left w:val="nil"/>
                    <w:bottom w:val="single" w:color="auto" w:sz="4" w:space="0"/>
                    <w:right w:val="single" w:color="auto" w:sz="4" w:space="0"/>
                  </w:tcBorders>
                  <w:noWrap w:val="0"/>
                  <w:vAlign w:val="center"/>
                </w:tcPr>
                <w:p>
                  <w:pPr>
                    <w:widowControl/>
                    <w:jc w:val="both"/>
                    <w:rPr>
                      <w:rFonts w:ascii="仿宋_GB2312" w:hAnsi="宋体" w:eastAsia="仿宋_GB2312" w:cs="宋体"/>
                      <w:kern w:val="0"/>
                      <w:sz w:val="24"/>
                    </w:rPr>
                  </w:pP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both"/>
                    <w:rPr>
                      <w:rFonts w:ascii="仿宋_GB2312" w:hAnsi="宋体" w:eastAsia="仿宋_GB2312" w:cs="宋体"/>
                      <w:kern w:val="0"/>
                      <w:sz w:val="24"/>
                    </w:rPr>
                  </w:pPr>
                </w:p>
              </w:tc>
              <w:tc>
                <w:tcPr>
                  <w:tcW w:w="2380" w:type="dxa"/>
                  <w:gridSpan w:val="2"/>
                  <w:tcBorders>
                    <w:top w:val="single" w:color="auto" w:sz="4" w:space="0"/>
                    <w:left w:val="nil"/>
                    <w:bottom w:val="single" w:color="auto" w:sz="4" w:space="0"/>
                    <w:right w:val="single" w:color="000000" w:sz="4" w:space="0"/>
                  </w:tcBorders>
                  <w:noWrap w:val="0"/>
                  <w:vAlign w:val="top"/>
                </w:tcPr>
                <w:p>
                  <w:pPr>
                    <w:widowControl/>
                    <w:spacing w:after="240"/>
                    <w:jc w:val="left"/>
                    <w:rPr>
                      <w:rFonts w:ascii="仿宋_GB2312" w:hAnsi="宋体" w:eastAsia="仿宋_GB2312" w:cs="宋体"/>
                      <w:kern w:val="0"/>
                      <w:sz w:val="24"/>
                    </w:rPr>
                  </w:pP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经济效益</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预算经费使用率</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社会效益</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警示教育，预防犯罪，提高全民遵纪守法意识</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长期</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99"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生态效益</w:t>
                  </w:r>
                </w:p>
              </w:tc>
              <w:tc>
                <w:tcPr>
                  <w:tcW w:w="2380"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对周边环境的影响</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无</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1086"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top"/>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可持续影响</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彰显政府的公信力、执行力，警示全民遵纪守法</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长期</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975" w:hRule="atLeast"/>
              </w:trPr>
              <w:tc>
                <w:tcPr>
                  <w:tcW w:w="6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
                      <w:bCs/>
                      <w:kern w:val="0"/>
                      <w:sz w:val="24"/>
                    </w:rPr>
                  </w:pPr>
                </w:p>
              </w:tc>
              <w:tc>
                <w:tcPr>
                  <w:tcW w:w="14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32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88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社会公众或服务对象满意度</w:t>
                  </w:r>
                </w:p>
              </w:tc>
              <w:tc>
                <w:tcPr>
                  <w:tcW w:w="238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群众满意率</w:t>
                  </w:r>
                </w:p>
              </w:tc>
              <w:tc>
                <w:tcPr>
                  <w:tcW w:w="1385" w:type="dxa"/>
                  <w:gridSpan w:val="2"/>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98%</w:t>
                  </w:r>
                </w:p>
              </w:tc>
              <w:tc>
                <w:tcPr>
                  <w:tcW w:w="1575"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1410" w:hRule="atLeast"/>
              </w:trPr>
              <w:tc>
                <w:tcPr>
                  <w:tcW w:w="680" w:type="dxa"/>
                  <w:tcBorders>
                    <w:top w:val="nil"/>
                    <w:left w:val="single" w:color="auto" w:sz="8"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单位已有的（或拟订的）保证项目实施的制度、措施</w:t>
                  </w:r>
                </w:p>
              </w:tc>
              <w:tc>
                <w:tcPr>
                  <w:tcW w:w="7540" w:type="dxa"/>
                  <w:gridSpan w:val="7"/>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项目组织机构：湘潭县看守所</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相关管理制度：《财务管理工作制度》《精细化考核办法》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工作措施 （方案、规划等）：《湘潭县看守所工作规程》</w:t>
                  </w:r>
                </w:p>
              </w:tc>
            </w:tr>
            <w:tr>
              <w:tblPrEx>
                <w:tblLayout w:type="fixed"/>
                <w:tblCellMar>
                  <w:top w:w="0" w:type="dxa"/>
                  <w:left w:w="108" w:type="dxa"/>
                  <w:bottom w:w="0" w:type="dxa"/>
                  <w:right w:w="108" w:type="dxa"/>
                </w:tblCellMar>
              </w:tblPrEx>
              <w:trPr>
                <w:trHeight w:val="600" w:hRule="atLeast"/>
              </w:trPr>
              <w:tc>
                <w:tcPr>
                  <w:tcW w:w="680" w:type="dxa"/>
                  <w:vMerge w:val="restart"/>
                  <w:tcBorders>
                    <w:top w:val="nil"/>
                    <w:left w:val="single" w:color="auto" w:sz="8" w:space="0"/>
                    <w:bottom w:val="single" w:color="000000" w:sz="8" w:space="0"/>
                    <w:right w:val="single" w:color="auto" w:sz="4"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rPr>
                    <w:t>财政部门审核</w:t>
                  </w:r>
                  <w:r>
                    <w:rPr>
                      <w:rFonts w:hint="eastAsia" w:ascii="黑体" w:hAnsi="宋体" w:eastAsia="黑体" w:cs="宋体"/>
                      <w:kern w:val="0"/>
                      <w:sz w:val="24"/>
                    </w:rPr>
                    <w:br w:type="textWrapping"/>
                  </w:r>
                  <w:r>
                    <w:rPr>
                      <w:rFonts w:hint="eastAsia" w:ascii="黑体" w:hAnsi="宋体" w:eastAsia="黑体" w:cs="宋体"/>
                      <w:kern w:val="0"/>
                      <w:sz w:val="24"/>
                    </w:rPr>
                    <w:t>意见</w:t>
                  </w: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审核股室</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审核的主要内容</w:t>
                  </w:r>
                </w:p>
              </w:tc>
              <w:tc>
                <w:tcPr>
                  <w:tcW w:w="4040" w:type="dxa"/>
                  <w:gridSpan w:val="4"/>
                  <w:tcBorders>
                    <w:top w:val="single" w:color="auto" w:sz="4" w:space="0"/>
                    <w:left w:val="nil"/>
                    <w:bottom w:val="single" w:color="auto" w:sz="4" w:space="0"/>
                    <w:right w:val="single" w:color="000000" w:sz="8"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审核意见</w:t>
                  </w:r>
                </w:p>
              </w:tc>
            </w:tr>
            <w:tr>
              <w:tblPrEx>
                <w:tblLayout w:type="fixed"/>
                <w:tblCellMar>
                  <w:top w:w="0" w:type="dxa"/>
                  <w:left w:w="108" w:type="dxa"/>
                  <w:bottom w:w="0" w:type="dxa"/>
                  <w:right w:w="108" w:type="dxa"/>
                </w:tblCellMar>
              </w:tblPrEx>
              <w:trPr>
                <w:trHeight w:val="1650"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财政归口</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业务股室</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审核意见</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1、是否立项及项目属性确定；</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2、绩效目标设定是否合理；</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3、预算资金可供量是否合理；</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4、项目、资金及财务管理措施；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5、其他。</w:t>
                  </w:r>
                </w:p>
              </w:tc>
              <w:tc>
                <w:tcPr>
                  <w:tcW w:w="4040" w:type="dxa"/>
                  <w:gridSpan w:val="4"/>
                  <w:tcBorders>
                    <w:top w:val="single" w:color="auto" w:sz="4" w:space="0"/>
                    <w:left w:val="nil"/>
                    <w:bottom w:val="single" w:color="auto" w:sz="4"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Layout w:type="fixed"/>
                <w:tblCellMar>
                  <w:top w:w="0" w:type="dxa"/>
                  <w:left w:w="108" w:type="dxa"/>
                  <w:bottom w:w="0" w:type="dxa"/>
                  <w:right w:w="108" w:type="dxa"/>
                </w:tblCellMar>
              </w:tblPrEx>
              <w:trPr>
                <w:trHeight w:val="1440"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绩效评价</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股审核意见</w:t>
                  </w:r>
                </w:p>
              </w:tc>
              <w:tc>
                <w:tcPr>
                  <w:tcW w:w="3500" w:type="dxa"/>
                  <w:gridSpan w:val="3"/>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2"/>
                      <w:szCs w:val="22"/>
                    </w:rPr>
                  </w:pPr>
                  <w:r>
                    <w:rPr>
                      <w:rFonts w:hint="eastAsia" w:ascii="仿宋_GB2312" w:hAnsi="宋体" w:eastAsia="仿宋_GB2312" w:cs="宋体"/>
                      <w:kern w:val="0"/>
                      <w:sz w:val="22"/>
                      <w:szCs w:val="22"/>
                    </w:rPr>
                    <w:t>1、填报内容是否完整；</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2、是否设定量化的绩效目标；</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3、是否有适当、细化的绩效指标，及其与绩效目标的对应性；</w:t>
                  </w:r>
                  <w:r>
                    <w:rPr>
                      <w:rFonts w:hint="eastAsia" w:ascii="仿宋_GB2312" w:hAnsi="宋体" w:eastAsia="仿宋_GB2312" w:cs="宋体"/>
                      <w:kern w:val="0"/>
                      <w:sz w:val="22"/>
                      <w:szCs w:val="22"/>
                    </w:rPr>
                    <w:br w:type="textWrapping"/>
                  </w:r>
                  <w:r>
                    <w:rPr>
                      <w:rFonts w:hint="eastAsia" w:ascii="仿宋_GB2312" w:hAnsi="宋体" w:eastAsia="仿宋_GB2312" w:cs="宋体"/>
                      <w:kern w:val="0"/>
                      <w:sz w:val="22"/>
                      <w:szCs w:val="22"/>
                    </w:rPr>
                    <w:t>4、其他。</w:t>
                  </w:r>
                </w:p>
              </w:tc>
              <w:tc>
                <w:tcPr>
                  <w:tcW w:w="4040" w:type="dxa"/>
                  <w:gridSpan w:val="4"/>
                  <w:tcBorders>
                    <w:top w:val="single" w:color="auto" w:sz="4" w:space="0"/>
                    <w:left w:val="nil"/>
                    <w:bottom w:val="single" w:color="auto" w:sz="4"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Layout w:type="fixed"/>
                <w:tblCellMar>
                  <w:top w:w="0" w:type="dxa"/>
                  <w:left w:w="108" w:type="dxa"/>
                  <w:bottom w:w="0" w:type="dxa"/>
                  <w:right w:w="108" w:type="dxa"/>
                </w:tblCellMar>
              </w:tblPrEx>
              <w:trPr>
                <w:trHeight w:val="1995" w:hRule="atLeast"/>
              </w:trPr>
              <w:tc>
                <w:tcPr>
                  <w:tcW w:w="680" w:type="dxa"/>
                  <w:vMerge w:val="continue"/>
                  <w:tcBorders>
                    <w:top w:val="nil"/>
                    <w:left w:val="single" w:color="auto" w:sz="8" w:space="0"/>
                    <w:bottom w:val="single" w:color="000000" w:sz="8" w:space="0"/>
                    <w:right w:val="single" w:color="auto" w:sz="4" w:space="0"/>
                  </w:tcBorders>
                  <w:noWrap w:val="0"/>
                  <w:vAlign w:val="center"/>
                </w:tcPr>
                <w:p>
                  <w:pPr>
                    <w:widowControl/>
                    <w:jc w:val="left"/>
                    <w:rPr>
                      <w:rFonts w:ascii="黑体" w:hAnsi="宋体" w:eastAsia="黑体" w:cs="宋体"/>
                      <w:kern w:val="0"/>
                      <w:sz w:val="24"/>
                    </w:rPr>
                  </w:pPr>
                </w:p>
              </w:tc>
              <w:tc>
                <w:tcPr>
                  <w:tcW w:w="1420" w:type="dxa"/>
                  <w:tcBorders>
                    <w:top w:val="nil"/>
                    <w:left w:val="nil"/>
                    <w:bottom w:val="single" w:color="auto" w:sz="8"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预算股</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审核意见</w:t>
                  </w:r>
                </w:p>
              </w:tc>
              <w:tc>
                <w:tcPr>
                  <w:tcW w:w="3500" w:type="dxa"/>
                  <w:gridSpan w:val="3"/>
                  <w:tcBorders>
                    <w:top w:val="single" w:color="auto" w:sz="4" w:space="0"/>
                    <w:left w:val="nil"/>
                    <w:bottom w:val="single" w:color="auto" w:sz="8"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1、县委、县政府已确定的项目；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2、财政待安排项目；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3、是否进入备选项目；</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4、财政项目预算资金安排可供量与完成项目绩效目标的保障度。</w:t>
                  </w:r>
                </w:p>
              </w:tc>
              <w:tc>
                <w:tcPr>
                  <w:tcW w:w="4040" w:type="dxa"/>
                  <w:gridSpan w:val="4"/>
                  <w:tcBorders>
                    <w:top w:val="single" w:color="auto" w:sz="4" w:space="0"/>
                    <w:left w:val="nil"/>
                    <w:bottom w:val="single" w:color="auto" w:sz="8" w:space="0"/>
                    <w:right w:val="single" w:color="000000" w:sz="8" w:space="0"/>
                  </w:tcBorders>
                  <w:noWrap w:val="0"/>
                  <w:vAlign w:val="bottom"/>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Layout w:type="fixed"/>
                <w:tblCellMar>
                  <w:top w:w="0" w:type="dxa"/>
                  <w:left w:w="108" w:type="dxa"/>
                  <w:bottom w:w="0" w:type="dxa"/>
                  <w:right w:w="108" w:type="dxa"/>
                </w:tblCellMar>
              </w:tblPrEx>
              <w:trPr>
                <w:trHeight w:val="615" w:hRule="atLeast"/>
              </w:trPr>
              <w:tc>
                <w:tcPr>
                  <w:tcW w:w="4300" w:type="dxa"/>
                  <w:gridSpan w:val="4"/>
                  <w:tcBorders>
                    <w:top w:val="nil"/>
                    <w:left w:val="nil"/>
                    <w:bottom w:val="nil"/>
                    <w:right w:val="nil"/>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单位负责人：</w:t>
                  </w:r>
                  <w:r>
                    <w:rPr>
                      <w:rFonts w:hint="eastAsia" w:ascii="仿宋_GB2312" w:hAnsi="宋体" w:eastAsia="仿宋_GB2312" w:cs="宋体"/>
                      <w:kern w:val="0"/>
                      <w:sz w:val="24"/>
                      <w:lang w:eastAsia="zh-CN"/>
                    </w:rPr>
                    <w:t>刘述兵</w:t>
                  </w:r>
                </w:p>
              </w:tc>
              <w:tc>
                <w:tcPr>
                  <w:tcW w:w="130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p>
              </w:tc>
              <w:tc>
                <w:tcPr>
                  <w:tcW w:w="108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填报人： </w:t>
                  </w:r>
                </w:p>
              </w:tc>
              <w:tc>
                <w:tcPr>
                  <w:tcW w:w="2960" w:type="dxa"/>
                  <w:gridSpan w:val="3"/>
                  <w:tcBorders>
                    <w:top w:val="nil"/>
                    <w:left w:val="nil"/>
                    <w:bottom w:val="nil"/>
                    <w:right w:val="nil"/>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张海岩</w:t>
                  </w:r>
                </w:p>
              </w:tc>
            </w:tr>
            <w:tr>
              <w:tblPrEx>
                <w:tblLayout w:type="fixed"/>
                <w:tblCellMar>
                  <w:top w:w="0" w:type="dxa"/>
                  <w:left w:w="108" w:type="dxa"/>
                  <w:bottom w:w="0" w:type="dxa"/>
                  <w:right w:w="108" w:type="dxa"/>
                </w:tblCellMar>
              </w:tblPrEx>
              <w:trPr>
                <w:trHeight w:val="570" w:hRule="atLeast"/>
              </w:trPr>
              <w:tc>
                <w:tcPr>
                  <w:tcW w:w="680" w:type="dxa"/>
                  <w:tcBorders>
                    <w:top w:val="nil"/>
                    <w:left w:val="nil"/>
                    <w:bottom w:val="nil"/>
                    <w:right w:val="nil"/>
                  </w:tcBorders>
                  <w:noWrap w:val="0"/>
                  <w:vAlign w:val="center"/>
                </w:tcPr>
                <w:p>
                  <w:pPr>
                    <w:widowControl/>
                    <w:jc w:val="center"/>
                    <w:rPr>
                      <w:rFonts w:ascii="仿宋_GB2312" w:hAnsi="宋体" w:eastAsia="仿宋_GB2312" w:cs="宋体"/>
                      <w:kern w:val="0"/>
                      <w:sz w:val="24"/>
                    </w:rPr>
                  </w:pPr>
                </w:p>
              </w:tc>
              <w:tc>
                <w:tcPr>
                  <w:tcW w:w="8960" w:type="dxa"/>
                  <w:gridSpan w:val="8"/>
                  <w:tcBorders>
                    <w:top w:val="nil"/>
                    <w:left w:val="nil"/>
                    <w:bottom w:val="nil"/>
                    <w:right w:val="nil"/>
                  </w:tcBorders>
                  <w:noWrap w:val="0"/>
                  <w:vAlign w:val="center"/>
                </w:tcPr>
                <w:p>
                  <w:pPr>
                    <w:widowControl/>
                    <w:jc w:val="right"/>
                    <w:rPr>
                      <w:rFonts w:ascii="仿宋_GB2312" w:hAnsi="宋体" w:eastAsia="仿宋_GB2312" w:cs="宋体"/>
                      <w:kern w:val="0"/>
                      <w:sz w:val="24"/>
                    </w:rPr>
                  </w:pPr>
                  <w:r>
                    <w:rPr>
                      <w:rFonts w:hint="eastAsia" w:ascii="仿宋_GB2312" w:hAnsi="宋体" w:eastAsia="仿宋_GB2312" w:cs="宋体"/>
                      <w:kern w:val="0"/>
                      <w:sz w:val="24"/>
                    </w:rPr>
                    <w:t>填报日期：   20</w:t>
                  </w:r>
                  <w:r>
                    <w:rPr>
                      <w:rFonts w:hint="eastAsia" w:ascii="仿宋_GB2312" w:hAnsi="宋体" w:eastAsia="仿宋_GB2312" w:cs="宋体"/>
                      <w:kern w:val="0"/>
                      <w:sz w:val="24"/>
                      <w:lang w:val="en-US" w:eastAsia="zh-CN"/>
                    </w:rPr>
                    <w:t>20</w:t>
                  </w:r>
                  <w:r>
                    <w:rPr>
                      <w:rFonts w:hint="eastAsia" w:ascii="仿宋_GB2312" w:hAnsi="宋体" w:eastAsia="仿宋_GB2312" w:cs="宋体"/>
                      <w:kern w:val="0"/>
                      <w:sz w:val="24"/>
                    </w:rPr>
                    <w:t xml:space="preserve">  年 3  月 5  日</w:t>
                  </w:r>
                </w:p>
              </w:tc>
            </w:tr>
          </w:tbl>
          <w:p/>
        </w:tc>
      </w:tr>
    </w:tbl>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rPr>
          <w:rFonts w:hint="eastAsia" w:ascii="宋体" w:hAnsi="宋体"/>
          <w:b/>
          <w:sz w:val="48"/>
          <w:szCs w:val="48"/>
        </w:rPr>
      </w:pPr>
    </w:p>
    <w:p>
      <w:pPr>
        <w:widowControl/>
        <w:shd w:val="clear" w:color="auto" w:fill="FFFFFF"/>
        <w:spacing w:line="560" w:lineRule="exact"/>
        <w:rPr>
          <w:rFonts w:hint="eastAsia" w:ascii="宋体" w:hAnsi="宋体"/>
          <w:sz w:val="32"/>
        </w:rPr>
      </w:pPr>
    </w:p>
    <w:tbl>
      <w:tblPr>
        <w:tblStyle w:val="6"/>
        <w:tblW w:w="8942" w:type="dxa"/>
        <w:tblInd w:w="97" w:type="dxa"/>
        <w:tblLayout w:type="fixed"/>
        <w:tblCellMar>
          <w:top w:w="0" w:type="dxa"/>
          <w:left w:w="108" w:type="dxa"/>
          <w:bottom w:w="0" w:type="dxa"/>
          <w:right w:w="108" w:type="dxa"/>
        </w:tblCellMar>
      </w:tblPr>
      <w:tblGrid>
        <w:gridCol w:w="846"/>
        <w:gridCol w:w="158"/>
        <w:gridCol w:w="1842"/>
        <w:gridCol w:w="284"/>
        <w:gridCol w:w="283"/>
        <w:gridCol w:w="781"/>
        <w:gridCol w:w="353"/>
        <w:gridCol w:w="284"/>
        <w:gridCol w:w="567"/>
        <w:gridCol w:w="283"/>
        <w:gridCol w:w="1276"/>
        <w:gridCol w:w="851"/>
        <w:gridCol w:w="1134"/>
      </w:tblGrid>
      <w:tr>
        <w:tblPrEx>
          <w:tblLayout w:type="fixed"/>
          <w:tblCellMar>
            <w:top w:w="0" w:type="dxa"/>
            <w:left w:w="108" w:type="dxa"/>
            <w:bottom w:w="0" w:type="dxa"/>
            <w:right w:w="108" w:type="dxa"/>
          </w:tblCellMar>
        </w:tblPrEx>
        <w:trPr>
          <w:trHeight w:val="540" w:hRule="atLeast"/>
        </w:trPr>
        <w:tc>
          <w:tcPr>
            <w:tcW w:w="8942" w:type="dxa"/>
            <w:gridSpan w:val="13"/>
            <w:tcBorders>
              <w:top w:val="nil"/>
              <w:left w:val="nil"/>
              <w:bottom w:val="nil"/>
              <w:right w:val="nil"/>
            </w:tcBorders>
            <w:noWrap w:val="0"/>
            <w:vAlign w:val="center"/>
          </w:tcPr>
          <w:p>
            <w:pPr>
              <w:widowControl/>
              <w:ind w:firstLine="2420" w:firstLineChars="550"/>
              <w:rPr>
                <w:rFonts w:hint="eastAsia" w:ascii="黑体" w:hAnsi="宋体" w:eastAsia="黑体" w:cs="宋体"/>
                <w:b/>
                <w:kern w:val="0"/>
                <w:sz w:val="44"/>
                <w:szCs w:val="44"/>
              </w:rPr>
            </w:pPr>
            <w:bookmarkStart w:id="3" w:name="RANGE!A1:H38"/>
          </w:p>
          <w:p>
            <w:pPr>
              <w:widowControl/>
              <w:ind w:firstLine="1742" w:firstLineChars="396"/>
              <w:rPr>
                <w:rFonts w:hint="eastAsia" w:ascii="黑体" w:hAnsi="宋体" w:eastAsia="黑体" w:cs="宋体"/>
                <w:b/>
                <w:kern w:val="0"/>
                <w:sz w:val="44"/>
                <w:szCs w:val="44"/>
              </w:rPr>
            </w:pPr>
            <w:r>
              <w:rPr>
                <w:rFonts w:hint="eastAsia" w:ascii="黑体" w:hAnsi="宋体" w:eastAsia="黑体" w:cs="宋体"/>
                <w:b/>
                <w:kern w:val="0"/>
                <w:sz w:val="44"/>
                <w:szCs w:val="44"/>
              </w:rPr>
              <w:t>项目资金绩效</w:t>
            </w:r>
            <w:r>
              <w:rPr>
                <w:rFonts w:hint="eastAsia" w:ascii="黑体" w:hAnsi="宋体" w:eastAsia="黑体" w:cs="宋体"/>
                <w:b/>
                <w:kern w:val="0"/>
                <w:sz w:val="44"/>
                <w:szCs w:val="44"/>
                <w:lang w:eastAsia="zh-CN"/>
              </w:rPr>
              <w:t>运行</w:t>
            </w:r>
            <w:r>
              <w:rPr>
                <w:rFonts w:hint="eastAsia" w:ascii="黑体" w:hAnsi="宋体" w:eastAsia="黑体" w:cs="宋体"/>
                <w:b/>
                <w:kern w:val="0"/>
                <w:sz w:val="44"/>
                <w:szCs w:val="44"/>
              </w:rPr>
              <w:t>监控表</w:t>
            </w:r>
            <w:bookmarkEnd w:id="3"/>
          </w:p>
        </w:tc>
      </w:tr>
      <w:tr>
        <w:tblPrEx>
          <w:tblLayout w:type="fixed"/>
          <w:tblCellMar>
            <w:top w:w="0" w:type="dxa"/>
            <w:left w:w="108" w:type="dxa"/>
            <w:bottom w:w="0" w:type="dxa"/>
            <w:right w:w="108" w:type="dxa"/>
          </w:tblCellMar>
        </w:tblPrEx>
        <w:trPr>
          <w:trHeight w:val="540" w:hRule="atLeast"/>
        </w:trPr>
        <w:tc>
          <w:tcPr>
            <w:tcW w:w="8942" w:type="dxa"/>
            <w:gridSpan w:val="13"/>
            <w:tcBorders>
              <w:top w:val="nil"/>
              <w:left w:val="nil"/>
              <w:bottom w:val="nil"/>
              <w:right w:val="nil"/>
            </w:tcBorders>
            <w:noWrap w:val="0"/>
            <w:vAlign w:val="center"/>
          </w:tcPr>
          <w:p>
            <w:pPr>
              <w:widowControl/>
              <w:jc w:val="center"/>
              <w:rPr>
                <w:rFonts w:ascii="宋体" w:hAnsi="宋体" w:cs="宋体"/>
                <w:kern w:val="0"/>
                <w:sz w:val="32"/>
                <w:szCs w:val="32"/>
              </w:rPr>
            </w:pPr>
            <w:r>
              <w:rPr>
                <w:rFonts w:hint="eastAsia" w:ascii="宋体" w:hAnsi="宋体" w:cs="宋体"/>
                <w:kern w:val="0"/>
                <w:sz w:val="32"/>
                <w:szCs w:val="32"/>
              </w:rPr>
              <w:t>（ 20</w:t>
            </w:r>
            <w:r>
              <w:rPr>
                <w:rFonts w:hint="eastAsia" w:ascii="宋体" w:hAnsi="宋体" w:cs="宋体"/>
                <w:kern w:val="0"/>
                <w:sz w:val="32"/>
                <w:szCs w:val="32"/>
                <w:lang w:val="en-US" w:eastAsia="zh-CN"/>
              </w:rPr>
              <w:t>20</w:t>
            </w:r>
            <w:r>
              <w:rPr>
                <w:rFonts w:hint="eastAsia" w:ascii="宋体" w:hAnsi="宋体" w:cs="宋体"/>
                <w:kern w:val="0"/>
                <w:sz w:val="32"/>
                <w:szCs w:val="32"/>
              </w:rPr>
              <w:t>）年度</w:t>
            </w:r>
          </w:p>
        </w:tc>
      </w:tr>
      <w:tr>
        <w:tblPrEx>
          <w:tblLayout w:type="fixed"/>
          <w:tblCellMar>
            <w:top w:w="0" w:type="dxa"/>
            <w:left w:w="108" w:type="dxa"/>
            <w:bottom w:w="0" w:type="dxa"/>
            <w:right w:w="108" w:type="dxa"/>
          </w:tblCellMar>
        </w:tblPrEx>
        <w:trPr>
          <w:trHeight w:val="828" w:hRule="atLeast"/>
        </w:trPr>
        <w:tc>
          <w:tcPr>
            <w:tcW w:w="2846"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填报单位（盖章）</w:t>
            </w:r>
          </w:p>
          <w:p>
            <w:pPr>
              <w:widowControl/>
              <w:ind w:firstLine="1080" w:firstLineChars="450"/>
              <w:jc w:val="left"/>
              <w:rPr>
                <w:rFonts w:hint="eastAsia" w:ascii="仿宋_GB2312" w:hAnsi="宋体" w:eastAsia="仿宋_GB2312" w:cs="宋体"/>
                <w:kern w:val="0"/>
                <w:sz w:val="24"/>
              </w:rPr>
            </w:pPr>
            <w:r>
              <w:rPr>
                <w:rFonts w:hint="eastAsia" w:ascii="仿宋_GB2312" w:hAnsi="宋体" w:eastAsia="仿宋_GB2312" w:cs="宋体"/>
                <w:kern w:val="0"/>
                <w:sz w:val="24"/>
              </w:rPr>
              <w:t>湘潭县看守所</w:t>
            </w:r>
          </w:p>
        </w:tc>
        <w:tc>
          <w:tcPr>
            <w:tcW w:w="284" w:type="dxa"/>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1417"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4395" w:type="dxa"/>
            <w:gridSpan w:val="6"/>
            <w:tcBorders>
              <w:top w:val="nil"/>
              <w:left w:val="nil"/>
              <w:bottom w:val="nil"/>
              <w:right w:val="nil"/>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跟踪期限：1-12月份</w:t>
            </w:r>
          </w:p>
        </w:tc>
      </w:tr>
      <w:tr>
        <w:tblPrEx>
          <w:tblLayout w:type="fixed"/>
          <w:tblCellMar>
            <w:top w:w="0" w:type="dxa"/>
            <w:left w:w="108" w:type="dxa"/>
            <w:bottom w:w="0" w:type="dxa"/>
            <w:right w:w="108" w:type="dxa"/>
          </w:tblCellMar>
        </w:tblPrEx>
        <w:trPr>
          <w:trHeight w:val="467" w:hRule="atLeast"/>
        </w:trPr>
        <w:tc>
          <w:tcPr>
            <w:tcW w:w="846" w:type="dxa"/>
            <w:vMerge w:val="restart"/>
            <w:tcBorders>
              <w:top w:val="single" w:color="auto" w:sz="8" w:space="0"/>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 xml:space="preserve"> 基本情况 </w:t>
            </w:r>
          </w:p>
        </w:tc>
        <w:tc>
          <w:tcPr>
            <w:tcW w:w="2000" w:type="dxa"/>
            <w:gridSpan w:val="2"/>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项目名称 </w:t>
            </w:r>
          </w:p>
        </w:tc>
        <w:tc>
          <w:tcPr>
            <w:tcW w:w="1701" w:type="dxa"/>
            <w:gridSpan w:val="4"/>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sz w:val="24"/>
              </w:rPr>
              <w:t>看守所专项经费</w:t>
            </w:r>
            <w:r>
              <w:rPr>
                <w:rFonts w:hint="eastAsia" w:ascii="仿宋_GB2312" w:hAnsi="宋体" w:eastAsia="仿宋_GB2312" w:cs="宋体"/>
                <w:kern w:val="0"/>
                <w:sz w:val="24"/>
              </w:rPr>
              <w:t>　</w:t>
            </w:r>
          </w:p>
        </w:tc>
        <w:tc>
          <w:tcPr>
            <w:tcW w:w="2410" w:type="dxa"/>
            <w:gridSpan w:val="4"/>
            <w:tcBorders>
              <w:top w:val="single" w:color="auto" w:sz="8"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项目起止时间</w:t>
            </w:r>
          </w:p>
        </w:tc>
        <w:tc>
          <w:tcPr>
            <w:tcW w:w="1985" w:type="dxa"/>
            <w:gridSpan w:val="2"/>
            <w:tcBorders>
              <w:top w:val="single" w:color="auto" w:sz="8"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sz w:val="24"/>
              </w:rPr>
              <w:t>20</w:t>
            </w:r>
            <w:r>
              <w:rPr>
                <w:rFonts w:hint="eastAsia" w:ascii="仿宋_GB2312" w:hAnsi="宋体" w:eastAsia="仿宋_GB2312"/>
                <w:sz w:val="24"/>
                <w:lang w:val="en-US" w:eastAsia="zh-CN"/>
              </w:rPr>
              <w:t>20</w:t>
            </w:r>
            <w:r>
              <w:rPr>
                <w:rFonts w:hint="eastAsia" w:ascii="仿宋_GB2312" w:hAnsi="宋体" w:eastAsia="仿宋_GB2312"/>
                <w:sz w:val="24"/>
              </w:rPr>
              <w:t>年1月—12月</w:t>
            </w: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547"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预算安排资金（万元） </w:t>
            </w:r>
          </w:p>
        </w:tc>
        <w:tc>
          <w:tcPr>
            <w:tcW w:w="17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450</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8185</w:t>
            </w:r>
            <w:r>
              <w:rPr>
                <w:rFonts w:hint="eastAsia" w:ascii="仿宋_GB2312" w:hAnsi="宋体" w:eastAsia="仿宋_GB2312" w:cs="宋体"/>
                <w:kern w:val="0"/>
                <w:sz w:val="24"/>
              </w:rPr>
              <w:t>　</w:t>
            </w:r>
          </w:p>
        </w:tc>
        <w:tc>
          <w:tcPr>
            <w:tcW w:w="241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功能科目编码及名称</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553"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项目实施单位 </w:t>
            </w:r>
          </w:p>
        </w:tc>
        <w:tc>
          <w:tcPr>
            <w:tcW w:w="17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湘潭县看守所　</w:t>
            </w:r>
          </w:p>
        </w:tc>
        <w:tc>
          <w:tcPr>
            <w:tcW w:w="241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主管部门</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湘潭县公安局　</w:t>
            </w:r>
          </w:p>
        </w:tc>
      </w:tr>
      <w:tr>
        <w:tblPrEx>
          <w:tblLayout w:type="fixed"/>
          <w:tblCellMar>
            <w:top w:w="0" w:type="dxa"/>
            <w:left w:w="108" w:type="dxa"/>
            <w:bottom w:w="0" w:type="dxa"/>
            <w:right w:w="108" w:type="dxa"/>
          </w:tblCellMar>
        </w:tblPrEx>
        <w:trPr>
          <w:trHeight w:val="541"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项目属性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□新增项目             √  □延续项目</w:t>
            </w:r>
          </w:p>
        </w:tc>
      </w:tr>
      <w:tr>
        <w:tblPrEx>
          <w:tblLayout w:type="fixed"/>
          <w:tblCellMar>
            <w:top w:w="0" w:type="dxa"/>
            <w:left w:w="108" w:type="dxa"/>
            <w:bottom w:w="0" w:type="dxa"/>
            <w:right w:w="108" w:type="dxa"/>
          </w:tblCellMar>
        </w:tblPrEx>
        <w:trPr>
          <w:trHeight w:val="555"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项目概况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sz w:val="24"/>
              </w:rPr>
              <w:t>看守所专项工作经费</w:t>
            </w:r>
            <w:r>
              <w:rPr>
                <w:rFonts w:hint="eastAsia" w:ascii="仿宋_GB2312" w:hAnsi="宋体" w:eastAsia="仿宋_GB2312" w:cs="宋体"/>
                <w:kern w:val="0"/>
                <w:sz w:val="24"/>
                <w:lang w:val="en-US" w:eastAsia="zh-CN"/>
              </w:rPr>
              <w:t>450</w:t>
            </w:r>
            <w:r>
              <w:rPr>
                <w:rFonts w:hint="eastAsia" w:ascii="仿宋_GB2312" w:hAnsi="宋体" w:eastAsia="仿宋_GB2312" w:cs="宋体"/>
                <w:kern w:val="0"/>
                <w:sz w:val="24"/>
              </w:rPr>
              <w:t>.</w:t>
            </w:r>
            <w:r>
              <w:rPr>
                <w:rFonts w:hint="eastAsia" w:ascii="仿宋_GB2312" w:hAnsi="宋体" w:eastAsia="仿宋_GB2312" w:cs="宋体"/>
                <w:kern w:val="0"/>
                <w:sz w:val="24"/>
                <w:lang w:val="en-US" w:eastAsia="zh-CN"/>
              </w:rPr>
              <w:t>8185</w:t>
            </w:r>
            <w:r>
              <w:rPr>
                <w:rFonts w:hint="eastAsia" w:ascii="仿宋_GB2312" w:hAnsi="宋体" w:eastAsia="仿宋_GB2312" w:cs="宋体"/>
                <w:kern w:val="0"/>
                <w:sz w:val="24"/>
              </w:rPr>
              <w:t>万元</w:t>
            </w:r>
          </w:p>
        </w:tc>
      </w:tr>
      <w:tr>
        <w:tblPrEx>
          <w:tblLayout w:type="fixed"/>
          <w:tblCellMar>
            <w:top w:w="0" w:type="dxa"/>
            <w:left w:w="108" w:type="dxa"/>
            <w:bottom w:w="0" w:type="dxa"/>
            <w:right w:w="108" w:type="dxa"/>
          </w:tblCellMar>
        </w:tblPrEx>
        <w:trPr>
          <w:trHeight w:val="820" w:hRule="atLeast"/>
        </w:trPr>
        <w:tc>
          <w:tcPr>
            <w:tcW w:w="846"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00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xml:space="preserve"> 项目调整 </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ind w:firstLine="240" w:firstLineChars="100"/>
              <w:jc w:val="left"/>
              <w:rPr>
                <w:rFonts w:hint="eastAsia" w:ascii="仿宋_GB2312" w:hAnsi="宋体" w:eastAsia="仿宋_GB2312" w:cs="宋体"/>
                <w:kern w:val="0"/>
                <w:sz w:val="24"/>
              </w:rPr>
            </w:pPr>
            <w:r>
              <w:rPr>
                <w:rFonts w:hint="eastAsia" w:ascii="仿宋_GB2312" w:hAnsi="宋体" w:eastAsia="仿宋_GB2312" w:cs="宋体"/>
                <w:kern w:val="0"/>
                <w:sz w:val="24"/>
              </w:rPr>
              <w:t>□项目调整后金额          万元                                                √□项目未调整</w:t>
            </w:r>
          </w:p>
        </w:tc>
      </w:tr>
      <w:tr>
        <w:tblPrEx>
          <w:tblLayout w:type="fixed"/>
          <w:tblCellMar>
            <w:top w:w="0" w:type="dxa"/>
            <w:left w:w="108" w:type="dxa"/>
            <w:bottom w:w="0" w:type="dxa"/>
            <w:right w:w="108" w:type="dxa"/>
          </w:tblCellMar>
        </w:tblPrEx>
        <w:trPr>
          <w:trHeight w:val="627" w:hRule="atLeast"/>
        </w:trPr>
        <w:tc>
          <w:tcPr>
            <w:tcW w:w="846" w:type="dxa"/>
            <w:vMerge w:val="restart"/>
            <w:tcBorders>
              <w:top w:val="nil"/>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项目组织管理情况</w:t>
            </w: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是否实施招投标</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360" w:firstLineChars="1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639"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是否实施政府采购</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691"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是否实行合同管理制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360" w:firstLineChars="150"/>
              <w:rPr>
                <w:rFonts w:hint="eastAsia" w:ascii="仿宋_GB2312" w:hAnsi="宋体" w:eastAsia="仿宋_GB2312" w:cs="宋体"/>
                <w:kern w:val="0"/>
                <w:sz w:val="24"/>
              </w:rPr>
            </w:pPr>
            <w:r>
              <w:rPr>
                <w:rFonts w:hint="eastAsia" w:ascii="仿宋_GB2312" w:hAnsi="宋体" w:eastAsia="仿宋_GB2312" w:cs="宋体"/>
                <w:kern w:val="0"/>
                <w:sz w:val="24"/>
              </w:rPr>
              <w:t>□是　　    □否　　    √ □无该项内容</w:t>
            </w:r>
          </w:p>
        </w:tc>
      </w:tr>
      <w:tr>
        <w:tblPrEx>
          <w:tblLayout w:type="fixed"/>
          <w:tblCellMar>
            <w:top w:w="0" w:type="dxa"/>
            <w:left w:w="108" w:type="dxa"/>
            <w:bottom w:w="0" w:type="dxa"/>
            <w:right w:w="108" w:type="dxa"/>
          </w:tblCellMar>
        </w:tblPrEx>
        <w:trPr>
          <w:trHeight w:val="557"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nil"/>
              <w:right w:val="single" w:color="000000"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是否进行了专账独立核算</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712"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nil"/>
              <w:right w:val="single" w:color="000000"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是否采取了信息公示制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ind w:firstLine="120" w:firstLineChars="50"/>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550"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有无竣工验收制度</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689"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是否制定或具有相应的监控机制</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rPr>
                <w:rFonts w:hint="eastAsia" w:ascii="仿宋_GB2312" w:hAnsi="宋体" w:eastAsia="仿宋_GB2312" w:cs="宋体"/>
                <w:kern w:val="0"/>
                <w:sz w:val="24"/>
              </w:rPr>
            </w:pPr>
            <w:r>
              <w:rPr>
                <w:rFonts w:hint="eastAsia" w:ascii="仿宋_GB2312" w:hAnsi="宋体" w:eastAsia="仿宋_GB2312" w:cs="宋体"/>
                <w:kern w:val="0"/>
                <w:sz w:val="24"/>
              </w:rPr>
              <w:t>√□是　　     □否　　       □无该项内容</w:t>
            </w:r>
          </w:p>
        </w:tc>
      </w:tr>
      <w:tr>
        <w:tblPrEx>
          <w:tblLayout w:type="fixed"/>
          <w:tblCellMar>
            <w:top w:w="0" w:type="dxa"/>
            <w:left w:w="108" w:type="dxa"/>
            <w:bottom w:w="0" w:type="dxa"/>
            <w:right w:w="108" w:type="dxa"/>
          </w:tblCellMar>
        </w:tblPrEx>
        <w:trPr>
          <w:trHeight w:val="1746" w:hRule="atLeast"/>
        </w:trPr>
        <w:tc>
          <w:tcPr>
            <w:tcW w:w="846" w:type="dxa"/>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28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单位已有的（或拟订的）保证项目实施的制度</w:t>
            </w:r>
          </w:p>
        </w:tc>
        <w:tc>
          <w:tcPr>
            <w:tcW w:w="5812" w:type="dxa"/>
            <w:gridSpan w:val="9"/>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√□专项资金管理办法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√□项目实施管理办法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√□专项资金绩效评价办法</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√□项目实施细则</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√□岗位责任制度</w:t>
            </w:r>
          </w:p>
        </w:tc>
      </w:tr>
      <w:tr>
        <w:tblPrEx>
          <w:tblLayout w:type="fixed"/>
          <w:tblCellMar>
            <w:top w:w="0" w:type="dxa"/>
            <w:left w:w="108" w:type="dxa"/>
            <w:bottom w:w="0" w:type="dxa"/>
            <w:right w:w="108" w:type="dxa"/>
          </w:tblCellMar>
        </w:tblPrEx>
        <w:trPr>
          <w:trHeight w:val="499" w:hRule="atLeast"/>
        </w:trPr>
        <w:tc>
          <w:tcPr>
            <w:tcW w:w="8942" w:type="dxa"/>
            <w:gridSpan w:val="13"/>
            <w:tcBorders>
              <w:top w:val="single" w:color="auto" w:sz="4" w:space="0"/>
              <w:left w:val="single" w:color="auto" w:sz="8" w:space="0"/>
              <w:bottom w:val="single" w:color="auto" w:sz="4" w:space="0"/>
              <w:right w:val="single" w:color="000000"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项  目  执  行  情  况</w:t>
            </w:r>
          </w:p>
        </w:tc>
      </w:tr>
      <w:tr>
        <w:tblPrEx>
          <w:tblLayout w:type="fixed"/>
          <w:tblCellMar>
            <w:top w:w="0" w:type="dxa"/>
            <w:left w:w="108" w:type="dxa"/>
            <w:bottom w:w="0" w:type="dxa"/>
            <w:right w:w="108" w:type="dxa"/>
          </w:tblCellMar>
        </w:tblPrEx>
        <w:trPr>
          <w:trHeight w:val="762" w:hRule="atLeast"/>
        </w:trPr>
        <w:tc>
          <w:tcPr>
            <w:tcW w:w="1004" w:type="dxa"/>
            <w:gridSpan w:val="2"/>
            <w:vMerge w:val="restart"/>
            <w:tcBorders>
              <w:top w:val="nil"/>
              <w:left w:val="single" w:color="auto" w:sz="8" w:space="0"/>
              <w:bottom w:val="single" w:color="000000"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（万元）</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资金安排使用情况</w:t>
            </w: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已到位资金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到位率</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实际支出资金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支出实现率</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结余资金</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（万元）</w:t>
            </w:r>
          </w:p>
        </w:tc>
      </w:tr>
      <w:tr>
        <w:tblPrEx>
          <w:tblLayout w:type="fixed"/>
          <w:tblCellMar>
            <w:top w:w="0" w:type="dxa"/>
            <w:left w:w="108" w:type="dxa"/>
            <w:bottom w:w="0" w:type="dxa"/>
            <w:right w:w="108" w:type="dxa"/>
          </w:tblCellMar>
        </w:tblPrEx>
        <w:trPr>
          <w:trHeight w:val="439"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资金总额 (=1+2+3)</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45</w:t>
            </w:r>
            <w:r>
              <w:rPr>
                <w:rFonts w:hint="eastAsia" w:ascii="仿宋_GB2312" w:hAnsi="宋体" w:eastAsia="仿宋_GB2312" w:cs="宋体"/>
                <w:kern w:val="0"/>
                <w:sz w:val="24"/>
              </w:rPr>
              <w:t>0.</w:t>
            </w:r>
            <w:r>
              <w:rPr>
                <w:rFonts w:hint="eastAsia" w:ascii="仿宋_GB2312" w:hAnsi="宋体" w:eastAsia="仿宋_GB2312" w:cs="宋体"/>
                <w:kern w:val="0"/>
                <w:sz w:val="24"/>
                <w:lang w:val="en-US" w:eastAsia="zh-CN"/>
              </w:rPr>
              <w:t>8185</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450.8185</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Layout w:type="fixed"/>
          <w:tblCellMar>
            <w:top w:w="0" w:type="dxa"/>
            <w:left w:w="108" w:type="dxa"/>
            <w:bottom w:w="0" w:type="dxa"/>
            <w:right w:w="108" w:type="dxa"/>
          </w:tblCellMar>
        </w:tblPrEx>
        <w:trPr>
          <w:trHeight w:val="357"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其中：1.财政拨款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val="en-US" w:eastAsia="zh-CN"/>
              </w:rPr>
              <w:t>376.1602</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376.1602</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Layout w:type="fixed"/>
          <w:tblCellMar>
            <w:top w:w="0" w:type="dxa"/>
            <w:left w:w="108" w:type="dxa"/>
            <w:bottom w:w="0" w:type="dxa"/>
            <w:right w:w="108" w:type="dxa"/>
          </w:tblCellMar>
        </w:tblPrEx>
        <w:trPr>
          <w:trHeight w:val="334"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2.自有资金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4.6583</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4.6583</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r>
      <w:tr>
        <w:tblPrEx>
          <w:tblLayout w:type="fixed"/>
          <w:tblCellMar>
            <w:top w:w="0" w:type="dxa"/>
            <w:left w:w="108" w:type="dxa"/>
            <w:bottom w:w="0" w:type="dxa"/>
            <w:right w:w="108" w:type="dxa"/>
          </w:tblCellMar>
        </w:tblPrEx>
        <w:trPr>
          <w:trHeight w:val="463"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其中:事业收入</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276"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经营性收入</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268"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其他</w:t>
            </w:r>
          </w:p>
        </w:tc>
        <w:tc>
          <w:tcPr>
            <w:tcW w:w="1418" w:type="dxa"/>
            <w:gridSpan w:val="3"/>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850" w:type="dxa"/>
            <w:gridSpan w:val="2"/>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p>
        </w:tc>
        <w:tc>
          <w:tcPr>
            <w:tcW w:w="851" w:type="dxa"/>
            <w:tcBorders>
              <w:top w:val="nil"/>
              <w:left w:val="nil"/>
              <w:bottom w:val="single" w:color="auto" w:sz="4" w:space="0"/>
              <w:right w:val="single" w:color="auto" w:sz="4" w:space="0"/>
            </w:tcBorders>
            <w:noWrap w:val="0"/>
            <w:vAlign w:val="bottom"/>
          </w:tcPr>
          <w:p>
            <w:pPr>
              <w:widowControl/>
              <w:jc w:val="center"/>
              <w:rPr>
                <w:rFonts w:hint="eastAsia" w:ascii="仿宋_GB2312" w:hAnsi="宋体" w:eastAsia="仿宋_GB2312" w:cs="宋体"/>
                <w:kern w:val="0"/>
                <w:sz w:val="24"/>
              </w:rPr>
            </w:pPr>
          </w:p>
        </w:tc>
        <w:tc>
          <w:tcPr>
            <w:tcW w:w="1134" w:type="dxa"/>
            <w:tcBorders>
              <w:top w:val="nil"/>
              <w:left w:val="nil"/>
              <w:bottom w:val="single" w:color="auto" w:sz="4" w:space="0"/>
              <w:right w:val="single" w:color="auto" w:sz="8" w:space="0"/>
            </w:tcBorders>
            <w:noWrap w:val="0"/>
            <w:vAlign w:val="bottom"/>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380"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2409"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3.其他 </w:t>
            </w:r>
          </w:p>
        </w:tc>
        <w:tc>
          <w:tcPr>
            <w:tcW w:w="1418"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70</w:t>
            </w:r>
          </w:p>
        </w:tc>
        <w:tc>
          <w:tcPr>
            <w:tcW w:w="850"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100%</w:t>
            </w:r>
          </w:p>
        </w:tc>
        <w:tc>
          <w:tcPr>
            <w:tcW w:w="1276"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73.91</w:t>
            </w:r>
          </w:p>
        </w:tc>
        <w:tc>
          <w:tcPr>
            <w:tcW w:w="851" w:type="dxa"/>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rPr>
              <w:t>76.3%</w:t>
            </w:r>
          </w:p>
        </w:tc>
        <w:tc>
          <w:tcPr>
            <w:tcW w:w="1134" w:type="dxa"/>
            <w:tcBorders>
              <w:top w:val="nil"/>
              <w:left w:val="nil"/>
              <w:bottom w:val="single" w:color="auto" w:sz="4" w:space="0"/>
              <w:right w:val="single" w:color="auto"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18.2630</w:t>
            </w:r>
          </w:p>
        </w:tc>
      </w:tr>
      <w:tr>
        <w:tblPrEx>
          <w:tblLayout w:type="fixed"/>
          <w:tblCellMar>
            <w:top w:w="0" w:type="dxa"/>
            <w:left w:w="108" w:type="dxa"/>
            <w:bottom w:w="0" w:type="dxa"/>
            <w:right w:w="108" w:type="dxa"/>
          </w:tblCellMar>
        </w:tblPrEx>
        <w:trPr>
          <w:trHeight w:val="1020" w:hRule="atLeast"/>
        </w:trPr>
        <w:tc>
          <w:tcPr>
            <w:tcW w:w="1004" w:type="dxa"/>
            <w:gridSpan w:val="2"/>
            <w:vMerge w:val="continue"/>
            <w:tcBorders>
              <w:top w:val="nil"/>
              <w:left w:val="single" w:color="auto" w:sz="8" w:space="0"/>
              <w:bottom w:val="single" w:color="000000"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7938" w:type="dxa"/>
            <w:gridSpan w:val="11"/>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公式： </w:t>
            </w:r>
            <w:r>
              <w:rPr>
                <w:rFonts w:hint="eastAsia" w:ascii="仿宋_GB2312" w:hAnsi="宋体" w:eastAsia="仿宋_GB2312" w:cs="Courier New"/>
                <w:kern w:val="0"/>
                <w:sz w:val="24"/>
              </w:rPr>
              <w:t>（1）到位率=已到位资金/预算安排资金*100%；</w:t>
            </w: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（2）支出实现率=实际支出资金/已到位资金*100%；</w:t>
            </w: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（3）结余资金=上年结转+已到位资金-实际支出资金。</w:t>
            </w:r>
          </w:p>
        </w:tc>
      </w:tr>
      <w:tr>
        <w:tblPrEx>
          <w:tblLayout w:type="fixed"/>
          <w:tblCellMar>
            <w:top w:w="0" w:type="dxa"/>
            <w:left w:w="108" w:type="dxa"/>
            <w:bottom w:w="0" w:type="dxa"/>
            <w:right w:w="108" w:type="dxa"/>
          </w:tblCellMar>
        </w:tblPrEx>
        <w:trPr>
          <w:trHeight w:val="499" w:hRule="atLeast"/>
        </w:trPr>
        <w:tc>
          <w:tcPr>
            <w:tcW w:w="1004" w:type="dxa"/>
            <w:gridSpan w:val="2"/>
            <w:vMerge w:val="restart"/>
            <w:tcBorders>
              <w:top w:val="nil"/>
              <w:left w:val="single" w:color="auto" w:sz="8" w:space="0"/>
              <w:bottom w:val="single" w:color="auto" w:sz="4" w:space="0"/>
              <w:right w:val="single" w:color="auto" w:sz="4" w:space="0"/>
            </w:tcBorders>
            <w:noWrap w:val="0"/>
            <w:textDirection w:val="tbRlV"/>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（定量指标）</w:t>
            </w:r>
            <w:r>
              <w:rPr>
                <w:rFonts w:hint="eastAsia" w:ascii="仿宋_GB2312" w:hAnsi="宋体" w:eastAsia="仿宋_GB2312" w:cs="宋体"/>
                <w:b/>
                <w:bCs/>
                <w:kern w:val="0"/>
                <w:sz w:val="24"/>
              </w:rPr>
              <w:br w:type="textWrapping"/>
            </w:r>
            <w:r>
              <w:rPr>
                <w:rFonts w:hint="eastAsia" w:ascii="仿宋_GB2312" w:hAnsi="宋体" w:eastAsia="仿宋_GB2312" w:cs="宋体"/>
                <w:b/>
                <w:bCs/>
                <w:kern w:val="0"/>
                <w:sz w:val="24"/>
              </w:rPr>
              <w:t>项目年度绩效目标完成情况</w:t>
            </w: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主要绩效目标内容</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绩效目标值</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目标完成情况</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完成率</w:t>
            </w:r>
          </w:p>
        </w:tc>
      </w:tr>
      <w:tr>
        <w:tblPrEx>
          <w:tblLayout w:type="fixed"/>
          <w:tblCellMar>
            <w:top w:w="0" w:type="dxa"/>
            <w:left w:w="108" w:type="dxa"/>
            <w:bottom w:w="0" w:type="dxa"/>
            <w:right w:w="108" w:type="dxa"/>
          </w:tblCellMar>
        </w:tblPrEx>
        <w:trPr>
          <w:trHeight w:val="720"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1、人犯给养费</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53.6</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Cs w:val="21"/>
                <w:lang w:val="en-US" w:eastAsia="zh-CN"/>
              </w:rPr>
              <w:t>153.6</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lang w:val="en-US" w:eastAsia="zh-CN"/>
              </w:rPr>
              <w:t>100</w:t>
            </w:r>
            <w:r>
              <w:rPr>
                <w:rFonts w:hint="eastAsia" w:ascii="仿宋_GB2312" w:hAnsi="宋体" w:eastAsia="仿宋_GB2312" w:cs="Courier New"/>
                <w:kern w:val="0"/>
                <w:sz w:val="24"/>
              </w:rPr>
              <w:t>%</w:t>
            </w:r>
          </w:p>
        </w:tc>
      </w:tr>
      <w:tr>
        <w:tblPrEx>
          <w:tblLayout w:type="fixed"/>
          <w:tblCellMar>
            <w:top w:w="0" w:type="dxa"/>
            <w:left w:w="108" w:type="dxa"/>
            <w:bottom w:w="0" w:type="dxa"/>
            <w:right w:w="108" w:type="dxa"/>
          </w:tblCellMar>
        </w:tblPrEx>
        <w:trPr>
          <w:trHeight w:val="434"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宋体" w:eastAsia="仿宋_GB2312" w:cs="宋体"/>
                <w:kern w:val="0"/>
                <w:sz w:val="24"/>
                <w:lang w:eastAsia="zh-CN"/>
              </w:rPr>
              <w:t>商品和服务支出</w:t>
            </w:r>
          </w:p>
        </w:tc>
        <w:tc>
          <w:tcPr>
            <w:tcW w:w="1204" w:type="dxa"/>
            <w:gridSpan w:val="3"/>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lang w:val="en-US" w:eastAsia="zh-CN"/>
              </w:rPr>
              <w:t>297.2185</w:t>
            </w:r>
          </w:p>
        </w:tc>
        <w:tc>
          <w:tcPr>
            <w:tcW w:w="1559" w:type="dxa"/>
            <w:gridSpan w:val="2"/>
            <w:tcBorders>
              <w:top w:val="nil"/>
              <w:left w:val="nil"/>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color w:val="333333"/>
                <w:kern w:val="0"/>
                <w:szCs w:val="21"/>
                <w:lang w:val="en-US" w:eastAsia="zh-CN"/>
              </w:rPr>
              <w:t>278.9555</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Courier New"/>
                <w:kern w:val="0"/>
                <w:sz w:val="24"/>
                <w:lang w:val="en-US" w:eastAsia="zh-CN"/>
              </w:rPr>
              <w:t>93.85</w:t>
            </w:r>
            <w:r>
              <w:rPr>
                <w:rFonts w:hint="eastAsia" w:ascii="仿宋_GB2312" w:hAnsi="宋体" w:eastAsia="仿宋_GB2312" w:cs="Courier New"/>
                <w:kern w:val="0"/>
                <w:sz w:val="24"/>
              </w:rPr>
              <w:t>%</w:t>
            </w:r>
          </w:p>
        </w:tc>
      </w:tr>
      <w:tr>
        <w:tblPrEx>
          <w:tblLayout w:type="fixed"/>
          <w:tblCellMar>
            <w:top w:w="0" w:type="dxa"/>
            <w:left w:w="108" w:type="dxa"/>
            <w:bottom w:w="0" w:type="dxa"/>
            <w:right w:w="108" w:type="dxa"/>
          </w:tblCellMar>
        </w:tblPrEx>
        <w:trPr>
          <w:trHeight w:val="412"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3、</w:t>
            </w:r>
          </w:p>
        </w:tc>
        <w:tc>
          <w:tcPr>
            <w:tcW w:w="1204" w:type="dxa"/>
            <w:gridSpan w:val="3"/>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p>
        </w:tc>
      </w:tr>
      <w:tr>
        <w:tblPrEx>
          <w:tblLayout w:type="fixed"/>
          <w:tblCellMar>
            <w:top w:w="0" w:type="dxa"/>
            <w:left w:w="108" w:type="dxa"/>
            <w:bottom w:w="0" w:type="dxa"/>
            <w:right w:w="108" w:type="dxa"/>
          </w:tblCellMar>
        </w:tblPrEx>
        <w:trPr>
          <w:trHeight w:val="418"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4、</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09"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5、</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415" w:hRule="atLeast"/>
        </w:trPr>
        <w:tc>
          <w:tcPr>
            <w:tcW w:w="1004" w:type="dxa"/>
            <w:gridSpan w:val="2"/>
            <w:vMerge w:val="continue"/>
            <w:tcBorders>
              <w:top w:val="nil"/>
              <w:left w:val="single" w:color="auto" w:sz="8" w:space="0"/>
              <w:bottom w:val="single" w:color="auto" w:sz="4" w:space="0"/>
              <w:right w:val="single" w:color="auto" w:sz="4" w:space="0"/>
            </w:tcBorders>
            <w:noWrap w:val="0"/>
            <w:vAlign w:val="center"/>
          </w:tcPr>
          <w:p>
            <w:pPr>
              <w:widowControl/>
              <w:jc w:val="left"/>
              <w:rPr>
                <w:rFonts w:hint="eastAsia" w:ascii="仿宋_GB2312" w:hAnsi="宋体" w:eastAsia="仿宋_GB2312" w:cs="宋体"/>
                <w:b/>
                <w:bCs/>
                <w:kern w:val="0"/>
                <w:sz w:val="24"/>
              </w:rPr>
            </w:pPr>
          </w:p>
        </w:tc>
        <w:tc>
          <w:tcPr>
            <w:tcW w:w="3190"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w:t>
            </w:r>
          </w:p>
        </w:tc>
        <w:tc>
          <w:tcPr>
            <w:tcW w:w="1204" w:type="dxa"/>
            <w:gridSpan w:val="3"/>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559" w:type="dxa"/>
            <w:gridSpan w:val="2"/>
            <w:tcBorders>
              <w:top w:val="nil"/>
              <w:left w:val="nil"/>
              <w:bottom w:val="single" w:color="auto" w:sz="4" w:space="0"/>
              <w:right w:val="single" w:color="auto" w:sz="4" w:space="0"/>
            </w:tcBorders>
            <w:noWrap w:val="0"/>
            <w:vAlign w:val="bottom"/>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w:t>
            </w:r>
          </w:p>
        </w:tc>
        <w:tc>
          <w:tcPr>
            <w:tcW w:w="1985" w:type="dxa"/>
            <w:gridSpan w:val="2"/>
            <w:tcBorders>
              <w:top w:val="single" w:color="auto" w:sz="4" w:space="0"/>
              <w:left w:val="nil"/>
              <w:bottom w:val="single" w:color="auto" w:sz="4" w:space="0"/>
              <w:right w:val="single" w:color="000000" w:sz="8" w:space="0"/>
            </w:tcBorders>
            <w:noWrap w:val="0"/>
            <w:vAlign w:val="center"/>
          </w:tcPr>
          <w:p>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　</w:t>
            </w:r>
          </w:p>
        </w:tc>
      </w:tr>
      <w:tr>
        <w:tblPrEx>
          <w:tblLayout w:type="fixed"/>
          <w:tblCellMar>
            <w:top w:w="0" w:type="dxa"/>
            <w:left w:w="108" w:type="dxa"/>
            <w:bottom w:w="0" w:type="dxa"/>
            <w:right w:w="108" w:type="dxa"/>
          </w:tblCellMar>
        </w:tblPrEx>
        <w:trPr>
          <w:trHeight w:val="721" w:hRule="atLeast"/>
        </w:trPr>
        <w:tc>
          <w:tcPr>
            <w:tcW w:w="2846" w:type="dxa"/>
            <w:gridSpan w:val="3"/>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存在的主要问题及绩效目标出现偏差的原因</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Courier New"/>
                <w:kern w:val="0"/>
                <w:sz w:val="24"/>
              </w:rPr>
              <w:t>1、20</w:t>
            </w:r>
            <w:r>
              <w:rPr>
                <w:rFonts w:hint="eastAsia" w:ascii="仿宋_GB2312" w:hAnsi="宋体" w:eastAsia="仿宋_GB2312" w:cs="Courier New"/>
                <w:kern w:val="0"/>
                <w:sz w:val="24"/>
                <w:lang w:val="en-US" w:eastAsia="zh-CN"/>
              </w:rPr>
              <w:t>20</w:t>
            </w:r>
            <w:r>
              <w:rPr>
                <w:rFonts w:hint="eastAsia" w:ascii="仿宋_GB2312" w:hAnsi="宋体" w:eastAsia="仿宋_GB2312" w:cs="Courier New"/>
                <w:kern w:val="0"/>
                <w:sz w:val="24"/>
              </w:rPr>
              <w:t>年绩效目标申报仅对预算的</w:t>
            </w:r>
            <w:r>
              <w:rPr>
                <w:rFonts w:hint="eastAsia" w:ascii="仿宋_GB2312" w:hAnsi="宋体" w:eastAsia="仿宋_GB2312" w:cs="Courier New"/>
                <w:kern w:val="0"/>
                <w:sz w:val="24"/>
                <w:lang w:val="en-US" w:eastAsia="zh-CN"/>
              </w:rPr>
              <w:t>355</w:t>
            </w:r>
            <w:r>
              <w:rPr>
                <w:rFonts w:hint="eastAsia" w:ascii="仿宋_GB2312" w:hAnsi="宋体" w:eastAsia="仿宋_GB2312" w:cs="Courier New"/>
                <w:kern w:val="0"/>
                <w:sz w:val="24"/>
              </w:rPr>
              <w:t>万元进行申报，因而</w:t>
            </w:r>
            <w:r>
              <w:rPr>
                <w:rFonts w:hint="eastAsia" w:ascii="仿宋_GB2312" w:hAnsi="宋体" w:eastAsia="仿宋_GB2312" w:cs="宋体"/>
                <w:kern w:val="0"/>
                <w:sz w:val="24"/>
              </w:rPr>
              <w:t>专项工作经费支出产生了偏差；</w:t>
            </w:r>
          </w:p>
          <w:p>
            <w:pPr>
              <w:widowControl/>
              <w:jc w:val="left"/>
              <w:rPr>
                <w:rFonts w:hint="eastAsia" w:ascii="仿宋_GB2312" w:hAnsi="宋体" w:eastAsia="仿宋_GB2312" w:cs="Courier New"/>
                <w:kern w:val="0"/>
                <w:sz w:val="24"/>
              </w:rPr>
            </w:pPr>
            <w:r>
              <w:rPr>
                <w:rFonts w:hint="eastAsia" w:ascii="仿宋_GB2312" w:hAnsi="宋体" w:eastAsia="仿宋_GB2312" w:cs="宋体"/>
                <w:kern w:val="0"/>
                <w:sz w:val="24"/>
              </w:rPr>
              <w:t>2、本着厉行节约原则，规范支出，紧缩开支，因而部份支出减少。应合理控制成本</w:t>
            </w:r>
          </w:p>
        </w:tc>
      </w:tr>
      <w:tr>
        <w:tblPrEx>
          <w:tblLayout w:type="fixed"/>
          <w:tblCellMar>
            <w:top w:w="0" w:type="dxa"/>
            <w:left w:w="108" w:type="dxa"/>
            <w:bottom w:w="0" w:type="dxa"/>
            <w:right w:w="108" w:type="dxa"/>
          </w:tblCellMar>
        </w:tblPrEx>
        <w:trPr>
          <w:trHeight w:val="831" w:hRule="atLeast"/>
        </w:trPr>
        <w:tc>
          <w:tcPr>
            <w:tcW w:w="2846" w:type="dxa"/>
            <w:gridSpan w:val="3"/>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改进建议或意见</w:t>
            </w:r>
          </w:p>
        </w:tc>
        <w:tc>
          <w:tcPr>
            <w:tcW w:w="6096" w:type="dxa"/>
            <w:gridSpan w:val="10"/>
            <w:tcBorders>
              <w:top w:val="single" w:color="auto" w:sz="4" w:space="0"/>
              <w:left w:val="nil"/>
              <w:bottom w:val="single" w:color="auto" w:sz="4" w:space="0"/>
              <w:right w:val="single" w:color="000000" w:sz="8" w:space="0"/>
            </w:tcBorders>
            <w:noWrap w:val="0"/>
            <w:vAlign w:val="center"/>
          </w:tcPr>
          <w:p>
            <w:pPr>
              <w:widowControl/>
              <w:jc w:val="left"/>
              <w:rPr>
                <w:rFonts w:hint="eastAsia" w:ascii="仿宋_GB2312" w:hAnsi="宋体" w:eastAsia="仿宋_GB2312" w:cs="Courier New"/>
                <w:kern w:val="0"/>
                <w:sz w:val="24"/>
              </w:rPr>
            </w:pPr>
            <w:r>
              <w:rPr>
                <w:rFonts w:hint="eastAsia" w:ascii="仿宋_GB2312" w:hAnsi="宋体" w:eastAsia="仿宋_GB2312" w:cs="Courier New"/>
                <w:kern w:val="0"/>
                <w:sz w:val="24"/>
              </w:rPr>
              <w:t>1、加强预算管理，降低偏差；2、进一步</w:t>
            </w:r>
            <w:r>
              <w:rPr>
                <w:rFonts w:hint="eastAsia" w:ascii="仿宋_GB2312" w:hAnsi="宋体" w:eastAsia="仿宋_GB2312" w:cs="宋体"/>
                <w:kern w:val="0"/>
                <w:sz w:val="24"/>
              </w:rPr>
              <w:t>规范支出，节约财政资金；3、加强财务知识学习，</w:t>
            </w:r>
            <w:r>
              <w:rPr>
                <w:rFonts w:hint="eastAsia" w:ascii="仿宋_GB2312" w:hAnsi="宋体" w:eastAsia="仿宋_GB2312" w:cs="Courier New"/>
                <w:kern w:val="0"/>
                <w:sz w:val="24"/>
              </w:rPr>
              <w:t>规范财务管理。</w:t>
            </w:r>
          </w:p>
        </w:tc>
      </w:tr>
      <w:tr>
        <w:tblPrEx>
          <w:tblLayout w:type="fixed"/>
          <w:tblCellMar>
            <w:top w:w="0" w:type="dxa"/>
            <w:left w:w="108" w:type="dxa"/>
            <w:bottom w:w="0" w:type="dxa"/>
            <w:right w:w="108" w:type="dxa"/>
          </w:tblCellMar>
        </w:tblPrEx>
        <w:trPr>
          <w:trHeight w:val="1440" w:hRule="atLeast"/>
        </w:trPr>
        <w:tc>
          <w:tcPr>
            <w:tcW w:w="2846" w:type="dxa"/>
            <w:gridSpan w:val="3"/>
            <w:tcBorders>
              <w:top w:val="single" w:color="auto" w:sz="4" w:space="0"/>
              <w:left w:val="single" w:color="auto" w:sz="8" w:space="0"/>
              <w:bottom w:val="single" w:color="auto" w:sz="8" w:space="0"/>
              <w:right w:val="single" w:color="auto" w:sz="4" w:space="0"/>
            </w:tcBorders>
            <w:noWrap w:val="0"/>
            <w:vAlign w:val="center"/>
          </w:tcPr>
          <w:p>
            <w:pPr>
              <w:widowControl/>
              <w:jc w:val="center"/>
              <w:rPr>
                <w:rFonts w:hint="eastAsia" w:ascii="仿宋_GB2312" w:hAnsi="宋体" w:eastAsia="仿宋_GB2312" w:cs="宋体"/>
                <w:b/>
                <w:bCs/>
                <w:kern w:val="0"/>
                <w:sz w:val="24"/>
              </w:rPr>
            </w:pPr>
            <w:r>
              <w:rPr>
                <w:rFonts w:hint="eastAsia" w:ascii="仿宋_GB2312" w:hAnsi="宋体" w:eastAsia="仿宋_GB2312" w:cs="宋体"/>
                <w:b/>
                <w:bCs/>
                <w:kern w:val="0"/>
                <w:sz w:val="24"/>
              </w:rPr>
              <w:t>县财政局归口业务股室审核意见</w:t>
            </w:r>
          </w:p>
        </w:tc>
        <w:tc>
          <w:tcPr>
            <w:tcW w:w="6096" w:type="dxa"/>
            <w:gridSpan w:val="10"/>
            <w:tcBorders>
              <w:top w:val="single" w:color="auto" w:sz="4" w:space="0"/>
              <w:left w:val="nil"/>
              <w:bottom w:val="single" w:color="auto" w:sz="8" w:space="0"/>
              <w:right w:val="single" w:color="000000" w:sz="8" w:space="0"/>
            </w:tcBorders>
            <w:noWrap w:val="0"/>
            <w:vAlign w:val="center"/>
          </w:tcPr>
          <w:p>
            <w:pPr>
              <w:widowControl/>
              <w:jc w:val="center"/>
              <w:rPr>
                <w:rFonts w:hint="eastAsia" w:ascii="仿宋_GB2312" w:hAnsi="宋体" w:eastAsia="仿宋_GB2312" w:cs="Courier New"/>
                <w:kern w:val="0"/>
                <w:sz w:val="24"/>
              </w:rPr>
            </w:pPr>
            <w:r>
              <w:rPr>
                <w:rFonts w:hint="eastAsia" w:ascii="仿宋_GB2312" w:hAnsi="宋体" w:eastAsia="仿宋_GB2312" w:cs="Courier New"/>
                <w:kern w:val="0"/>
                <w:sz w:val="24"/>
              </w:rPr>
              <w:br w:type="textWrapping"/>
            </w:r>
            <w:r>
              <w:rPr>
                <w:rFonts w:hint="eastAsia" w:ascii="仿宋_GB2312" w:hAnsi="宋体" w:eastAsia="仿宋_GB2312" w:cs="Courier New"/>
                <w:kern w:val="0"/>
                <w:sz w:val="24"/>
              </w:rPr>
              <w:t xml:space="preserve">                                年    月    日</w:t>
            </w:r>
          </w:p>
        </w:tc>
      </w:tr>
      <w:tr>
        <w:tblPrEx>
          <w:tblLayout w:type="fixed"/>
          <w:tblCellMar>
            <w:top w:w="0" w:type="dxa"/>
            <w:left w:w="108" w:type="dxa"/>
            <w:bottom w:w="0" w:type="dxa"/>
            <w:right w:w="108" w:type="dxa"/>
          </w:tblCellMar>
        </w:tblPrEx>
        <w:trPr>
          <w:trHeight w:val="435" w:hRule="atLeast"/>
        </w:trPr>
        <w:tc>
          <w:tcPr>
            <w:tcW w:w="2846" w:type="dxa"/>
            <w:gridSpan w:val="3"/>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填报人：</w:t>
            </w:r>
            <w:r>
              <w:rPr>
                <w:rFonts w:hint="eastAsia" w:ascii="仿宋_GB2312" w:hAnsi="仿宋" w:eastAsia="仿宋_GB2312" w:cs="仿宋_GB2312"/>
                <w:bCs/>
                <w:kern w:val="0"/>
                <w:sz w:val="24"/>
              </w:rPr>
              <w:t>张海岩</w:t>
            </w:r>
          </w:p>
        </w:tc>
        <w:tc>
          <w:tcPr>
            <w:tcW w:w="284" w:type="dxa"/>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p>
        </w:tc>
        <w:tc>
          <w:tcPr>
            <w:tcW w:w="2268" w:type="dxa"/>
            <w:gridSpan w:val="5"/>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联系电话：13873212973</w:t>
            </w:r>
          </w:p>
        </w:tc>
        <w:tc>
          <w:tcPr>
            <w:tcW w:w="3544" w:type="dxa"/>
            <w:gridSpan w:val="4"/>
            <w:tcBorders>
              <w:top w:val="nil"/>
              <w:left w:val="nil"/>
              <w:bottom w:val="nil"/>
              <w:right w:val="nil"/>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填报时间：20</w:t>
            </w:r>
            <w:r>
              <w:rPr>
                <w:rFonts w:hint="eastAsia" w:ascii="仿宋_GB2312" w:hAnsi="宋体" w:eastAsia="仿宋_GB2312" w:cs="宋体"/>
                <w:kern w:val="0"/>
                <w:sz w:val="24"/>
                <w:lang w:val="en-US" w:eastAsia="zh-CN"/>
              </w:rPr>
              <w:t>21</w:t>
            </w:r>
            <w:r>
              <w:rPr>
                <w:rFonts w:hint="eastAsia" w:ascii="仿宋_GB2312" w:hAnsi="宋体" w:eastAsia="仿宋_GB2312" w:cs="宋体"/>
                <w:kern w:val="0"/>
                <w:sz w:val="24"/>
              </w:rPr>
              <w:t xml:space="preserve"> 年</w:t>
            </w:r>
            <w:r>
              <w:rPr>
                <w:rFonts w:hint="eastAsia" w:ascii="仿宋_GB2312" w:hAnsi="宋体" w:eastAsia="仿宋_GB2312" w:cs="宋体"/>
                <w:kern w:val="0"/>
                <w:sz w:val="24"/>
                <w:lang w:val="en-US" w:eastAsia="zh-CN"/>
              </w:rPr>
              <w:t>5</w:t>
            </w:r>
            <w:r>
              <w:rPr>
                <w:rFonts w:hint="eastAsia" w:ascii="仿宋_GB2312" w:hAnsi="宋体" w:eastAsia="仿宋_GB2312" w:cs="宋体"/>
                <w:kern w:val="0"/>
                <w:sz w:val="24"/>
              </w:rPr>
              <w:t>月25 日</w:t>
            </w:r>
          </w:p>
        </w:tc>
      </w:tr>
    </w:tbl>
    <w:p>
      <w:pPr>
        <w:widowControl/>
        <w:shd w:val="clear" w:color="auto" w:fill="FFFFFF"/>
        <w:spacing w:line="20" w:lineRule="exact"/>
        <w:rPr>
          <w:rFonts w:hint="eastAsia" w:ascii="仿宋_GB2312" w:hAnsi="宋体" w:eastAsia="仿宋_GB2312"/>
          <w:sz w:val="24"/>
        </w:rPr>
      </w:pPr>
    </w:p>
    <w:p>
      <w:pPr>
        <w:keepNext w:val="0"/>
        <w:keepLines w:val="0"/>
        <w:widowControl w:val="0"/>
        <w:suppressLineNumbers w:val="0"/>
        <w:snapToGrid w:val="0"/>
        <w:spacing w:before="0" w:beforeAutospacing="0" w:after="0" w:afterAutospacing="0" w:line="540" w:lineRule="exact"/>
        <w:ind w:left="0" w:right="0"/>
        <w:jc w:val="both"/>
        <w:rPr>
          <w:rFonts w:hint="default" w:ascii="仿宋_GB2312" w:eastAsia="仿宋_GB2312" w:cs="仿宋_GB2312"/>
          <w:b/>
          <w:kern w:val="0"/>
          <w:sz w:val="32"/>
          <w:szCs w:val="32"/>
          <w:lang w:val="en-US"/>
        </w:rPr>
      </w:pPr>
      <w:r>
        <w:rPr>
          <w:rFonts w:hint="default" w:ascii="仿宋_GB2312" w:hAnsi="Calibri" w:eastAsia="仿宋_GB2312" w:cs="仿宋_GB2312"/>
          <w:b/>
          <w:kern w:val="0"/>
          <w:sz w:val="32"/>
          <w:szCs w:val="32"/>
          <w:lang w:val="en-US" w:eastAsia="zh-CN" w:bidi="ar"/>
        </w:rPr>
        <w:t xml:space="preserve"> </w:t>
      </w:r>
    </w:p>
    <w:p>
      <w:pPr>
        <w:keepNext w:val="0"/>
        <w:keepLines w:val="0"/>
        <w:widowControl/>
        <w:suppressLineNumbers w:val="0"/>
        <w:spacing w:before="0" w:beforeAutospacing="0" w:after="0" w:afterAutospacing="0" w:line="576" w:lineRule="exact"/>
        <w:ind w:left="0" w:right="0"/>
        <w:jc w:val="center"/>
        <w:rPr>
          <w:rFonts w:hint="eastAsia" w:ascii="宋体" w:hAnsi="宋体" w:eastAsia="宋体" w:cs="仿宋_GB2312"/>
          <w:b/>
          <w:color w:val="000000"/>
          <w:kern w:val="0"/>
          <w:sz w:val="36"/>
          <w:szCs w:val="36"/>
          <w:lang w:val="en-US" w:eastAsia="zh-CN" w:bidi="ar"/>
        </w:rPr>
      </w:pPr>
    </w:p>
    <w:p>
      <w:pPr>
        <w:keepNext w:val="0"/>
        <w:keepLines w:val="0"/>
        <w:widowControl/>
        <w:suppressLineNumbers w:val="0"/>
        <w:spacing w:before="0" w:beforeAutospacing="0" w:after="0" w:afterAutospacing="0" w:line="576" w:lineRule="exact"/>
        <w:ind w:left="0" w:right="0"/>
        <w:jc w:val="center"/>
        <w:rPr>
          <w:rFonts w:hint="default" w:ascii="方正小标宋_GBK" w:hAnsi="方正小标宋_GBK" w:eastAsia="方正小标宋_GBK" w:cs="方正小标宋_GBK"/>
          <w:sz w:val="36"/>
          <w:szCs w:val="36"/>
          <w:u w:val="single"/>
          <w:lang w:val="en-US"/>
        </w:rPr>
      </w:pPr>
      <w:r>
        <w:rPr>
          <w:rFonts w:hint="eastAsia" w:ascii="宋体" w:hAnsi="宋体" w:eastAsia="宋体" w:cs="仿宋_GB2312"/>
          <w:b/>
          <w:color w:val="000000"/>
          <w:kern w:val="0"/>
          <w:sz w:val="36"/>
          <w:szCs w:val="36"/>
          <w:lang w:val="en-US" w:eastAsia="zh-CN" w:bidi="ar"/>
        </w:rPr>
        <w:t>（看守专项经费）项目支出绩效评价报告</w:t>
      </w:r>
    </w:p>
    <w:tbl>
      <w:tblPr>
        <w:tblStyle w:val="6"/>
        <w:tblW w:w="9223" w:type="dxa"/>
        <w:jc w:val="center"/>
        <w:tblInd w:w="0" w:type="dxa"/>
        <w:tblLayout w:type="fixed"/>
        <w:tblCellMar>
          <w:top w:w="0" w:type="dxa"/>
          <w:left w:w="108" w:type="dxa"/>
          <w:bottom w:w="0" w:type="dxa"/>
          <w:right w:w="108" w:type="dxa"/>
        </w:tblCellMar>
      </w:tblPr>
      <w:tblGrid>
        <w:gridCol w:w="1566"/>
        <w:gridCol w:w="1984"/>
        <w:gridCol w:w="5673"/>
      </w:tblGrid>
      <w:tr>
        <w:tblPrEx>
          <w:tblLayout w:type="fixed"/>
          <w:tblCellMar>
            <w:top w:w="0" w:type="dxa"/>
            <w:left w:w="108" w:type="dxa"/>
            <w:bottom w:w="0" w:type="dxa"/>
            <w:right w:w="108" w:type="dxa"/>
          </w:tblCellMar>
        </w:tblPrEx>
        <w:trPr>
          <w:trHeight w:val="675" w:hRule="atLeast"/>
          <w:jc w:val="center"/>
        </w:trPr>
        <w:tc>
          <w:tcPr>
            <w:tcW w:w="15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部门概况</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专项名称</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看守专项经费</w:t>
            </w:r>
          </w:p>
        </w:tc>
      </w:tr>
      <w:tr>
        <w:tblPrEx>
          <w:tblLayout w:type="fixed"/>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年度预算金额</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450.8185万元</w:t>
            </w:r>
          </w:p>
        </w:tc>
      </w:tr>
      <w:tr>
        <w:tblPrEx>
          <w:tblLayout w:type="fixed"/>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项目主管部门</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湘潭县公安局</w:t>
            </w:r>
          </w:p>
        </w:tc>
      </w:tr>
      <w:tr>
        <w:tblPrEx>
          <w:tblLayout w:type="fixed"/>
          <w:tblCellMar>
            <w:top w:w="0" w:type="dxa"/>
            <w:left w:w="108" w:type="dxa"/>
            <w:bottom w:w="0" w:type="dxa"/>
            <w:right w:w="108" w:type="dxa"/>
          </w:tblCellMar>
        </w:tblPrEx>
        <w:trPr>
          <w:trHeight w:val="675" w:hRule="atLeast"/>
          <w:jc w:val="center"/>
        </w:trPr>
        <w:tc>
          <w:tcPr>
            <w:tcW w:w="1566" w:type="dxa"/>
            <w:vMerge w:val="continue"/>
            <w:tcBorders>
              <w:top w:val="single" w:color="auto" w:sz="4" w:space="0"/>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项目立项目的</w:t>
            </w:r>
          </w:p>
        </w:tc>
        <w:tc>
          <w:tcPr>
            <w:tcW w:w="5673" w:type="dxa"/>
            <w:tcBorders>
              <w:top w:val="single" w:color="auto" w:sz="4" w:space="0"/>
              <w:left w:val="nil"/>
              <w:bottom w:val="single" w:color="auto" w:sz="4" w:space="0"/>
              <w:right w:val="single" w:color="auto" w:sz="4" w:space="0"/>
            </w:tcBorders>
            <w:noWrap w:val="0"/>
            <w:vAlign w:val="center"/>
          </w:tcPr>
          <w:p>
            <w:pPr>
              <w:numPr>
                <w:ilvl w:val="0"/>
                <w:numId w:val="0"/>
              </w:numPr>
              <w:spacing w:line="576"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对被羁押的犯罪嫌疑人、被告人实行警戒看守，管理教育；</w:t>
            </w:r>
          </w:p>
          <w:p>
            <w:pPr>
              <w:keepNext w:val="0"/>
              <w:keepLines w:val="0"/>
              <w:widowControl w:val="0"/>
              <w:suppressLineNumbers w:val="0"/>
              <w:spacing w:before="0" w:beforeAutospacing="0" w:after="0" w:afterAutospacing="0" w:line="576" w:lineRule="exact"/>
              <w:ind w:left="0" w:right="879" w:rightChars="419" w:firstLine="480" w:firstLineChars="200"/>
              <w:jc w:val="both"/>
              <w:rPr>
                <w:rFonts w:hint="eastAsia" w:ascii="仿宋" w:hAnsi="仿宋" w:eastAsia="仿宋" w:cs="仿宋"/>
                <w:sz w:val="24"/>
                <w:szCs w:val="24"/>
                <w:lang w:val="en-US"/>
              </w:rPr>
            </w:pPr>
            <w:r>
              <w:rPr>
                <w:rFonts w:hint="eastAsia" w:ascii="仿宋" w:hAnsi="仿宋" w:eastAsia="仿宋" w:cs="仿宋"/>
                <w:color w:val="000000"/>
                <w:kern w:val="0"/>
                <w:sz w:val="24"/>
                <w:szCs w:val="24"/>
                <w:lang w:val="en-US" w:eastAsia="zh-CN"/>
              </w:rPr>
              <w:t>2、</w:t>
            </w:r>
            <w:r>
              <w:rPr>
                <w:rFonts w:hint="eastAsia" w:ascii="仿宋" w:hAnsi="仿宋" w:eastAsia="仿宋" w:cs="仿宋"/>
                <w:color w:val="000000"/>
                <w:kern w:val="0"/>
                <w:sz w:val="24"/>
                <w:szCs w:val="24"/>
              </w:rPr>
              <w:t>保障刑事诉讼活动的顺利进行</w:t>
            </w:r>
          </w:p>
        </w:tc>
      </w:tr>
      <w:tr>
        <w:tblPrEx>
          <w:tblLayout w:type="fixed"/>
          <w:tblCellMar>
            <w:top w:w="0" w:type="dxa"/>
            <w:left w:w="108" w:type="dxa"/>
            <w:bottom w:w="0" w:type="dxa"/>
            <w:right w:w="108" w:type="dxa"/>
          </w:tblCellMar>
        </w:tblPrEx>
        <w:trPr>
          <w:trHeight w:val="1357"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绩效情况</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项目支出管理和使用基本情况</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left"/>
              <w:rPr>
                <w:rFonts w:hint="eastAsia" w:ascii="仿宋" w:hAnsi="仿宋" w:eastAsia="仿宋" w:cs="仿宋"/>
                <w:sz w:val="24"/>
                <w:szCs w:val="24"/>
                <w:lang w:val="en-US"/>
              </w:rPr>
            </w:pPr>
            <w:r>
              <w:rPr>
                <w:rFonts w:hint="eastAsia" w:ascii="仿宋" w:hAnsi="仿宋" w:eastAsia="仿宋" w:cs="仿宋"/>
                <w:color w:val="333333"/>
                <w:kern w:val="0"/>
                <w:sz w:val="24"/>
                <w:szCs w:val="24"/>
                <w:lang w:val="en-US" w:eastAsia="zh-CN"/>
              </w:rPr>
              <w:t xml:space="preserve">    </w:t>
            </w:r>
            <w:r>
              <w:rPr>
                <w:rFonts w:hint="eastAsia" w:ascii="仿宋" w:hAnsi="仿宋" w:eastAsia="仿宋" w:cs="仿宋"/>
                <w:color w:val="333333"/>
                <w:kern w:val="0"/>
                <w:sz w:val="24"/>
                <w:szCs w:val="24"/>
              </w:rPr>
              <w:t>20</w:t>
            </w:r>
            <w:r>
              <w:rPr>
                <w:rFonts w:hint="eastAsia" w:ascii="仿宋" w:hAnsi="仿宋" w:eastAsia="仿宋" w:cs="仿宋"/>
                <w:color w:val="333333"/>
                <w:kern w:val="0"/>
                <w:sz w:val="24"/>
                <w:szCs w:val="24"/>
                <w:lang w:val="en-US" w:eastAsia="zh-CN"/>
              </w:rPr>
              <w:t>20</w:t>
            </w:r>
            <w:r>
              <w:rPr>
                <w:rFonts w:hint="eastAsia" w:ascii="仿宋" w:hAnsi="仿宋" w:eastAsia="仿宋" w:cs="仿宋"/>
                <w:color w:val="333333"/>
                <w:kern w:val="0"/>
                <w:sz w:val="24"/>
                <w:szCs w:val="24"/>
              </w:rPr>
              <w:t>年看守所专项经费支出</w:t>
            </w:r>
            <w:r>
              <w:rPr>
                <w:rFonts w:hint="eastAsia" w:ascii="仿宋" w:hAnsi="仿宋" w:eastAsia="仿宋" w:cs="仿宋"/>
                <w:color w:val="333333"/>
                <w:kern w:val="0"/>
                <w:sz w:val="24"/>
                <w:szCs w:val="24"/>
                <w:lang w:val="en-US" w:eastAsia="zh-CN"/>
              </w:rPr>
              <w:t>432.5554</w:t>
            </w:r>
            <w:r>
              <w:rPr>
                <w:rFonts w:hint="eastAsia" w:ascii="仿宋" w:hAnsi="仿宋" w:eastAsia="仿宋" w:cs="仿宋"/>
                <w:color w:val="333333"/>
                <w:kern w:val="0"/>
                <w:sz w:val="24"/>
                <w:szCs w:val="24"/>
              </w:rPr>
              <w:t>万元，其中人犯给养支出15</w:t>
            </w:r>
            <w:r>
              <w:rPr>
                <w:rFonts w:hint="eastAsia" w:ascii="仿宋" w:hAnsi="仿宋" w:eastAsia="仿宋" w:cs="仿宋"/>
                <w:color w:val="333333"/>
                <w:kern w:val="0"/>
                <w:sz w:val="24"/>
                <w:szCs w:val="24"/>
                <w:lang w:val="en-US" w:eastAsia="zh-CN"/>
              </w:rPr>
              <w:t>3.6</w:t>
            </w:r>
            <w:r>
              <w:rPr>
                <w:rFonts w:hint="eastAsia" w:ascii="仿宋" w:hAnsi="仿宋" w:eastAsia="仿宋" w:cs="仿宋"/>
                <w:color w:val="333333"/>
                <w:kern w:val="0"/>
                <w:sz w:val="24"/>
                <w:szCs w:val="24"/>
              </w:rPr>
              <w:t>万元，</w:t>
            </w:r>
            <w:r>
              <w:rPr>
                <w:rFonts w:hint="eastAsia" w:ascii="仿宋" w:hAnsi="仿宋" w:eastAsia="仿宋" w:cs="仿宋"/>
                <w:kern w:val="0"/>
                <w:sz w:val="24"/>
                <w:szCs w:val="24"/>
                <w:lang w:eastAsia="zh-CN"/>
              </w:rPr>
              <w:t>商品和服务</w:t>
            </w:r>
            <w:r>
              <w:rPr>
                <w:rFonts w:hint="eastAsia" w:ascii="仿宋" w:hAnsi="仿宋" w:eastAsia="仿宋" w:cs="仿宋"/>
                <w:color w:val="333333"/>
                <w:kern w:val="0"/>
                <w:sz w:val="24"/>
                <w:szCs w:val="24"/>
              </w:rPr>
              <w:t>支出</w:t>
            </w:r>
            <w:r>
              <w:rPr>
                <w:rFonts w:hint="eastAsia" w:ascii="仿宋" w:hAnsi="仿宋" w:eastAsia="仿宋" w:cs="仿宋"/>
                <w:color w:val="333333"/>
                <w:kern w:val="0"/>
                <w:sz w:val="24"/>
                <w:szCs w:val="24"/>
                <w:lang w:val="en-US" w:eastAsia="zh-CN"/>
              </w:rPr>
              <w:t>278.9555</w:t>
            </w:r>
            <w:r>
              <w:rPr>
                <w:rFonts w:hint="eastAsia" w:ascii="仿宋" w:hAnsi="仿宋" w:eastAsia="仿宋" w:cs="仿宋"/>
                <w:color w:val="333333"/>
                <w:kern w:val="0"/>
                <w:sz w:val="24"/>
                <w:szCs w:val="24"/>
              </w:rPr>
              <w:t>万元。</w:t>
            </w:r>
          </w:p>
        </w:tc>
      </w:tr>
      <w:tr>
        <w:tblPrEx>
          <w:tblLayout w:type="fixed"/>
          <w:tblCellMar>
            <w:top w:w="0" w:type="dxa"/>
            <w:left w:w="108" w:type="dxa"/>
            <w:bottom w:w="0" w:type="dxa"/>
            <w:right w:w="108" w:type="dxa"/>
          </w:tblCellMar>
        </w:tblPrEx>
        <w:trPr>
          <w:trHeight w:val="123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项目绩效目标完成情况</w:t>
            </w:r>
          </w:p>
        </w:tc>
        <w:tc>
          <w:tcPr>
            <w:tcW w:w="5673" w:type="dxa"/>
            <w:tcBorders>
              <w:top w:val="single" w:color="auto" w:sz="4" w:space="0"/>
              <w:left w:val="nil"/>
              <w:bottom w:val="single" w:color="auto" w:sz="4" w:space="0"/>
              <w:right w:val="single" w:color="auto" w:sz="4" w:space="0"/>
            </w:tcBorders>
            <w:noWrap w:val="0"/>
            <w:vAlign w:val="center"/>
          </w:tcPr>
          <w:p>
            <w:pPr>
              <w:widowControl/>
              <w:spacing w:line="315" w:lineRule="atLeast"/>
              <w:ind w:firstLine="480" w:firstLineChars="200"/>
              <w:rPr>
                <w:rFonts w:hint="eastAsia" w:ascii="仿宋" w:hAnsi="仿宋" w:eastAsia="仿宋" w:cs="仿宋"/>
                <w:color w:val="333333"/>
                <w:kern w:val="0"/>
                <w:sz w:val="24"/>
                <w:szCs w:val="24"/>
                <w:shd w:val="clear" w:color="auto" w:fill="FFFFFF"/>
              </w:rPr>
            </w:pPr>
            <w:r>
              <w:rPr>
                <w:rFonts w:hint="eastAsia" w:ascii="仿宋" w:hAnsi="仿宋" w:eastAsia="仿宋" w:cs="仿宋"/>
                <w:color w:val="333333"/>
                <w:kern w:val="0"/>
                <w:sz w:val="24"/>
                <w:szCs w:val="24"/>
                <w:shd w:val="clear" w:color="auto" w:fill="FFFFFF"/>
              </w:rPr>
              <w:t>1、产出指标。（1）数量指标：财政预算经费使用率100%；在押人员给养费得到充分保障。（2）质量指标：一般性商品和服务支出稳中有降。（3）时效指标：财政预算资金及时到位，每月能按时使用。</w:t>
            </w:r>
          </w:p>
          <w:p>
            <w:pPr>
              <w:widowControl/>
              <w:spacing w:line="315" w:lineRule="atLeast"/>
              <w:ind w:firstLine="480" w:firstLineChars="200"/>
              <w:rPr>
                <w:rFonts w:hint="eastAsia" w:ascii="仿宋" w:hAnsi="仿宋" w:eastAsia="仿宋" w:cs="仿宋"/>
                <w:sz w:val="24"/>
                <w:szCs w:val="24"/>
                <w:lang w:val="en-US"/>
              </w:rPr>
            </w:pPr>
            <w:r>
              <w:rPr>
                <w:rFonts w:hint="eastAsia" w:ascii="仿宋" w:hAnsi="仿宋" w:eastAsia="仿宋" w:cs="仿宋"/>
                <w:color w:val="333333"/>
                <w:kern w:val="0"/>
                <w:sz w:val="24"/>
                <w:szCs w:val="24"/>
                <w:shd w:val="clear" w:color="auto" w:fill="FFFFFF"/>
              </w:rPr>
              <w:t>2、效益指标。（1）经济效益：预算经费使用率100%。（2）社会效益：保障在押人员的正常生活，确保监所安全稳定；服务好公检法司等部门的办案需求，保障了刑事诉讼活动顺利进行；警示彰显政府的公信力、执行力；强化了警示教育，提高全民遵纪守法意识。（3）社会公众满意度：社会公众对政府的满意程度95%以上。</w:t>
            </w:r>
          </w:p>
        </w:tc>
      </w:tr>
      <w:tr>
        <w:tblPrEx>
          <w:tblLayout w:type="fixed"/>
          <w:tblCellMar>
            <w:top w:w="0" w:type="dxa"/>
            <w:left w:w="108" w:type="dxa"/>
            <w:bottom w:w="0" w:type="dxa"/>
            <w:right w:w="108" w:type="dxa"/>
          </w:tblCellMar>
        </w:tblPrEx>
        <w:trPr>
          <w:trHeight w:val="1592" w:hRule="atLeast"/>
          <w:jc w:val="center"/>
        </w:trPr>
        <w:tc>
          <w:tcPr>
            <w:tcW w:w="1566"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存在的问题分析及改进措施</w:t>
            </w: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存在的问题</w:t>
            </w:r>
          </w:p>
        </w:tc>
        <w:tc>
          <w:tcPr>
            <w:tcW w:w="5673" w:type="dxa"/>
            <w:tcBorders>
              <w:top w:val="single" w:color="auto" w:sz="4" w:space="0"/>
              <w:left w:val="nil"/>
              <w:bottom w:val="single" w:color="auto" w:sz="4" w:space="0"/>
              <w:right w:val="single" w:color="auto" w:sz="4" w:space="0"/>
            </w:tcBorders>
            <w:noWrap w:val="0"/>
            <w:vAlign w:val="center"/>
          </w:tcPr>
          <w:p>
            <w:pPr>
              <w:widowControl/>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1、20</w:t>
            </w:r>
            <w:r>
              <w:rPr>
                <w:rFonts w:hint="eastAsia" w:ascii="仿宋" w:hAnsi="仿宋" w:eastAsia="仿宋" w:cs="仿宋"/>
                <w:kern w:val="0"/>
                <w:sz w:val="24"/>
                <w:szCs w:val="24"/>
                <w:lang w:val="en-US" w:eastAsia="zh-CN"/>
              </w:rPr>
              <w:t>20</w:t>
            </w:r>
            <w:r>
              <w:rPr>
                <w:rFonts w:hint="eastAsia" w:ascii="仿宋" w:hAnsi="仿宋" w:eastAsia="仿宋" w:cs="仿宋"/>
                <w:kern w:val="0"/>
                <w:sz w:val="24"/>
                <w:szCs w:val="24"/>
              </w:rPr>
              <w:t>年绩效目标申报仅对预算的</w:t>
            </w:r>
            <w:r>
              <w:rPr>
                <w:rFonts w:hint="eastAsia" w:ascii="仿宋" w:hAnsi="仿宋" w:eastAsia="仿宋" w:cs="仿宋"/>
                <w:kern w:val="0"/>
                <w:sz w:val="24"/>
                <w:szCs w:val="24"/>
                <w:lang w:val="en-US" w:eastAsia="zh-CN"/>
              </w:rPr>
              <w:t>355</w:t>
            </w:r>
            <w:r>
              <w:rPr>
                <w:rFonts w:hint="eastAsia" w:ascii="仿宋" w:hAnsi="仿宋" w:eastAsia="仿宋" w:cs="仿宋"/>
                <w:kern w:val="0"/>
                <w:sz w:val="24"/>
                <w:szCs w:val="24"/>
              </w:rPr>
              <w:t>万元进行申报，因而专项工作经费支出产生了偏差；</w:t>
            </w:r>
          </w:p>
          <w:p>
            <w:pPr>
              <w:widowControl/>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rPr>
              <w:t>本着厉行节约原则，规范支出，紧缩开支，因而部份支出减少。</w:t>
            </w:r>
          </w:p>
        </w:tc>
      </w:tr>
      <w:tr>
        <w:tblPrEx>
          <w:tblLayout w:type="fixed"/>
          <w:tblCellMar>
            <w:top w:w="0" w:type="dxa"/>
            <w:left w:w="108" w:type="dxa"/>
            <w:bottom w:w="0" w:type="dxa"/>
            <w:right w:w="108" w:type="dxa"/>
          </w:tblCellMar>
        </w:tblPrEx>
        <w:trPr>
          <w:trHeight w:val="169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改进措施</w:t>
            </w:r>
          </w:p>
        </w:tc>
        <w:tc>
          <w:tcPr>
            <w:tcW w:w="5673" w:type="dxa"/>
            <w:tcBorders>
              <w:top w:val="single" w:color="auto" w:sz="4" w:space="0"/>
              <w:left w:val="nil"/>
              <w:bottom w:val="single" w:color="auto" w:sz="4" w:space="0"/>
              <w:right w:val="single" w:color="auto" w:sz="4" w:space="0"/>
            </w:tcBorders>
            <w:noWrap w:val="0"/>
            <w:vAlign w:val="center"/>
          </w:tcPr>
          <w:p>
            <w:pPr>
              <w:widowControl/>
              <w:shd w:val="clear" w:color="auto" w:fill="FFFFFF"/>
              <w:spacing w:line="315" w:lineRule="atLeast"/>
              <w:ind w:firstLine="480" w:firstLineChars="200"/>
              <w:jc w:val="both"/>
              <w:rPr>
                <w:rFonts w:hint="eastAsia" w:ascii="仿宋" w:hAnsi="仿宋" w:eastAsia="仿宋" w:cs="仿宋"/>
                <w:kern w:val="0"/>
                <w:sz w:val="24"/>
                <w:szCs w:val="24"/>
              </w:rPr>
            </w:pPr>
            <w:r>
              <w:rPr>
                <w:rFonts w:hint="eastAsia" w:ascii="仿宋" w:hAnsi="仿宋" w:eastAsia="仿宋" w:cs="仿宋"/>
                <w:kern w:val="0"/>
                <w:sz w:val="24"/>
                <w:szCs w:val="24"/>
              </w:rPr>
              <w:t>1、加强预算管理，降低偏差；</w:t>
            </w:r>
          </w:p>
          <w:p>
            <w:pPr>
              <w:widowControl/>
              <w:shd w:val="clear" w:color="auto" w:fill="FFFFFF"/>
              <w:spacing w:line="315" w:lineRule="atLeast"/>
              <w:ind w:firstLine="480" w:firstLineChars="200"/>
              <w:jc w:val="left"/>
              <w:rPr>
                <w:rFonts w:hint="eastAsia" w:ascii="仿宋" w:hAnsi="仿宋" w:eastAsia="仿宋" w:cs="仿宋"/>
                <w:kern w:val="0"/>
                <w:sz w:val="24"/>
                <w:szCs w:val="24"/>
              </w:rPr>
            </w:pPr>
            <w:r>
              <w:rPr>
                <w:rFonts w:hint="eastAsia" w:ascii="仿宋" w:hAnsi="仿宋" w:eastAsia="仿宋" w:cs="仿宋"/>
                <w:kern w:val="0"/>
                <w:sz w:val="24"/>
                <w:szCs w:val="24"/>
              </w:rPr>
              <w:t>2、进一步规范支出，节约财政资金；</w:t>
            </w:r>
          </w:p>
          <w:p>
            <w:pPr>
              <w:widowControl/>
              <w:shd w:val="clear" w:color="auto" w:fill="FFFFFF"/>
              <w:spacing w:line="315" w:lineRule="atLeast"/>
              <w:ind w:firstLine="480" w:firstLineChars="200"/>
              <w:jc w:val="left"/>
              <w:rPr>
                <w:rFonts w:hint="eastAsia" w:ascii="仿宋" w:hAnsi="仿宋" w:eastAsia="仿宋" w:cs="仿宋"/>
                <w:sz w:val="24"/>
                <w:szCs w:val="24"/>
                <w:lang w:val="en-US"/>
              </w:rPr>
            </w:pPr>
            <w:r>
              <w:rPr>
                <w:rFonts w:hint="eastAsia" w:ascii="仿宋" w:hAnsi="仿宋" w:eastAsia="仿宋" w:cs="仿宋"/>
                <w:kern w:val="0"/>
                <w:sz w:val="24"/>
                <w:szCs w:val="24"/>
              </w:rPr>
              <w:t>3、加强财务知识学习，规范财务管理。</w:t>
            </w:r>
          </w:p>
        </w:tc>
      </w:tr>
      <w:tr>
        <w:tblPrEx>
          <w:tblLayout w:type="fixed"/>
          <w:tblCellMar>
            <w:top w:w="0" w:type="dxa"/>
            <w:left w:w="108" w:type="dxa"/>
            <w:bottom w:w="0" w:type="dxa"/>
            <w:right w:w="108" w:type="dxa"/>
          </w:tblCellMar>
        </w:tblPrEx>
        <w:trPr>
          <w:trHeight w:val="1500" w:hRule="atLeast"/>
          <w:jc w:val="center"/>
        </w:trPr>
        <w:tc>
          <w:tcPr>
            <w:tcW w:w="1566"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198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0"/>
              <w:jc w:val="center"/>
              <w:rPr>
                <w:rFonts w:hint="default" w:ascii="仿宋_GB2312" w:hAnsi="宋体" w:eastAsia="仿宋_GB2312" w:cs="宋体"/>
                <w:szCs w:val="21"/>
                <w:lang w:val="en-US"/>
              </w:rPr>
            </w:pPr>
            <w:r>
              <w:rPr>
                <w:rFonts w:hint="eastAsia" w:ascii="仿宋_GB2312" w:hAnsi="宋体" w:eastAsia="宋体" w:cs="宋体"/>
                <w:kern w:val="2"/>
                <w:sz w:val="21"/>
                <w:szCs w:val="21"/>
                <w:lang w:val="en-US" w:eastAsia="zh-CN" w:bidi="ar"/>
              </w:rPr>
              <w:t>其他需要说明问题</w:t>
            </w:r>
          </w:p>
        </w:tc>
        <w:tc>
          <w:tcPr>
            <w:tcW w:w="5673"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line="576" w:lineRule="exact"/>
              <w:ind w:left="0" w:right="879" w:rightChars="419"/>
              <w:jc w:val="left"/>
              <w:rPr>
                <w:rFonts w:hint="eastAsia" w:ascii="仿宋" w:hAnsi="仿宋" w:eastAsia="仿宋" w:cs="仿宋"/>
                <w:sz w:val="24"/>
                <w:szCs w:val="24"/>
                <w:lang w:val="en-US"/>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tc>
      </w:tr>
    </w:tbl>
    <w:p>
      <w:pPr>
        <w:keepNext w:val="0"/>
        <w:keepLines w:val="0"/>
        <w:widowControl w:val="0"/>
        <w:suppressLineNumbers w:val="0"/>
        <w:snapToGrid w:val="0"/>
        <w:spacing w:before="0" w:beforeAutospacing="0" w:after="0" w:afterAutospacing="0" w:line="540" w:lineRule="exact"/>
        <w:ind w:left="0" w:right="0"/>
        <w:jc w:val="both"/>
        <w:rPr>
          <w:rFonts w:hint="default" w:ascii="仿宋_GB2312" w:hAnsi="宋体" w:eastAsia="仿宋_GB2312" w:cs="宋体"/>
          <w:kern w:val="0"/>
          <w:sz w:val="32"/>
          <w:szCs w:val="32"/>
          <w:lang w:val="en-US"/>
        </w:rPr>
      </w:pPr>
      <w:r>
        <w:rPr>
          <w:rFonts w:hint="default" w:ascii="仿宋_GB2312" w:hAnsi="宋体" w:eastAsia="仿宋_GB2312" w:cs="宋体"/>
          <w:kern w:val="0"/>
          <w:sz w:val="32"/>
          <w:szCs w:val="32"/>
          <w:lang w:val="en-US" w:eastAsia="zh-CN" w:bidi="ar"/>
        </w:rPr>
        <w:t xml:space="preserve"> </w:t>
      </w:r>
    </w:p>
    <w:p>
      <w:pPr>
        <w:keepNext w:val="0"/>
        <w:keepLines w:val="0"/>
        <w:widowControl w:val="0"/>
        <w:suppressLineNumbers w:val="0"/>
        <w:snapToGrid w:val="0"/>
        <w:spacing w:before="0" w:beforeAutospacing="0" w:after="0" w:afterAutospacing="0" w:line="540" w:lineRule="exact"/>
        <w:ind w:left="0" w:right="0"/>
        <w:jc w:val="both"/>
        <w:rPr>
          <w:rFonts w:hint="eastAsia" w:ascii="黑体" w:hAnsi="宋体" w:eastAsia="黑体" w:cs="黑体"/>
          <w:kern w:val="0"/>
          <w:sz w:val="32"/>
          <w:szCs w:val="32"/>
          <w:lang w:val="en-US" w:eastAsia="zh-CN" w:bidi="ar"/>
        </w:rPr>
      </w:pPr>
    </w:p>
    <w:p>
      <w:pPr>
        <w:keepNext w:val="0"/>
        <w:keepLines w:val="0"/>
        <w:widowControl w:val="0"/>
        <w:suppressLineNumbers w:val="0"/>
        <w:snapToGrid w:val="0"/>
        <w:spacing w:before="0" w:beforeAutospacing="0" w:after="0" w:afterAutospacing="0" w:line="540" w:lineRule="exact"/>
        <w:ind w:left="0" w:right="0"/>
        <w:jc w:val="both"/>
        <w:rPr>
          <w:rFonts w:hint="eastAsia" w:ascii="黑体" w:hAnsi="宋体" w:eastAsia="黑体" w:cs="黑体"/>
          <w:kern w:val="0"/>
          <w:sz w:val="32"/>
          <w:szCs w:val="32"/>
          <w:lang w:val="en-US"/>
        </w:rPr>
      </w:pPr>
    </w:p>
    <w:p>
      <w:pPr>
        <w:keepNext w:val="0"/>
        <w:keepLines w:val="0"/>
        <w:widowControl w:val="0"/>
        <w:suppressLineNumbers w:val="0"/>
        <w:snapToGrid w:val="0"/>
        <w:spacing w:before="0" w:beforeAutospacing="0" w:after="0" w:afterAutospacing="0" w:line="540" w:lineRule="exact"/>
        <w:ind w:left="0" w:right="0"/>
        <w:jc w:val="both"/>
        <w:rPr>
          <w:rFonts w:hint="eastAsia" w:ascii="宋体" w:hAnsi="宋体" w:eastAsia="宋体" w:cs="宋体"/>
          <w:kern w:val="0"/>
          <w:sz w:val="32"/>
          <w:szCs w:val="32"/>
          <w:lang w:val="en-US"/>
        </w:rPr>
      </w:pPr>
      <w:r>
        <w:rPr>
          <w:rFonts w:hint="eastAsia" w:ascii="宋体" w:hAnsi="宋体" w:eastAsia="宋体" w:cs="宋体"/>
          <w:kern w:val="0"/>
          <w:sz w:val="32"/>
          <w:szCs w:val="32"/>
          <w:lang w:val="en-US" w:eastAsia="zh-CN" w:bidi="ar"/>
        </w:rPr>
        <w:t xml:space="preserve"> </w:t>
      </w: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eastAsia="zh-CN" w:bidi="ar"/>
        </w:rPr>
      </w:pPr>
    </w:p>
    <w:p>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kern w:val="0"/>
          <w:sz w:val="36"/>
          <w:szCs w:val="36"/>
          <w:lang w:val="en-US"/>
        </w:rPr>
      </w:pPr>
      <w:r>
        <w:rPr>
          <w:rFonts w:hint="eastAsia" w:ascii="宋体" w:hAnsi="宋体" w:eastAsia="宋体" w:cs="方正小标宋_GBK"/>
          <w:b/>
          <w:kern w:val="0"/>
          <w:sz w:val="36"/>
          <w:szCs w:val="36"/>
          <w:lang w:val="en-US" w:eastAsia="zh-CN" w:bidi="ar"/>
        </w:rPr>
        <w:t>看守经费专项支出绩效评价指标完成情况表</w:t>
      </w:r>
    </w:p>
    <w:tbl>
      <w:tblPr>
        <w:tblStyle w:val="6"/>
        <w:tblW w:w="10035" w:type="dxa"/>
        <w:jc w:val="center"/>
        <w:tblInd w:w="0" w:type="dxa"/>
        <w:tblLayout w:type="fixed"/>
        <w:tblCellMar>
          <w:top w:w="0" w:type="dxa"/>
          <w:left w:w="108" w:type="dxa"/>
          <w:bottom w:w="0" w:type="dxa"/>
          <w:right w:w="108" w:type="dxa"/>
        </w:tblCellMar>
      </w:tblPr>
      <w:tblGrid>
        <w:gridCol w:w="491"/>
        <w:gridCol w:w="664"/>
        <w:gridCol w:w="491"/>
        <w:gridCol w:w="664"/>
        <w:gridCol w:w="721"/>
        <w:gridCol w:w="1925"/>
        <w:gridCol w:w="3926"/>
        <w:gridCol w:w="664"/>
        <w:gridCol w:w="489"/>
      </w:tblGrid>
      <w:tr>
        <w:tblPrEx>
          <w:tblLayout w:type="fixed"/>
          <w:tblCellMar>
            <w:top w:w="0" w:type="dxa"/>
            <w:left w:w="108" w:type="dxa"/>
            <w:bottom w:w="0" w:type="dxa"/>
            <w:right w:w="108" w:type="dxa"/>
          </w:tblCellMar>
        </w:tblPrEx>
        <w:trPr>
          <w:trHeight w:val="1157"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一级指标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二级指标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三级指标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指标完成情况</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评价标准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分值</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得分</w:t>
            </w:r>
          </w:p>
        </w:tc>
      </w:tr>
      <w:tr>
        <w:tblPrEx>
          <w:tblLayout w:type="fixed"/>
          <w:tblCellMar>
            <w:top w:w="0" w:type="dxa"/>
            <w:left w:w="108" w:type="dxa"/>
            <w:bottom w:w="0" w:type="dxa"/>
            <w:right w:w="108" w:type="dxa"/>
          </w:tblCellMar>
        </w:tblPrEx>
        <w:trPr>
          <w:trHeight w:val="2181" w:hRule="atLeast"/>
          <w:jc w:val="center"/>
        </w:trPr>
        <w:tc>
          <w:tcPr>
            <w:tcW w:w="491"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项目决策</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项目目标</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目标</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内容</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设立了项目绩效目标，且目标符合明确具体、细化量化、符合客观实际、与中长期规划相关联、有明确的开始及完成时间</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设有目标（</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分）；目标明确具体（</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分）；目标细化、量化（</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 xml:space="preserve"> </w:t>
            </w:r>
            <w:r>
              <w:rPr>
                <w:rFonts w:hint="eastAsia" w:ascii="仿宋_GB2312" w:hAnsi="宋体" w:eastAsia="宋体" w:cs="宋体"/>
                <w:kern w:val="0"/>
                <w:sz w:val="24"/>
                <w:szCs w:val="24"/>
                <w:lang w:val="en-US" w:eastAsia="zh-CN" w:bidi="ar"/>
              </w:rPr>
              <w:t>；符合客观实际（</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分）；与项目中长期规划相关联（</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分）；有明确的开始及完成时间（</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 xml:space="preserve">   </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20</w:t>
            </w:r>
          </w:p>
        </w:tc>
      </w:tr>
      <w:tr>
        <w:tblPrEx>
          <w:tblLayout w:type="fixed"/>
          <w:tblCellMar>
            <w:top w:w="0" w:type="dxa"/>
            <w:left w:w="108" w:type="dxa"/>
            <w:bottom w:w="0" w:type="dxa"/>
            <w:right w:w="108" w:type="dxa"/>
          </w:tblCellMar>
        </w:tblPrEx>
        <w:trPr>
          <w:trHeight w:val="872"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决策过程</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申报</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实行公开申报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80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审核</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严格审核，并有审核意见</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86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结果</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公示</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分配结果在一定范围公示</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1335"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资金分配</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7</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办法</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制定相关资金管理办法；管理办法中有明确资金分配办法；资金分配因素全面、合理</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有相应的资金管理办法（</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分）；办法健全、规范（</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分）；因素全面合理（</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Layout w:type="fixed"/>
          <w:tblCellMar>
            <w:top w:w="0" w:type="dxa"/>
            <w:left w:w="108" w:type="dxa"/>
            <w:bottom w:w="0" w:type="dxa"/>
            <w:right w:w="108" w:type="dxa"/>
          </w:tblCellMar>
        </w:tblPrEx>
        <w:trPr>
          <w:trHeight w:val="108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分配</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结果</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资金分配符合相关管理办法；分配结果公平合理</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符合分配办法（</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分）；分配公平合理（</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3</w:t>
            </w:r>
          </w:p>
        </w:tc>
      </w:tr>
      <w:tr>
        <w:tblPrEx>
          <w:tblLayout w:type="fixed"/>
          <w:tblCellMar>
            <w:top w:w="0" w:type="dxa"/>
            <w:left w:w="108" w:type="dxa"/>
            <w:bottom w:w="0" w:type="dxa"/>
            <w:right w:w="108" w:type="dxa"/>
          </w:tblCellMar>
        </w:tblPrEx>
        <w:trPr>
          <w:trHeight w:val="1415" w:hRule="atLeast"/>
          <w:jc w:val="center"/>
        </w:trPr>
        <w:tc>
          <w:tcPr>
            <w:tcW w:w="491"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项目管理</w:t>
            </w:r>
          </w:p>
          <w:p>
            <w:pPr>
              <w:keepNext w:val="0"/>
              <w:keepLines w:val="0"/>
              <w:widowControl w:val="0"/>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30</w:t>
            </w: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资金管理</w:t>
            </w:r>
          </w:p>
          <w:p>
            <w:pPr>
              <w:keepNext w:val="0"/>
              <w:keepLines w:val="0"/>
              <w:widowControl w:val="0"/>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预算完成率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实际使用资金</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计划投入资金</w:t>
            </w:r>
            <w:r>
              <w:rPr>
                <w:rFonts w:hint="default" w:ascii="仿宋_GB2312" w:hAnsi="宋体" w:eastAsia="仿宋_GB2312" w:cs="宋体"/>
                <w:kern w:val="0"/>
                <w:sz w:val="24"/>
                <w:szCs w:val="24"/>
                <w:lang w:val="en-US" w:eastAsia="zh-CN" w:bidi="ar"/>
              </w:rPr>
              <w:t>*100%</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预算完成率</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预算实际使用金额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预算资金计划投入金额，</w:t>
            </w:r>
            <w:r>
              <w:rPr>
                <w:rFonts w:hint="default" w:ascii="仿宋_GB2312" w:hAnsi="宋体" w:eastAsia="仿宋_GB2312" w:cs="宋体"/>
                <w:kern w:val="0"/>
                <w:sz w:val="24"/>
                <w:szCs w:val="24"/>
                <w:lang w:val="en-US" w:eastAsia="zh-CN" w:bidi="ar"/>
              </w:rPr>
              <w:t>90%</w:t>
            </w:r>
            <w:r>
              <w:rPr>
                <w:rFonts w:hint="eastAsia" w:ascii="仿宋_GB2312" w:hAnsi="宋体" w:eastAsia="宋体" w:cs="宋体"/>
                <w:kern w:val="0"/>
                <w:sz w:val="24"/>
                <w:szCs w:val="24"/>
                <w:lang w:val="en-US" w:eastAsia="zh-CN" w:bidi="ar"/>
              </w:rPr>
              <w:t>以上（</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80%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90%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3</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70%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80%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r>
              <w:rPr>
                <w:rFonts w:hint="default" w:ascii="仿宋_GB2312" w:hAnsi="宋体" w:eastAsia="仿宋_GB2312" w:cs="宋体"/>
                <w:kern w:val="0"/>
                <w:sz w:val="24"/>
                <w:szCs w:val="24"/>
                <w:lang w:val="en-US" w:eastAsia="zh-CN" w:bidi="ar"/>
              </w:rPr>
              <w:t>60%</w:t>
            </w:r>
            <w:r>
              <w:rPr>
                <w:rFonts w:hint="eastAsia" w:ascii="仿宋_GB2312" w:hAnsi="宋体" w:eastAsia="宋体" w:cs="宋体"/>
                <w:kern w:val="0"/>
                <w:sz w:val="24"/>
                <w:szCs w:val="24"/>
                <w:lang w:val="en-US" w:eastAsia="zh-CN" w:bidi="ar"/>
              </w:rPr>
              <w:t>以上不满</w:t>
            </w:r>
            <w:r>
              <w:rPr>
                <w:rFonts w:hint="default" w:ascii="仿宋_GB2312" w:hAnsi="宋体" w:eastAsia="仿宋_GB2312" w:cs="宋体"/>
                <w:kern w:val="0"/>
                <w:sz w:val="24"/>
                <w:szCs w:val="24"/>
                <w:lang w:val="en-US" w:eastAsia="zh-CN" w:bidi="ar"/>
              </w:rPr>
              <w:t>70%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分）；不满</w:t>
            </w:r>
            <w:r>
              <w:rPr>
                <w:rFonts w:hint="default" w:ascii="仿宋_GB2312" w:hAnsi="宋体" w:eastAsia="仿宋_GB2312" w:cs="宋体"/>
                <w:kern w:val="0"/>
                <w:sz w:val="24"/>
                <w:szCs w:val="24"/>
                <w:lang w:val="en-US" w:eastAsia="zh-CN" w:bidi="ar"/>
              </w:rPr>
              <w:t>60%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Layout w:type="fixed"/>
          <w:tblCellMar>
            <w:top w:w="0" w:type="dxa"/>
            <w:left w:w="108" w:type="dxa"/>
            <w:bottom w:w="0" w:type="dxa"/>
            <w:right w:w="108" w:type="dxa"/>
          </w:tblCellMar>
        </w:tblPrEx>
        <w:trPr>
          <w:trHeight w:val="1230"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工作经费开支率</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工作经费支出金额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专项资金实际支出总额</w:t>
            </w:r>
            <w:r>
              <w:rPr>
                <w:rFonts w:hint="default" w:ascii="仿宋_GB2312" w:hAnsi="宋体" w:eastAsia="仿宋_GB2312" w:cs="宋体"/>
                <w:kern w:val="0"/>
                <w:sz w:val="24"/>
                <w:szCs w:val="24"/>
                <w:lang w:val="en-US" w:eastAsia="zh-CN" w:bidi="ar"/>
              </w:rPr>
              <w:t>*100%</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工作经费开支率≤</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，计</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分；每上升</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扣</w:t>
            </w:r>
            <w:r>
              <w:rPr>
                <w:rFonts w:hint="default" w:ascii="仿宋_GB2312" w:hAnsi="宋体" w:eastAsia="仿宋_GB2312" w:cs="宋体"/>
                <w:kern w:val="0"/>
                <w:sz w:val="24"/>
                <w:szCs w:val="24"/>
                <w:lang w:val="en-US" w:eastAsia="zh-CN" w:bidi="ar"/>
              </w:rPr>
              <w:t>0.25</w:t>
            </w:r>
            <w:r>
              <w:rPr>
                <w:rFonts w:hint="eastAsia" w:ascii="仿宋_GB2312" w:hAnsi="宋体" w:eastAsia="宋体" w:cs="宋体"/>
                <w:kern w:val="0"/>
                <w:sz w:val="24"/>
                <w:szCs w:val="24"/>
                <w:lang w:val="en-US" w:eastAsia="zh-CN" w:bidi="ar"/>
              </w:rPr>
              <w:t>分，扣完为止。</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专款专用</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预算资金专款专用，无挤占挪用</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专款专用率</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专项资金用于该项目支出金额</w:t>
            </w:r>
            <w:r>
              <w:rPr>
                <w:rFonts w:hint="default" w:ascii="仿宋_GB2312" w:hAnsi="宋体" w:eastAsia="仿宋_GB2312" w:cs="宋体"/>
                <w:kern w:val="0"/>
                <w:sz w:val="24"/>
                <w:szCs w:val="24"/>
                <w:lang w:val="en-US" w:eastAsia="zh-CN" w:bidi="ar"/>
              </w:rPr>
              <w:t>/</w:t>
            </w:r>
            <w:r>
              <w:rPr>
                <w:rFonts w:hint="eastAsia" w:ascii="仿宋_GB2312" w:hAnsi="宋体" w:eastAsia="宋体" w:cs="宋体"/>
                <w:kern w:val="0"/>
                <w:sz w:val="24"/>
                <w:szCs w:val="24"/>
                <w:lang w:val="en-US" w:eastAsia="zh-CN" w:bidi="ar"/>
              </w:rPr>
              <w:t>预算支出资金总额，</w:t>
            </w:r>
            <w:r>
              <w:rPr>
                <w:rFonts w:hint="default" w:ascii="仿宋_GB2312" w:hAnsi="宋体" w:eastAsia="仿宋_GB2312" w:cs="宋体"/>
                <w:kern w:val="0"/>
                <w:sz w:val="24"/>
                <w:szCs w:val="24"/>
                <w:lang w:val="en-US" w:eastAsia="zh-CN" w:bidi="ar"/>
              </w:rPr>
              <w:t>100%</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分），否则不计分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Layout w:type="fixed"/>
          <w:tblCellMar>
            <w:top w:w="0" w:type="dxa"/>
            <w:left w:w="108" w:type="dxa"/>
            <w:bottom w:w="0" w:type="dxa"/>
            <w:right w:w="108" w:type="dxa"/>
          </w:tblCellMar>
        </w:tblPrEx>
        <w:trPr>
          <w:trHeight w:val="832"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专项专账核算</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实行专账单独核算</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5</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5</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5</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支出用途清晰</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费用开支具体用途清晰</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审批程序规范</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费用支出审批程序健全、规范</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组织实施</w:t>
            </w:r>
          </w:p>
        </w:tc>
        <w:tc>
          <w:tcPr>
            <w:tcW w:w="664" w:type="dxa"/>
            <w:vMerge w:val="restart"/>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p>
            <w:pPr>
              <w:keepNext w:val="0"/>
              <w:keepLines w:val="0"/>
              <w:widowControl/>
              <w:suppressLineNumbers w:val="0"/>
              <w:spacing w:before="0" w:beforeAutospacing="0" w:after="0" w:afterAutospacing="0" w:line="260" w:lineRule="exact"/>
              <w:ind w:left="0" w:right="0"/>
              <w:jc w:val="both"/>
              <w:rPr>
                <w:rFonts w:hint="default" w:ascii="仿宋_GB2312" w:hAnsi="宋体" w:eastAsia="仿宋_GB2312" w:cs="宋体"/>
                <w:kern w:val="0"/>
                <w:sz w:val="24"/>
                <w:szCs w:val="24"/>
                <w:lang w:val="en-US"/>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组织</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机构健全、分工明确</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机构健全、分工明确</w:t>
            </w:r>
            <w:r>
              <w:rPr>
                <w:rFonts w:hint="default" w:ascii="仿宋_GB2312" w:hAnsi="宋体" w:eastAsia="仿宋_GB2312" w:cs="宋体"/>
                <w:kern w:val="0"/>
                <w:sz w:val="24"/>
                <w:szCs w:val="24"/>
                <w:lang w:val="en-US" w:eastAsia="zh-CN" w:bidi="ar"/>
              </w:rPr>
              <w:t xml:space="preserve">  </w:t>
            </w:r>
            <w:r>
              <w:rPr>
                <w:rFonts w:hint="eastAsia" w:ascii="仿宋_GB2312" w:hAnsi="宋体" w:eastAsia="宋体" w:cs="宋体"/>
                <w:kern w:val="0"/>
                <w:sz w:val="24"/>
                <w:szCs w:val="24"/>
                <w:lang w:val="en-US" w:eastAsia="zh-CN" w:bidi="ar"/>
              </w:rPr>
              <w:t>（</w:t>
            </w:r>
            <w:r>
              <w:rPr>
                <w:rFonts w:hint="default" w:ascii="仿宋_GB2312" w:hAnsi="宋体" w:eastAsia="仿宋_GB2312" w:cs="宋体"/>
                <w:kern w:val="0"/>
                <w:sz w:val="24"/>
                <w:szCs w:val="24"/>
                <w:lang w:val="en-US" w:eastAsia="zh-CN" w:bidi="ar"/>
              </w:rPr>
              <w:t>2</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实施</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项目按计划开工；按计划进度开展；按计划完工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按计划开工（</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分）；计划开展（</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分）；计划完工（</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3</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3</w:t>
            </w:r>
          </w:p>
        </w:tc>
      </w:tr>
      <w:tr>
        <w:tblPrEx>
          <w:tblLayout w:type="fixed"/>
          <w:tblCellMar>
            <w:top w:w="0" w:type="dxa"/>
            <w:left w:w="108" w:type="dxa"/>
            <w:bottom w:w="0" w:type="dxa"/>
            <w:right w:w="108" w:type="dxa"/>
          </w:tblCellMar>
        </w:tblPrEx>
        <w:trPr>
          <w:trHeight w:val="112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管理</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制度</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项目管理制度健全；严格执行相关管理制度</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管理制度健全（</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分）；制度执行严格（</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2</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2</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监控</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机制</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是否制定或具有相应的监控机制</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监督</w:t>
            </w:r>
          </w:p>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检查</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是否进行了专项监督检查</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799" w:hRule="atLeast"/>
          <w:jc w:val="center"/>
        </w:trPr>
        <w:tc>
          <w:tcPr>
            <w:tcW w:w="491" w:type="dxa"/>
            <w:vMerge w:val="continue"/>
            <w:tcBorders>
              <w:top w:val="nil"/>
              <w:left w:val="single" w:color="auto" w:sz="4" w:space="0"/>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491"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664" w:type="dxa"/>
            <w:vMerge w:val="continue"/>
            <w:tcBorders>
              <w:top w:val="nil"/>
              <w:left w:val="nil"/>
              <w:bottom w:val="single" w:color="auto" w:sz="4" w:space="0"/>
              <w:right w:val="single" w:color="auto" w:sz="4" w:space="0"/>
            </w:tcBorders>
            <w:noWrap w:val="0"/>
            <w:vAlign w:val="center"/>
          </w:tcPr>
          <w:p>
            <w:pPr>
              <w:rPr>
                <w:rFonts w:hint="default" w:ascii="Calibri" w:hAnsi="Calibri" w:eastAsia="宋体" w:cs="Times New Roman"/>
                <w:kern w:val="2"/>
                <w:sz w:val="21"/>
                <w:szCs w:val="22"/>
              </w:rPr>
            </w:pP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政府采购</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达到政府采购要求的项目进行了政府采购</w:t>
            </w: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是，计</w:t>
            </w:r>
            <w:r>
              <w:rPr>
                <w:rFonts w:hint="default" w:ascii="仿宋_GB2312" w:hAnsi="宋体" w:eastAsia="仿宋_GB2312" w:cs="宋体"/>
                <w:kern w:val="0"/>
                <w:sz w:val="24"/>
                <w:szCs w:val="24"/>
                <w:lang w:val="en-US" w:eastAsia="zh-CN" w:bidi="ar"/>
              </w:rPr>
              <w:t>1</w:t>
            </w:r>
            <w:r>
              <w:rPr>
                <w:rFonts w:hint="eastAsia" w:ascii="仿宋_GB2312" w:hAnsi="宋体" w:eastAsia="宋体" w:cs="宋体"/>
                <w:kern w:val="0"/>
                <w:sz w:val="24"/>
                <w:szCs w:val="24"/>
                <w:lang w:val="en-US" w:eastAsia="zh-CN" w:bidi="ar"/>
              </w:rPr>
              <w:t>分；否，计</w:t>
            </w:r>
            <w:r>
              <w:rPr>
                <w:rFonts w:hint="default" w:ascii="仿宋_GB2312" w:hAnsi="宋体" w:eastAsia="仿宋_GB2312" w:cs="宋体"/>
                <w:kern w:val="0"/>
                <w:sz w:val="24"/>
                <w:szCs w:val="24"/>
                <w:lang w:val="en-US" w:eastAsia="zh-CN" w:bidi="ar"/>
              </w:rPr>
              <w:t>0</w:t>
            </w:r>
            <w:r>
              <w:rPr>
                <w:rFonts w:hint="eastAsia" w:ascii="仿宋_GB2312" w:hAnsi="宋体" w:eastAsia="宋体" w:cs="宋体"/>
                <w:kern w:val="0"/>
                <w:sz w:val="24"/>
                <w:szCs w:val="24"/>
                <w:lang w:val="en-US" w:eastAsia="zh-CN" w:bidi="ar"/>
              </w:rPr>
              <w:t>分。</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1</w:t>
            </w:r>
          </w:p>
        </w:tc>
      </w:tr>
      <w:tr>
        <w:tblPrEx>
          <w:tblLayout w:type="fixed"/>
          <w:tblCellMar>
            <w:top w:w="0" w:type="dxa"/>
            <w:left w:w="108" w:type="dxa"/>
            <w:bottom w:w="0" w:type="dxa"/>
            <w:right w:w="108" w:type="dxa"/>
          </w:tblCellMar>
        </w:tblPrEx>
        <w:trPr>
          <w:trHeight w:val="1681"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项目绩效</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项目产出效果</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绩效目标完成情况</w:t>
            </w: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3926" w:type="dxa"/>
            <w:tcBorders>
              <w:top w:val="single" w:color="auto" w:sz="4" w:space="0"/>
              <w:left w:val="nil"/>
              <w:bottom w:val="single" w:color="auto" w:sz="4" w:space="0"/>
              <w:right w:val="single" w:color="auto" w:sz="4" w:space="0"/>
            </w:tcBorders>
            <w:noWrap w:val="0"/>
            <w:vAlign w:val="center"/>
          </w:tcPr>
          <w:p>
            <w:pPr>
              <w:widowControl/>
              <w:spacing w:line="315" w:lineRule="atLeast"/>
              <w:ind w:firstLine="480" w:firstLineChars="200"/>
              <w:rPr>
                <w:rFonts w:hint="eastAsia" w:ascii="宋体" w:hAnsi="宋体" w:eastAsia="宋体" w:cs="宋体"/>
                <w:color w:val="333333"/>
                <w:kern w:val="0"/>
                <w:sz w:val="24"/>
                <w:szCs w:val="24"/>
                <w:shd w:val="clear" w:color="auto" w:fill="FFFFFF"/>
              </w:rPr>
            </w:pPr>
            <w:r>
              <w:rPr>
                <w:rFonts w:hint="eastAsia" w:ascii="宋体" w:hAnsi="宋体" w:eastAsia="宋体" w:cs="宋体"/>
                <w:color w:val="333333"/>
                <w:kern w:val="0"/>
                <w:sz w:val="24"/>
                <w:szCs w:val="24"/>
                <w:shd w:val="clear" w:color="auto" w:fill="FFFFFF"/>
              </w:rPr>
              <w:t>1、产出指标。（1）数量指标：财政预算经费使用率100%；在押人员给养费得到充分保障。（2）质量指标：一般性商品和服务支出稳中有降。（3）时效指标：财政预算资金及时到位，每月能按时使用。</w:t>
            </w:r>
          </w:p>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r>
              <w:rPr>
                <w:rFonts w:hint="eastAsia" w:ascii="宋体" w:hAnsi="宋体" w:eastAsia="宋体" w:cs="宋体"/>
                <w:color w:val="333333"/>
                <w:kern w:val="0"/>
                <w:sz w:val="24"/>
                <w:szCs w:val="24"/>
                <w:shd w:val="clear" w:color="auto" w:fill="FFFFFF"/>
                <w:lang w:val="en-US" w:eastAsia="zh-CN"/>
              </w:rPr>
              <w:t xml:space="preserve">    </w:t>
            </w:r>
            <w:r>
              <w:rPr>
                <w:rFonts w:hint="eastAsia" w:ascii="宋体" w:hAnsi="宋体" w:eastAsia="宋体" w:cs="宋体"/>
                <w:color w:val="333333"/>
                <w:kern w:val="0"/>
                <w:sz w:val="24"/>
                <w:szCs w:val="24"/>
                <w:shd w:val="clear" w:color="auto" w:fill="FFFFFF"/>
              </w:rPr>
              <w:t>2、效益指标。（1）经济效益：预算经费使用率100%。（2）社会效益：保障在押人员的正常生活，确保监所安全稳定；服务好公检法司等部门的办案需求，保障了刑事诉讼活动顺利进行；警示彰显政府的公信力、执行力；强化了警示教育，提高全民遵纪守法意识。（3）社会公众满意度：社会公众对政府的满意程度95%以上。</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40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40</w:t>
            </w:r>
          </w:p>
        </w:tc>
      </w:tr>
      <w:tr>
        <w:tblPrEx>
          <w:tblLayout w:type="fixed"/>
          <w:tblCellMar>
            <w:top w:w="0" w:type="dxa"/>
            <w:left w:w="108" w:type="dxa"/>
            <w:bottom w:w="0" w:type="dxa"/>
            <w:right w:w="108" w:type="dxa"/>
          </w:tblCellMar>
        </w:tblPrEx>
        <w:trPr>
          <w:trHeight w:val="911" w:hRule="atLeast"/>
          <w:jc w:val="center"/>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eastAsia" w:ascii="仿宋_GB2312" w:hAnsi="宋体" w:eastAsia="宋体" w:cs="宋体"/>
                <w:kern w:val="0"/>
                <w:sz w:val="24"/>
                <w:szCs w:val="24"/>
                <w:lang w:val="en-US" w:eastAsia="zh-CN" w:bidi="ar"/>
              </w:rPr>
              <w:t>合计</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49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72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p>
        </w:tc>
        <w:tc>
          <w:tcPr>
            <w:tcW w:w="19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39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default" w:ascii="仿宋_GB2312" w:hAnsi="宋体" w:eastAsia="仿宋_GB2312" w:cs="宋体"/>
                <w:kern w:val="0"/>
                <w:sz w:val="24"/>
                <w:szCs w:val="24"/>
                <w:lang w:val="en-US"/>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default" w:ascii="仿宋_GB2312" w:hAnsi="宋体" w:eastAsia="仿宋_GB2312" w:cs="宋体"/>
                <w:kern w:val="0"/>
                <w:sz w:val="24"/>
                <w:szCs w:val="24"/>
                <w:lang w:val="en-US"/>
              </w:rPr>
            </w:pPr>
            <w:r>
              <w:rPr>
                <w:rFonts w:hint="default" w:ascii="仿宋_GB2312" w:hAnsi="宋体" w:eastAsia="仿宋_GB2312" w:cs="宋体"/>
                <w:kern w:val="0"/>
                <w:sz w:val="24"/>
                <w:szCs w:val="24"/>
                <w:lang w:val="en-US" w:eastAsia="zh-CN" w:bidi="ar"/>
              </w:rPr>
              <w:t>100</w:t>
            </w:r>
          </w:p>
        </w:tc>
        <w:tc>
          <w:tcPr>
            <w:tcW w:w="489"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lang w:val="en-US" w:eastAsia="zh-CN"/>
              </w:rPr>
              <w:t>98</w:t>
            </w:r>
          </w:p>
        </w:tc>
      </w:tr>
    </w:tbl>
    <w:p>
      <w:pPr>
        <w:keepNext w:val="0"/>
        <w:keepLines w:val="0"/>
        <w:widowControl w:val="0"/>
        <w:suppressLineNumbers w:val="0"/>
        <w:spacing w:before="0" w:beforeAutospacing="0" w:after="0" w:afterAutospacing="0" w:line="260" w:lineRule="exact"/>
        <w:ind w:left="0" w:right="0"/>
        <w:jc w:val="both"/>
        <w:rPr>
          <w:rFonts w:hint="default" w:ascii="仿宋_GB2312" w:hAnsi="宋体" w:eastAsia="仿宋_GB2312" w:cs="宋体"/>
          <w:szCs w:val="21"/>
          <w:lang w:val="en-US"/>
        </w:rPr>
      </w:pPr>
      <w:r>
        <w:rPr>
          <w:rFonts w:hint="default" w:ascii="仿宋_GB2312" w:hAnsi="宋体" w:eastAsia="仿宋_GB2312" w:cs="宋体"/>
          <w:kern w:val="2"/>
          <w:sz w:val="21"/>
          <w:szCs w:val="21"/>
          <w:lang w:val="en-US" w:eastAsia="zh-CN" w:bidi="ar"/>
        </w:rPr>
        <w:t xml:space="preserve"> </w:t>
      </w:r>
    </w:p>
    <w:p>
      <w:pPr>
        <w:keepNext w:val="0"/>
        <w:keepLines w:val="0"/>
        <w:widowControl w:val="0"/>
        <w:suppressLineNumbers w:val="0"/>
        <w:spacing w:before="0" w:beforeAutospacing="0" w:after="0" w:afterAutospacing="0" w:line="440" w:lineRule="exact"/>
        <w:ind w:left="0" w:right="640"/>
        <w:jc w:val="both"/>
        <w:rPr>
          <w:rFonts w:hint="default" w:ascii="仿宋_GB2312" w:hAnsi="宋体" w:eastAsia="仿宋_GB2312" w:cs="仿宋_GB2312"/>
          <w:sz w:val="32"/>
          <w:szCs w:val="32"/>
          <w:lang w:val="en-US"/>
        </w:rPr>
      </w:pPr>
      <w:r>
        <w:rPr>
          <w:rFonts w:hint="default" w:ascii="仿宋_GB2312" w:hAnsi="宋体"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both"/>
        <w:rPr>
          <w:lang w:val="en-US"/>
        </w:rPr>
      </w:pPr>
    </w:p>
    <w:p>
      <w:pPr>
        <w:rPr>
          <w:rFonts w:hint="eastAsia" w:ascii="黑体" w:eastAsia="黑体"/>
          <w:b/>
          <w:sz w:val="44"/>
          <w:szCs w:val="44"/>
        </w:rPr>
      </w:pPr>
      <w:r>
        <w:rPr>
          <w:rFonts w:hint="eastAsia" w:ascii="黑体" w:eastAsia="黑体"/>
          <w:b/>
          <w:sz w:val="44"/>
          <w:szCs w:val="44"/>
          <w:lang w:val="en-US" w:eastAsia="zh-CN"/>
        </w:rPr>
        <w:t xml:space="preserve">     </w:t>
      </w:r>
      <w:r>
        <w:rPr>
          <w:rFonts w:hint="eastAsia" w:ascii="黑体" w:eastAsia="黑体"/>
          <w:b/>
          <w:sz w:val="44"/>
          <w:szCs w:val="44"/>
        </w:rPr>
        <w:t>关于项目支出绩效评</w:t>
      </w:r>
      <w:r>
        <w:rPr>
          <w:rFonts w:hint="eastAsia" w:ascii="黑体" w:eastAsia="黑体"/>
          <w:b/>
          <w:sz w:val="44"/>
          <w:szCs w:val="44"/>
          <w:lang w:eastAsia="zh-CN"/>
        </w:rPr>
        <w:t>价</w:t>
      </w:r>
      <w:r>
        <w:rPr>
          <w:rFonts w:hint="eastAsia" w:ascii="黑体" w:hAnsi="宋体" w:eastAsia="黑体"/>
          <w:b/>
          <w:sz w:val="44"/>
          <w:szCs w:val="44"/>
        </w:rPr>
        <w:t>问卷调查</w:t>
      </w:r>
      <w:r>
        <w:rPr>
          <w:rFonts w:hint="eastAsia" w:ascii="黑体" w:eastAsia="黑体"/>
          <w:b/>
          <w:sz w:val="44"/>
          <w:szCs w:val="44"/>
        </w:rPr>
        <w:t>的</w:t>
      </w:r>
    </w:p>
    <w:p>
      <w:pPr>
        <w:jc w:val="center"/>
        <w:rPr>
          <w:rFonts w:hint="eastAsia" w:ascii="黑体" w:eastAsia="黑体"/>
          <w:b/>
          <w:sz w:val="44"/>
          <w:szCs w:val="44"/>
        </w:rPr>
      </w:pPr>
      <w:r>
        <w:rPr>
          <w:rFonts w:hint="eastAsia" w:ascii="黑体" w:eastAsia="黑体"/>
          <w:b/>
          <w:sz w:val="44"/>
          <w:szCs w:val="44"/>
        </w:rPr>
        <w:t>情况说明</w:t>
      </w:r>
    </w:p>
    <w:p>
      <w:pPr>
        <w:rPr>
          <w:rFonts w:hint="eastAsia"/>
        </w:rPr>
      </w:pPr>
    </w:p>
    <w:p>
      <w:pPr>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湘潭县看守所地处湘潭县易俗河镇</w:t>
      </w:r>
      <w:r>
        <w:rPr>
          <w:rFonts w:hint="eastAsia" w:ascii="仿宋_GB2312" w:hAnsi="仿宋" w:eastAsia="仿宋_GB2312"/>
          <w:color w:val="000000"/>
          <w:kern w:val="0"/>
          <w:sz w:val="28"/>
          <w:szCs w:val="28"/>
        </w:rPr>
        <w:t>海裳南路308号，属湘潭县公安局二级构，人员编制经费由县公安局统一管理，看守专项部份属县财政一级核算单位</w:t>
      </w:r>
      <w:r>
        <w:rPr>
          <w:rFonts w:hint="eastAsia" w:ascii="仿宋_GB2312" w:hAnsi="宋体" w:eastAsia="仿宋_GB2312"/>
          <w:color w:val="000000"/>
          <w:sz w:val="28"/>
          <w:szCs w:val="28"/>
        </w:rPr>
        <w:t>。</w:t>
      </w:r>
    </w:p>
    <w:p>
      <w:pPr>
        <w:ind w:firstLine="560" w:firstLineChars="200"/>
        <w:rPr>
          <w:rFonts w:hint="eastAsia" w:ascii="仿宋_GB2312" w:eastAsia="仿宋_GB2312"/>
          <w:sz w:val="28"/>
          <w:szCs w:val="28"/>
        </w:rPr>
      </w:pPr>
      <w:r>
        <w:rPr>
          <w:rFonts w:hint="eastAsia" w:ascii="仿宋_GB2312" w:eastAsia="仿宋_GB2312"/>
          <w:color w:val="000000"/>
          <w:sz w:val="28"/>
          <w:szCs w:val="28"/>
        </w:rPr>
        <w:t>为进一步推进看守所执法规范化建设，规范执法行为，</w:t>
      </w:r>
      <w:r>
        <w:rPr>
          <w:rFonts w:hint="eastAsia" w:ascii="仿宋_GB2312" w:hAnsi="仿宋" w:eastAsia="仿宋_GB2312"/>
          <w:color w:val="000000"/>
          <w:kern w:val="0"/>
          <w:sz w:val="28"/>
          <w:szCs w:val="28"/>
        </w:rPr>
        <w:t>保障刑事诉讼活动的顺利进行。</w:t>
      </w:r>
      <w:r>
        <w:rPr>
          <w:rFonts w:hint="eastAsia" w:ascii="仿宋_GB2312" w:eastAsia="仿宋_GB2312"/>
          <w:sz w:val="28"/>
          <w:szCs w:val="28"/>
        </w:rPr>
        <w:t>我县</w:t>
      </w:r>
      <w:r>
        <w:rPr>
          <w:rFonts w:hint="eastAsia" w:ascii="仿宋_GB2312" w:hAnsi="宋体" w:eastAsia="仿宋_GB2312" w:cs="宋体"/>
          <w:color w:val="000000"/>
          <w:kern w:val="0"/>
          <w:sz w:val="28"/>
          <w:szCs w:val="28"/>
        </w:rPr>
        <w:t>财政部门在财力紧张情况下，多年来对看守所的经费保障予以了倾斜，20</w:t>
      </w:r>
      <w:r>
        <w:rPr>
          <w:rFonts w:hint="eastAsia" w:ascii="仿宋_GB2312" w:hAnsi="宋体" w:eastAsia="仿宋_GB2312" w:cs="宋体"/>
          <w:color w:val="000000"/>
          <w:kern w:val="0"/>
          <w:sz w:val="28"/>
          <w:szCs w:val="28"/>
          <w:lang w:val="en-US" w:eastAsia="zh-CN"/>
        </w:rPr>
        <w:t>20</w:t>
      </w:r>
      <w:r>
        <w:rPr>
          <w:rFonts w:hint="eastAsia" w:ascii="仿宋_GB2312" w:hAnsi="宋体" w:eastAsia="仿宋_GB2312" w:cs="宋体"/>
          <w:color w:val="000000"/>
          <w:kern w:val="0"/>
          <w:sz w:val="28"/>
          <w:szCs w:val="28"/>
        </w:rPr>
        <w:t>年安排了看守所专项经费</w:t>
      </w:r>
      <w:r>
        <w:rPr>
          <w:rFonts w:hint="eastAsia" w:ascii="仿宋_GB2312" w:hAnsi="宋体" w:eastAsia="仿宋_GB2312" w:cs="宋体"/>
          <w:color w:val="000000"/>
          <w:kern w:val="0"/>
          <w:sz w:val="28"/>
          <w:szCs w:val="28"/>
          <w:lang w:val="en-US" w:eastAsia="zh-CN"/>
        </w:rPr>
        <w:t>450.8185</w:t>
      </w:r>
      <w:r>
        <w:rPr>
          <w:rFonts w:hint="eastAsia" w:ascii="仿宋_GB2312" w:hAnsi="宋体" w:eastAsia="仿宋_GB2312" w:cs="宋体"/>
          <w:color w:val="000000"/>
          <w:kern w:val="0"/>
          <w:sz w:val="28"/>
          <w:szCs w:val="28"/>
        </w:rPr>
        <w:t>万元。</w:t>
      </w:r>
      <w:r>
        <w:rPr>
          <w:rFonts w:hint="eastAsia" w:ascii="仿宋_GB2312" w:hAnsi="宋体" w:eastAsia="仿宋_GB2312"/>
          <w:color w:val="000000"/>
          <w:sz w:val="28"/>
          <w:szCs w:val="28"/>
        </w:rPr>
        <w:t>湘潭县看守所</w:t>
      </w:r>
      <w:r>
        <w:rPr>
          <w:rFonts w:hint="eastAsia" w:ascii="仿宋_GB2312" w:eastAsia="仿宋_GB2312"/>
          <w:sz w:val="28"/>
          <w:szCs w:val="28"/>
        </w:rPr>
        <w:t>按照</w:t>
      </w:r>
      <w:r>
        <w:rPr>
          <w:rFonts w:hint="eastAsia" w:ascii="仿宋_GB2312" w:hAnsi="宋体" w:eastAsia="仿宋_GB2312" w:cs="宋体"/>
          <w:color w:val="000000"/>
          <w:kern w:val="0"/>
          <w:sz w:val="28"/>
          <w:szCs w:val="28"/>
        </w:rPr>
        <w:t>公安部 财政部《看守所经费开支范围和管理办法的规定》</w:t>
      </w:r>
      <w:r>
        <w:rPr>
          <w:rFonts w:hint="eastAsia" w:ascii="仿宋_GB2312" w:eastAsia="仿宋_GB2312"/>
          <w:sz w:val="28"/>
          <w:szCs w:val="28"/>
        </w:rPr>
        <w:t>，严格财经纪律，厉行节约，合理调配专项资金使用，实时保障了在押人员的正常生活，连续保持了监所</w:t>
      </w:r>
      <w:r>
        <w:rPr>
          <w:rFonts w:hint="eastAsia" w:ascii="仿宋_GB2312" w:eastAsia="仿宋_GB2312"/>
          <w:sz w:val="28"/>
          <w:szCs w:val="28"/>
          <w:lang w:eastAsia="zh-CN"/>
        </w:rPr>
        <w:t>二十</w:t>
      </w:r>
      <w:r>
        <w:rPr>
          <w:rFonts w:hint="eastAsia" w:ascii="仿宋_GB2312" w:eastAsia="仿宋_GB2312"/>
          <w:sz w:val="28"/>
          <w:szCs w:val="28"/>
        </w:rPr>
        <w:t xml:space="preserve">年安全无事故，服务满足了公检法司等部门的办案需求，切实保障了刑事诉讼活动顺利进行。 </w:t>
      </w:r>
    </w:p>
    <w:p>
      <w:pPr>
        <w:ind w:firstLine="560" w:firstLineChars="200"/>
        <w:rPr>
          <w:rFonts w:hint="eastAsia" w:ascii="仿宋_GB2312" w:eastAsia="仿宋_GB2312"/>
          <w:sz w:val="28"/>
          <w:szCs w:val="28"/>
        </w:rPr>
      </w:pPr>
      <w:r>
        <w:rPr>
          <w:rFonts w:hint="eastAsia" w:ascii="仿宋_GB2312" w:hAnsi="宋体" w:eastAsia="仿宋_GB2312"/>
          <w:color w:val="000000"/>
          <w:sz w:val="28"/>
          <w:szCs w:val="28"/>
        </w:rPr>
        <w:t>根据《</w:t>
      </w:r>
      <w:r>
        <w:rPr>
          <w:rFonts w:hint="eastAsia" w:ascii="仿宋_GB2312" w:eastAsia="仿宋_GB2312"/>
          <w:bCs/>
          <w:sz w:val="28"/>
          <w:szCs w:val="28"/>
        </w:rPr>
        <w:t>中华人民共和国看守所条例</w:t>
      </w:r>
      <w:r>
        <w:rPr>
          <w:rFonts w:hint="eastAsia" w:ascii="仿宋_GB2312" w:hAnsi="宋体" w:eastAsia="仿宋_GB2312"/>
          <w:color w:val="000000"/>
          <w:sz w:val="28"/>
          <w:szCs w:val="28"/>
        </w:rPr>
        <w:t>》规定：</w:t>
      </w:r>
      <w:r>
        <w:rPr>
          <w:rFonts w:hint="eastAsia" w:ascii="仿宋_GB2312" w:eastAsia="仿宋_GB2312"/>
          <w:sz w:val="28"/>
          <w:szCs w:val="28"/>
        </w:rPr>
        <w:t>看守所主要职责是依据国家法律对被羁押的人犯实行武装警戒看守，保障安全；对人犯进行教育；管理人犯的生活和卫生；保障侦查、起诉和审判工作的顺利进行，是羁押依法被逮捕、刑事拘留的人犯的机关。</w:t>
      </w:r>
    </w:p>
    <w:p>
      <w:pPr>
        <w:ind w:firstLine="560" w:firstLineChars="200"/>
        <w:rPr>
          <w:rFonts w:hint="eastAsia" w:ascii="仿宋_GB2312" w:hAnsi="宋体" w:eastAsia="仿宋_GB2312"/>
          <w:sz w:val="28"/>
          <w:szCs w:val="28"/>
        </w:rPr>
      </w:pPr>
      <w:r>
        <w:rPr>
          <w:rFonts w:hint="eastAsia" w:ascii="仿宋_GB2312" w:eastAsia="仿宋_GB2312"/>
          <w:sz w:val="28"/>
          <w:szCs w:val="28"/>
        </w:rPr>
        <w:t>鉴于看守所的性质，其服务对象刑事犯罪的在押人员，财政项目绩效自评要求的</w:t>
      </w:r>
      <w:r>
        <w:rPr>
          <w:rFonts w:hint="eastAsia" w:ascii="仿宋_GB2312" w:hAnsi="宋体" w:eastAsia="仿宋_GB2312"/>
          <w:sz w:val="28"/>
          <w:szCs w:val="28"/>
        </w:rPr>
        <w:t>问卷调查不能有效实施。特此说明。</w:t>
      </w:r>
    </w:p>
    <w:p>
      <w:pPr>
        <w:ind w:firstLine="4620" w:firstLineChars="1650"/>
        <w:rPr>
          <w:rFonts w:hint="eastAsia" w:ascii="仿宋_GB2312" w:hAnsi="宋体" w:eastAsia="仿宋_GB2312"/>
          <w:sz w:val="28"/>
          <w:szCs w:val="28"/>
        </w:rPr>
      </w:pPr>
    </w:p>
    <w:p>
      <w:pPr>
        <w:ind w:firstLine="5320" w:firstLineChars="1900"/>
        <w:rPr>
          <w:rFonts w:hint="eastAsia" w:ascii="仿宋_GB2312" w:hAnsi="宋体" w:eastAsia="仿宋_GB2312"/>
          <w:sz w:val="28"/>
          <w:szCs w:val="28"/>
        </w:rPr>
      </w:pPr>
      <w:r>
        <w:rPr>
          <w:rFonts w:hint="eastAsia" w:ascii="仿宋_GB2312" w:hAnsi="宋体" w:eastAsia="仿宋_GB2312"/>
          <w:sz w:val="28"/>
          <w:szCs w:val="28"/>
        </w:rPr>
        <w:t>湘潭县看守所</w:t>
      </w:r>
    </w:p>
    <w:p>
      <w:pPr>
        <w:ind w:firstLine="5180" w:firstLineChars="1850"/>
        <w:rPr>
          <w:rFonts w:hint="eastAsia"/>
          <w:sz w:val="28"/>
          <w:szCs w:val="28"/>
        </w:rPr>
      </w:pPr>
      <w:r>
        <w:rPr>
          <w:rFonts w:hint="eastAsia" w:ascii="仿宋_GB2312" w:hAnsi="宋体" w:eastAsia="仿宋_GB2312"/>
          <w:sz w:val="28"/>
          <w:szCs w:val="28"/>
        </w:rPr>
        <w:t>20</w:t>
      </w:r>
      <w:r>
        <w:rPr>
          <w:rFonts w:hint="eastAsia" w:ascii="仿宋_GB2312" w:hAnsi="宋体" w:eastAsia="仿宋_GB2312"/>
          <w:sz w:val="28"/>
          <w:szCs w:val="28"/>
          <w:lang w:val="en-US" w:eastAsia="zh-CN"/>
        </w:rPr>
        <w:t>21</w:t>
      </w:r>
      <w:r>
        <w:rPr>
          <w:rFonts w:hint="eastAsia" w:ascii="仿宋_GB2312" w:hAnsi="宋体" w:eastAsia="仿宋_GB2312"/>
          <w:sz w:val="28"/>
          <w:szCs w:val="28"/>
        </w:rPr>
        <w:t>年</w:t>
      </w:r>
      <w:r>
        <w:rPr>
          <w:rFonts w:hint="eastAsia" w:ascii="仿宋_GB2312" w:hAnsi="宋体" w:eastAsia="仿宋_GB2312"/>
          <w:sz w:val="28"/>
          <w:szCs w:val="28"/>
          <w:lang w:val="en-US" w:eastAsia="zh-CN"/>
        </w:rPr>
        <w:t>5</w:t>
      </w:r>
      <w:r>
        <w:rPr>
          <w:rFonts w:hint="eastAsia" w:ascii="仿宋_GB2312" w:hAnsi="宋体" w:eastAsia="仿宋_GB2312"/>
          <w:sz w:val="28"/>
          <w:szCs w:val="28"/>
        </w:rPr>
        <w:t>月25日</w:t>
      </w:r>
    </w:p>
    <w:p>
      <w:pPr>
        <w:rPr>
          <w:rFonts w:hint="eastAsia"/>
        </w:rPr>
      </w:pPr>
    </w:p>
    <w:p>
      <w:pPr>
        <w:jc w:val="both"/>
        <w:rPr>
          <w:rFonts w:hint="eastAsia" w:ascii="黑体" w:eastAsia="黑体"/>
          <w:b/>
          <w:color w:val="000000"/>
          <w:sz w:val="44"/>
          <w:szCs w:val="44"/>
        </w:rPr>
      </w:pPr>
      <w:r>
        <w:rPr>
          <w:rFonts w:hint="eastAsia" w:ascii="黑体" w:eastAsia="黑体"/>
          <w:b/>
          <w:color w:val="FF0000"/>
          <w:sz w:val="44"/>
          <w:szCs w:val="44"/>
          <w:lang w:val="en-US" w:eastAsia="zh-CN"/>
        </w:rPr>
        <w:t xml:space="preserve">    </w:t>
      </w:r>
      <w:r>
        <w:rPr>
          <w:rFonts w:hint="eastAsia" w:ascii="黑体" w:eastAsia="黑体"/>
          <w:b/>
          <w:color w:val="000000"/>
          <w:sz w:val="44"/>
          <w:szCs w:val="44"/>
        </w:rPr>
        <w:t>20</w:t>
      </w:r>
      <w:r>
        <w:rPr>
          <w:rFonts w:hint="eastAsia" w:ascii="黑体" w:eastAsia="黑体"/>
          <w:b/>
          <w:color w:val="000000"/>
          <w:sz w:val="44"/>
          <w:szCs w:val="44"/>
          <w:lang w:val="en-US" w:eastAsia="zh-CN"/>
        </w:rPr>
        <w:t>20</w:t>
      </w:r>
      <w:r>
        <w:rPr>
          <w:rFonts w:hint="eastAsia" w:ascii="黑体" w:eastAsia="黑体"/>
          <w:b/>
          <w:color w:val="000000"/>
          <w:sz w:val="44"/>
          <w:szCs w:val="44"/>
        </w:rPr>
        <w:t>年度湘潭县看守所专项经费支出</w:t>
      </w:r>
    </w:p>
    <w:p>
      <w:pPr>
        <w:jc w:val="center"/>
        <w:rPr>
          <w:rFonts w:hint="eastAsia" w:ascii="黑体" w:eastAsia="黑体"/>
          <w:b/>
          <w:color w:val="000000"/>
          <w:sz w:val="44"/>
          <w:szCs w:val="44"/>
        </w:rPr>
      </w:pPr>
      <w:r>
        <w:rPr>
          <w:rFonts w:hint="eastAsia" w:ascii="黑体" w:eastAsia="黑体"/>
          <w:b/>
          <w:color w:val="000000"/>
          <w:sz w:val="44"/>
          <w:szCs w:val="44"/>
        </w:rPr>
        <w:t>绩效自评</w:t>
      </w:r>
      <w:r>
        <w:rPr>
          <w:rFonts w:hint="eastAsia" w:ascii="黑体" w:eastAsia="黑体"/>
          <w:b/>
          <w:color w:val="000000"/>
          <w:sz w:val="44"/>
          <w:szCs w:val="44"/>
          <w:lang w:eastAsia="zh-CN"/>
        </w:rPr>
        <w:t>整改</w:t>
      </w:r>
      <w:r>
        <w:rPr>
          <w:rFonts w:hint="eastAsia" w:ascii="黑体" w:eastAsia="黑体"/>
          <w:b/>
          <w:color w:val="000000"/>
          <w:sz w:val="44"/>
          <w:szCs w:val="44"/>
        </w:rPr>
        <w:t>报告</w:t>
      </w:r>
    </w:p>
    <w:p>
      <w:pPr>
        <w:ind w:firstLine="548" w:firstLineChars="196"/>
        <w:rPr>
          <w:rFonts w:hint="eastAsia" w:ascii="仿宋_GB2312" w:hAnsi="宋体" w:eastAsia="仿宋_GB2312"/>
          <w:color w:val="000000"/>
          <w:sz w:val="28"/>
          <w:szCs w:val="28"/>
        </w:rPr>
      </w:pPr>
      <w:r>
        <w:rPr>
          <w:rFonts w:hint="eastAsia" w:ascii="仿宋_GB2312" w:hAnsi="宋体" w:eastAsia="仿宋_GB2312"/>
          <w:color w:val="000000"/>
          <w:sz w:val="28"/>
          <w:szCs w:val="28"/>
        </w:rPr>
        <w:t xml:space="preserve">                  </w:t>
      </w:r>
    </w:p>
    <w:p>
      <w:pPr>
        <w:spacing w:line="600" w:lineRule="exact"/>
        <w:ind w:left="420" w:leftChars="200" w:firstLine="784" w:firstLineChars="245"/>
        <w:jc w:val="left"/>
        <w:rPr>
          <w:rFonts w:hint="eastAsia" w:ascii="仿宋_GB2312" w:hAnsi="宋体" w:eastAsia="仿宋_GB2312"/>
          <w:color w:val="000000"/>
          <w:sz w:val="32"/>
          <w:szCs w:val="32"/>
        </w:rPr>
      </w:pPr>
      <w:r>
        <w:rPr>
          <w:rFonts w:hint="eastAsia" w:ascii="仿宋_GB2312" w:hAnsi="宋体" w:eastAsia="仿宋_GB2312"/>
          <w:color w:val="000000"/>
          <w:sz w:val="32"/>
          <w:szCs w:val="32"/>
        </w:rPr>
        <w:t>湘潭县看守所地处湘潭县易俗河镇</w:t>
      </w:r>
      <w:r>
        <w:rPr>
          <w:rFonts w:hint="eastAsia" w:ascii="仿宋_GB2312" w:hAnsi="仿宋" w:eastAsia="仿宋_GB2312"/>
          <w:color w:val="000000"/>
          <w:kern w:val="0"/>
          <w:sz w:val="32"/>
          <w:szCs w:val="32"/>
        </w:rPr>
        <w:t>海裳南路308号</w:t>
      </w:r>
      <w:r>
        <w:rPr>
          <w:rFonts w:hint="eastAsia" w:ascii="仿宋_GB2312" w:hAnsi="宋体" w:eastAsia="仿宋_GB2312"/>
          <w:color w:val="000000"/>
          <w:sz w:val="32"/>
          <w:szCs w:val="32"/>
        </w:rPr>
        <w:t>，占地50亩，总建筑面积4500平方米，设计关押量600人，实际月平均关押量</w:t>
      </w:r>
      <w:r>
        <w:rPr>
          <w:rFonts w:hint="eastAsia" w:ascii="仿宋_GB2312" w:hAnsi="宋体" w:eastAsia="仿宋_GB2312"/>
          <w:color w:val="000000"/>
          <w:sz w:val="32"/>
          <w:szCs w:val="32"/>
          <w:lang w:val="en-US" w:eastAsia="zh-CN"/>
        </w:rPr>
        <w:t>42</w:t>
      </w:r>
      <w:r>
        <w:rPr>
          <w:rFonts w:hint="eastAsia" w:ascii="仿宋_GB2312" w:hAnsi="宋体" w:eastAsia="仿宋_GB2312"/>
          <w:color w:val="000000"/>
          <w:sz w:val="32"/>
          <w:szCs w:val="32"/>
        </w:rPr>
        <w:t>0人。现有民警2</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名，聘请协警1</w:t>
      </w: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rPr>
        <w:t>人，工勤人员7名。连续</w:t>
      </w:r>
      <w:r>
        <w:rPr>
          <w:rFonts w:hint="eastAsia" w:ascii="仿宋_GB2312" w:hAnsi="宋体" w:eastAsia="仿宋_GB2312"/>
          <w:color w:val="000000"/>
          <w:sz w:val="32"/>
          <w:szCs w:val="32"/>
          <w:lang w:val="en-US" w:eastAsia="zh-CN"/>
        </w:rPr>
        <w:t>20</w:t>
      </w:r>
      <w:r>
        <w:rPr>
          <w:rFonts w:hint="eastAsia" w:ascii="仿宋_GB2312" w:hAnsi="宋体" w:eastAsia="仿宋_GB2312"/>
          <w:color w:val="000000"/>
          <w:sz w:val="32"/>
          <w:szCs w:val="32"/>
        </w:rPr>
        <w:t>年来未发生过监所安全责任事故。</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一、项目基本情况</w:t>
      </w:r>
    </w:p>
    <w:p>
      <w:pPr>
        <w:spacing w:line="600" w:lineRule="exact"/>
        <w:ind w:left="420" w:leftChars="200" w:firstLine="480" w:firstLineChars="150"/>
        <w:jc w:val="left"/>
        <w:rPr>
          <w:rFonts w:hint="eastAsia" w:ascii="仿宋_GB2312" w:eastAsia="仿宋_GB2312"/>
          <w:sz w:val="32"/>
          <w:szCs w:val="32"/>
        </w:rPr>
      </w:pPr>
      <w:r>
        <w:rPr>
          <w:rFonts w:hint="eastAsia" w:ascii="仿宋_GB2312" w:eastAsia="仿宋_GB2312"/>
          <w:sz w:val="32"/>
          <w:szCs w:val="32"/>
        </w:rPr>
        <w:t>（一）、项目概况：</w:t>
      </w:r>
    </w:p>
    <w:p>
      <w:pPr>
        <w:spacing w:line="600" w:lineRule="exact"/>
        <w:ind w:left="420" w:leftChars="200" w:firstLine="480" w:firstLineChars="150"/>
        <w:jc w:val="left"/>
        <w:rPr>
          <w:rFonts w:hint="eastAsia" w:ascii="仿宋_GB2312" w:hAnsi="宋体" w:eastAsia="仿宋_GB2312"/>
          <w:sz w:val="32"/>
          <w:szCs w:val="32"/>
        </w:rPr>
      </w:pPr>
      <w:r>
        <w:rPr>
          <w:rFonts w:hint="eastAsia" w:ascii="仿宋_GB2312" w:eastAsia="仿宋_GB2312"/>
          <w:color w:val="000000"/>
          <w:sz w:val="32"/>
          <w:szCs w:val="32"/>
        </w:rPr>
        <w:t>为进一步推进看守所执法规范化建设，规范执法行为，</w:t>
      </w:r>
      <w:r>
        <w:rPr>
          <w:rFonts w:hint="eastAsia" w:ascii="仿宋_GB2312" w:hAnsi="仿宋" w:eastAsia="仿宋_GB2312"/>
          <w:color w:val="000000"/>
          <w:kern w:val="0"/>
          <w:sz w:val="32"/>
          <w:szCs w:val="32"/>
        </w:rPr>
        <w:t>保障刑事诉讼活动的顺利进行，按照《</w:t>
      </w:r>
      <w:r>
        <w:rPr>
          <w:rFonts w:hint="eastAsia" w:ascii="仿宋_GB2312" w:hAnsi="宋体" w:eastAsia="仿宋_GB2312"/>
          <w:sz w:val="32"/>
          <w:szCs w:val="32"/>
        </w:rPr>
        <w:t>财政部 公安部关于进一步加强看守所经费保障工作的通知</w:t>
      </w:r>
      <w:r>
        <w:rPr>
          <w:rFonts w:hint="eastAsia" w:ascii="仿宋_GB2312" w:hAnsi="仿宋" w:eastAsia="仿宋_GB2312"/>
          <w:color w:val="000000"/>
          <w:kern w:val="0"/>
          <w:sz w:val="32"/>
          <w:szCs w:val="32"/>
        </w:rPr>
        <w:t>》</w:t>
      </w:r>
      <w:r>
        <w:rPr>
          <w:rFonts w:hint="eastAsia" w:ascii="仿宋_GB2312" w:eastAsia="仿宋_GB2312"/>
          <w:sz w:val="32"/>
          <w:szCs w:val="32"/>
        </w:rPr>
        <w:t>（财行[2009]132号）“各级财政部门要按照有关规定和标准，足额安排看守所各项经费预算，并加强预算的追踪反馈和监督检查工作”，我县</w:t>
      </w:r>
      <w:r>
        <w:rPr>
          <w:rFonts w:hint="eastAsia" w:ascii="仿宋_GB2312" w:hAnsi="宋体" w:eastAsia="仿宋_GB2312" w:cs="宋体"/>
          <w:color w:val="000000"/>
          <w:kern w:val="0"/>
          <w:sz w:val="32"/>
          <w:szCs w:val="32"/>
        </w:rPr>
        <w:t>财政部门在财力紧张情况下，多年来对看守所的经费保障予以了倾斜，20</w:t>
      </w:r>
      <w:r>
        <w:rPr>
          <w:rFonts w:hint="eastAsia" w:ascii="仿宋_GB2312" w:hAnsi="宋体" w:eastAsia="仿宋_GB2312" w:cs="宋体"/>
          <w:color w:val="000000"/>
          <w:kern w:val="0"/>
          <w:sz w:val="32"/>
          <w:szCs w:val="32"/>
          <w:lang w:val="en-US" w:eastAsia="zh-CN"/>
        </w:rPr>
        <w:t>20</w:t>
      </w:r>
      <w:r>
        <w:rPr>
          <w:rFonts w:hint="eastAsia" w:ascii="仿宋_GB2312" w:hAnsi="宋体" w:eastAsia="仿宋_GB2312" w:cs="宋体"/>
          <w:color w:val="000000"/>
          <w:kern w:val="0"/>
          <w:sz w:val="32"/>
          <w:szCs w:val="32"/>
        </w:rPr>
        <w:t>年安排了看守所专项经费</w:t>
      </w:r>
      <w:r>
        <w:rPr>
          <w:rFonts w:hint="eastAsia" w:ascii="仿宋_GB2312" w:hAnsi="宋体" w:eastAsia="仿宋_GB2312" w:cs="宋体"/>
          <w:color w:val="000000"/>
          <w:kern w:val="0"/>
          <w:sz w:val="32"/>
          <w:szCs w:val="32"/>
          <w:lang w:val="en-US" w:eastAsia="zh-CN"/>
        </w:rPr>
        <w:t>450.8185</w:t>
      </w:r>
      <w:r>
        <w:rPr>
          <w:rFonts w:hint="eastAsia" w:ascii="仿宋_GB2312" w:hAnsi="宋体" w:eastAsia="仿宋_GB2312" w:cs="宋体"/>
          <w:color w:val="000000"/>
          <w:kern w:val="0"/>
          <w:sz w:val="32"/>
          <w:szCs w:val="32"/>
        </w:rPr>
        <w:t>万元（其中：</w:t>
      </w:r>
      <w:r>
        <w:rPr>
          <w:rFonts w:hint="eastAsia" w:ascii="仿宋_GB2312" w:hAnsi="宋体" w:eastAsia="仿宋_GB2312" w:cs="方正小标宋简体"/>
          <w:sz w:val="32"/>
          <w:szCs w:val="32"/>
        </w:rPr>
        <w:t>财政预算</w:t>
      </w:r>
      <w:r>
        <w:rPr>
          <w:rFonts w:hint="eastAsia" w:ascii="仿宋_GB2312" w:hAnsi="宋体" w:eastAsia="仿宋_GB2312" w:cs="方正小标宋简体"/>
          <w:sz w:val="32"/>
          <w:szCs w:val="32"/>
          <w:lang w:val="en-US" w:eastAsia="zh-CN"/>
        </w:rPr>
        <w:t>376.1602</w:t>
      </w:r>
      <w:r>
        <w:rPr>
          <w:rFonts w:hint="eastAsia" w:ascii="仿宋_GB2312" w:hAnsi="宋体" w:eastAsia="仿宋_GB2312" w:cs="方正小标宋简体"/>
          <w:sz w:val="32"/>
          <w:szCs w:val="32"/>
        </w:rPr>
        <w:t>万元、</w:t>
      </w:r>
      <w:r>
        <w:rPr>
          <w:rFonts w:hint="eastAsia" w:ascii="仿宋_GB2312" w:hAnsi="宋体" w:eastAsia="仿宋_GB2312" w:cs="方正小标宋简体"/>
          <w:sz w:val="32"/>
          <w:szCs w:val="32"/>
          <w:lang w:eastAsia="zh-CN"/>
        </w:rPr>
        <w:t>其他</w:t>
      </w:r>
      <w:r>
        <w:rPr>
          <w:rFonts w:hint="eastAsia" w:ascii="仿宋_GB2312" w:hAnsi="宋体" w:eastAsia="仿宋_GB2312" w:cs="方正小标宋简体"/>
          <w:sz w:val="32"/>
          <w:szCs w:val="32"/>
        </w:rPr>
        <w:t>补助</w:t>
      </w:r>
      <w:r>
        <w:rPr>
          <w:rFonts w:hint="eastAsia" w:ascii="仿宋_GB2312" w:hAnsi="宋体" w:eastAsia="仿宋_GB2312" w:cs="方正小标宋简体"/>
          <w:sz w:val="32"/>
          <w:szCs w:val="32"/>
          <w:lang w:val="en-US" w:eastAsia="zh-CN"/>
        </w:rPr>
        <w:t>7</w:t>
      </w:r>
      <w:r>
        <w:rPr>
          <w:rFonts w:hint="eastAsia" w:ascii="仿宋_GB2312" w:hAnsi="宋体" w:eastAsia="仿宋_GB2312" w:cs="方正小标宋简体"/>
          <w:sz w:val="32"/>
          <w:szCs w:val="32"/>
        </w:rPr>
        <w:t>0万元、201</w:t>
      </w:r>
      <w:r>
        <w:rPr>
          <w:rFonts w:hint="eastAsia" w:ascii="仿宋_GB2312" w:hAnsi="宋体" w:eastAsia="仿宋_GB2312" w:cs="方正小标宋简体"/>
          <w:sz w:val="32"/>
          <w:szCs w:val="32"/>
          <w:lang w:val="en-US" w:eastAsia="zh-CN"/>
        </w:rPr>
        <w:t>9</w:t>
      </w:r>
      <w:r>
        <w:rPr>
          <w:rFonts w:hint="eastAsia" w:ascii="仿宋_GB2312" w:hAnsi="宋体" w:eastAsia="仿宋_GB2312" w:cs="方正小标宋简体"/>
          <w:sz w:val="32"/>
          <w:szCs w:val="32"/>
        </w:rPr>
        <w:t>年结余</w:t>
      </w:r>
      <w:r>
        <w:rPr>
          <w:rFonts w:hint="eastAsia" w:ascii="仿宋_GB2312" w:hAnsi="宋体" w:eastAsia="仿宋_GB2312" w:cs="方正小标宋简体"/>
          <w:sz w:val="32"/>
          <w:szCs w:val="32"/>
          <w:lang w:val="en-US" w:eastAsia="zh-CN"/>
        </w:rPr>
        <w:t>4.6583</w:t>
      </w:r>
      <w:r>
        <w:rPr>
          <w:rFonts w:hint="eastAsia" w:ascii="仿宋_GB2312" w:hAnsi="宋体" w:eastAsia="仿宋_GB2312" w:cs="方正小标宋简体"/>
          <w:sz w:val="32"/>
          <w:szCs w:val="32"/>
        </w:rPr>
        <w:t>万元</w:t>
      </w:r>
      <w:r>
        <w:rPr>
          <w:rFonts w:hint="eastAsia" w:ascii="仿宋_GB2312" w:hAnsi="宋体" w:eastAsia="仿宋_GB2312" w:cs="宋体"/>
          <w:color w:val="000000"/>
          <w:kern w:val="0"/>
          <w:sz w:val="32"/>
          <w:szCs w:val="32"/>
        </w:rPr>
        <w:t>）。根据公安部、财政部《看守所经费开支范围和管理办法的规定》（公通字[1996]11号），看守所经费的开支范围是：人犯给养费、公务费、装备购置费、装备消耗费、修缮费及其他费用，是用于看守所监管看守、教育人犯、做好人犯生活卫生和保障刑事诉讼活动顺利进行的专项经费。</w:t>
      </w:r>
    </w:p>
    <w:p>
      <w:pPr>
        <w:spacing w:line="600" w:lineRule="exact"/>
        <w:ind w:left="420" w:leftChars="200" w:firstLine="473" w:firstLineChars="148"/>
        <w:jc w:val="left"/>
        <w:rPr>
          <w:rFonts w:hint="eastAsia" w:ascii="仿宋_GB2312" w:eastAsia="仿宋_GB2312"/>
          <w:sz w:val="32"/>
          <w:szCs w:val="32"/>
        </w:rPr>
      </w:pPr>
      <w:r>
        <w:rPr>
          <w:rFonts w:hint="eastAsia" w:ascii="仿宋_GB2312" w:eastAsia="仿宋_GB2312"/>
          <w:sz w:val="32"/>
          <w:szCs w:val="32"/>
        </w:rPr>
        <w:t>（二）、项目绩效目标：</w:t>
      </w:r>
    </w:p>
    <w:p>
      <w:pPr>
        <w:spacing w:line="600" w:lineRule="exact"/>
        <w:ind w:left="420" w:leftChars="200" w:firstLine="633" w:firstLineChars="198"/>
        <w:jc w:val="left"/>
        <w:rPr>
          <w:rFonts w:hint="eastAsia" w:ascii="仿宋_GB2312" w:eastAsia="仿宋_GB2312"/>
          <w:sz w:val="32"/>
          <w:szCs w:val="32"/>
        </w:rPr>
      </w:pPr>
      <w:r>
        <w:rPr>
          <w:rFonts w:hint="eastAsia" w:ascii="仿宋_GB2312" w:eastAsia="仿宋_GB2312"/>
          <w:sz w:val="32"/>
          <w:szCs w:val="32"/>
        </w:rPr>
        <w:t>项目绩效总目标为：确保监所安全、保障刑事诉讼活动顺利进行、</w:t>
      </w:r>
      <w:r>
        <w:rPr>
          <w:rFonts w:hint="eastAsia" w:ascii="仿宋_GB2312" w:hAnsi="仿宋" w:eastAsia="仿宋_GB2312"/>
          <w:color w:val="000000"/>
          <w:kern w:val="0"/>
          <w:sz w:val="32"/>
          <w:szCs w:val="32"/>
        </w:rPr>
        <w:t>确保全县社会治安大局稳定。</w:t>
      </w:r>
      <w:r>
        <w:rPr>
          <w:rFonts w:hint="eastAsia" w:ascii="仿宋_GB2312" w:eastAsia="仿宋_GB2312"/>
          <w:sz w:val="32"/>
          <w:szCs w:val="32"/>
        </w:rPr>
        <w:t>项目绩效阶段性目标为：稳定监区秩序，加强经费保障和管理，保障在押人员的正常生活，服务好公检法司等部门的办案需求，保障刑事诉讼活动顺利进行。通过 一系列的管理 ，能够达到警示教育、预防犯罪、提高全民遵纪守法意识的目的，进而彰显政府的公信力、执行力，为湘潭县的经济发展创造良好环境，推进平安湘潭的发展。</w:t>
      </w:r>
    </w:p>
    <w:p>
      <w:pPr>
        <w:spacing w:line="600" w:lineRule="exact"/>
        <w:ind w:left="420" w:leftChars="200" w:firstLine="480" w:firstLineChars="150"/>
        <w:jc w:val="left"/>
        <w:rPr>
          <w:rFonts w:hint="eastAsia" w:ascii="仿宋_GB2312" w:eastAsia="仿宋_GB2312"/>
          <w:sz w:val="32"/>
          <w:szCs w:val="32"/>
        </w:rPr>
      </w:pPr>
      <w:r>
        <w:rPr>
          <w:rFonts w:hint="eastAsia" w:ascii="仿宋_GB2312" w:eastAsia="仿宋_GB2312"/>
          <w:sz w:val="32"/>
          <w:szCs w:val="32"/>
        </w:rPr>
        <w:t>（三）项目实施情况分析</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年度财政预算安排</w:t>
      </w:r>
      <w:r>
        <w:rPr>
          <w:rFonts w:hint="eastAsia" w:ascii="仿宋_GB2312" w:hAnsi="宋体" w:eastAsia="仿宋_GB2312" w:cs="宋体"/>
          <w:color w:val="000000"/>
          <w:kern w:val="0"/>
          <w:sz w:val="32"/>
          <w:szCs w:val="32"/>
        </w:rPr>
        <w:t>看守所专项经费</w:t>
      </w:r>
      <w:r>
        <w:rPr>
          <w:rFonts w:hint="eastAsia" w:ascii="仿宋_GB2312" w:hAnsi="宋体" w:eastAsia="仿宋_GB2312" w:cs="宋体"/>
          <w:color w:val="000000"/>
          <w:kern w:val="0"/>
          <w:sz w:val="32"/>
          <w:szCs w:val="32"/>
          <w:lang w:val="en-US" w:eastAsia="zh-CN"/>
        </w:rPr>
        <w:t>450.8185</w:t>
      </w:r>
      <w:r>
        <w:rPr>
          <w:rFonts w:hint="eastAsia" w:ascii="仿宋_GB2312" w:hAnsi="宋体" w:eastAsia="仿宋_GB2312" w:cs="宋体"/>
          <w:color w:val="000000"/>
          <w:kern w:val="0"/>
          <w:sz w:val="32"/>
          <w:szCs w:val="32"/>
        </w:rPr>
        <w:t>万元</w:t>
      </w:r>
      <w:r>
        <w:rPr>
          <w:rFonts w:hint="eastAsia" w:ascii="仿宋_GB2312" w:eastAsia="仿宋_GB2312"/>
          <w:sz w:val="32"/>
          <w:szCs w:val="32"/>
        </w:rPr>
        <w:t>，均已按时足额下达到位，我所20</w:t>
      </w:r>
      <w:r>
        <w:rPr>
          <w:rFonts w:hint="eastAsia" w:ascii="仿宋_GB2312" w:eastAsia="仿宋_GB2312"/>
          <w:sz w:val="32"/>
          <w:szCs w:val="32"/>
          <w:lang w:val="en-US" w:eastAsia="zh-CN"/>
        </w:rPr>
        <w:t>20</w:t>
      </w:r>
      <w:r>
        <w:rPr>
          <w:rFonts w:hint="eastAsia" w:ascii="仿宋_GB2312" w:eastAsia="仿宋_GB2312"/>
          <w:sz w:val="32"/>
          <w:szCs w:val="32"/>
        </w:rPr>
        <w:t>年已按月投入使用</w:t>
      </w:r>
      <w:r>
        <w:rPr>
          <w:rFonts w:hint="eastAsia" w:ascii="仿宋_GB2312" w:eastAsia="仿宋_GB2312"/>
          <w:sz w:val="32"/>
          <w:szCs w:val="32"/>
          <w:lang w:val="en-US" w:eastAsia="zh-CN"/>
        </w:rPr>
        <w:t>432.5554</w:t>
      </w:r>
      <w:r>
        <w:rPr>
          <w:rFonts w:hint="eastAsia" w:ascii="仿宋_GB2312" w:eastAsia="仿宋_GB2312"/>
          <w:sz w:val="32"/>
          <w:szCs w:val="32"/>
        </w:rPr>
        <w:t>万元。对于该项专项资金，我所制定了完整的资金使用计划及管理规定，做到专项专用，发挥资金的最大效能。</w:t>
      </w:r>
    </w:p>
    <w:p>
      <w:pPr>
        <w:spacing w:line="600" w:lineRule="exact"/>
        <w:ind w:left="420" w:leftChars="200" w:firstLine="470" w:firstLineChars="147"/>
        <w:jc w:val="left"/>
        <w:rPr>
          <w:rFonts w:hint="eastAsia" w:ascii="仿宋_GB2312" w:eastAsia="仿宋_GB2312"/>
          <w:b/>
          <w:sz w:val="32"/>
          <w:szCs w:val="32"/>
        </w:rPr>
      </w:pPr>
      <w:r>
        <w:rPr>
          <w:rFonts w:hint="eastAsia" w:ascii="仿宋_GB2312" w:eastAsia="仿宋_GB2312"/>
          <w:b/>
          <w:sz w:val="32"/>
          <w:szCs w:val="32"/>
        </w:rPr>
        <w:t>二、绩效评价工作情况</w:t>
      </w:r>
    </w:p>
    <w:p>
      <w:pPr>
        <w:spacing w:line="600" w:lineRule="exact"/>
        <w:ind w:left="340" w:leftChars="162" w:firstLine="480" w:firstLineChars="150"/>
        <w:jc w:val="left"/>
        <w:rPr>
          <w:rFonts w:hint="eastAsia" w:ascii="仿宋_GB2312" w:eastAsia="仿宋_GB2312"/>
          <w:sz w:val="32"/>
          <w:szCs w:val="32"/>
        </w:rPr>
      </w:pPr>
      <w:r>
        <w:rPr>
          <w:rFonts w:hint="eastAsia" w:ascii="仿宋_GB2312" w:eastAsia="仿宋_GB2312"/>
          <w:sz w:val="32"/>
          <w:szCs w:val="32"/>
        </w:rPr>
        <w:t>我所通过对</w:t>
      </w:r>
      <w:r>
        <w:rPr>
          <w:rFonts w:hint="eastAsia" w:ascii="仿宋_GB2312" w:hAnsi="宋体" w:eastAsia="仿宋_GB2312"/>
          <w:sz w:val="32"/>
          <w:szCs w:val="32"/>
        </w:rPr>
        <w:t>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年度</w:t>
      </w:r>
      <w:r>
        <w:rPr>
          <w:rFonts w:hint="eastAsia" w:ascii="仿宋_GB2312" w:hAnsi="宋体" w:eastAsia="仿宋_GB2312" w:cs="宋体"/>
          <w:color w:val="000000"/>
          <w:kern w:val="0"/>
          <w:sz w:val="32"/>
          <w:szCs w:val="32"/>
        </w:rPr>
        <w:t>看守所专项经费</w:t>
      </w:r>
      <w:r>
        <w:rPr>
          <w:rFonts w:hint="eastAsia" w:ascii="仿宋_GB2312" w:hAnsi="宋体" w:eastAsia="仿宋_GB2312"/>
          <w:sz w:val="32"/>
          <w:szCs w:val="32"/>
        </w:rPr>
        <w:t>项目支出绩效进行了自评，主要是检查该专项资金是否</w:t>
      </w:r>
      <w:r>
        <w:rPr>
          <w:rFonts w:hint="eastAsia" w:ascii="仿宋_GB2312" w:eastAsia="仿宋_GB2312"/>
          <w:sz w:val="32"/>
          <w:szCs w:val="32"/>
        </w:rPr>
        <w:t>严格预算执行，严格财经纪律，厉行节约，专项专用，</w:t>
      </w:r>
      <w:r>
        <w:rPr>
          <w:rFonts w:hint="eastAsia" w:ascii="仿宋_GB2312" w:hAnsi="宋体" w:eastAsia="仿宋_GB2312"/>
          <w:sz w:val="32"/>
          <w:szCs w:val="32"/>
        </w:rPr>
        <w:t>切实提高财政资金使用效益</w:t>
      </w:r>
      <w:r>
        <w:rPr>
          <w:rFonts w:hint="eastAsia" w:ascii="仿宋_GB2312" w:eastAsia="仿宋_GB2312"/>
          <w:sz w:val="32"/>
          <w:szCs w:val="32"/>
        </w:rPr>
        <w:t>。为此，我所成立了项目支出绩效自评工作小组，制定了</w:t>
      </w:r>
      <w:r>
        <w:rPr>
          <w:rFonts w:hint="eastAsia" w:ascii="仿宋_GB2312" w:hAnsi="宋体" w:eastAsia="仿宋_GB2312"/>
          <w:sz w:val="32"/>
          <w:szCs w:val="32"/>
        </w:rPr>
        <w:t>自评工作方案，统一了自评工作的指导思想，</w:t>
      </w:r>
      <w:r>
        <w:rPr>
          <w:rFonts w:hint="eastAsia" w:ascii="仿宋_GB2312" w:eastAsia="仿宋_GB2312"/>
          <w:sz w:val="32"/>
          <w:szCs w:val="32"/>
        </w:rPr>
        <w:t>对20</w:t>
      </w:r>
      <w:r>
        <w:rPr>
          <w:rFonts w:hint="eastAsia" w:ascii="仿宋_GB2312" w:eastAsia="仿宋_GB2312"/>
          <w:sz w:val="32"/>
          <w:szCs w:val="32"/>
          <w:lang w:val="en-US" w:eastAsia="zh-CN"/>
        </w:rPr>
        <w:t>20</w:t>
      </w:r>
      <w:r>
        <w:rPr>
          <w:rFonts w:hint="eastAsia" w:ascii="仿宋_GB2312" w:eastAsia="仿宋_GB2312"/>
          <w:sz w:val="32"/>
          <w:szCs w:val="32"/>
        </w:rPr>
        <w:t>年看守所专项经费的使用情况进行了认真核算和评价，对相关资料进行了认真的整理和归档。</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三、项目主要绩效及评价结论</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按照 《</w:t>
      </w:r>
      <w:r>
        <w:rPr>
          <w:rFonts w:hint="eastAsia" w:ascii="仿宋_GB2312" w:eastAsia="仿宋_GB2312"/>
          <w:color w:val="000000"/>
          <w:sz w:val="32"/>
          <w:szCs w:val="32"/>
        </w:rPr>
        <w:t>看守所执法细则</w:t>
      </w:r>
      <w:r>
        <w:rPr>
          <w:rFonts w:hint="eastAsia" w:ascii="仿宋_GB2312" w:eastAsia="仿宋_GB2312"/>
          <w:sz w:val="32"/>
          <w:szCs w:val="32"/>
        </w:rPr>
        <w:t>》、</w:t>
      </w:r>
      <w:r>
        <w:rPr>
          <w:rFonts w:hint="eastAsia" w:ascii="仿宋_GB2312" w:hAnsi="宋体" w:eastAsia="仿宋_GB2312" w:cs="宋体"/>
          <w:color w:val="000000"/>
          <w:kern w:val="0"/>
          <w:sz w:val="32"/>
          <w:szCs w:val="32"/>
        </w:rPr>
        <w:t>公安部 财政部《看守所经费开支范围和管理办法的规定》</w:t>
      </w:r>
      <w:r>
        <w:rPr>
          <w:rFonts w:hint="eastAsia" w:ascii="仿宋_GB2312" w:eastAsia="仿宋_GB2312"/>
          <w:sz w:val="32"/>
          <w:szCs w:val="32"/>
        </w:rPr>
        <w:t>，我所制订了《湘潭县看守所工作规程》、《湘潭县看守所精细化考核办法》、《湘潭县看守所财务管理工作制度》等系列管理制度，严格财经纪律，厉行节约，合理调配将专项资金按月投入使用，</w:t>
      </w:r>
      <w:r>
        <w:rPr>
          <w:rFonts w:hint="eastAsia" w:ascii="仿宋_GB2312" w:hAnsi="宋体" w:eastAsia="仿宋_GB2312"/>
          <w:sz w:val="32"/>
          <w:szCs w:val="32"/>
        </w:rPr>
        <w:t>切实提高了财政资金使用效益</w:t>
      </w:r>
      <w:r>
        <w:rPr>
          <w:rFonts w:hint="eastAsia" w:ascii="仿宋_GB2312" w:eastAsia="仿宋_GB2312"/>
          <w:sz w:val="32"/>
          <w:szCs w:val="32"/>
        </w:rPr>
        <w:t>。为保障在押人员的权益，我所在接待大厅、监室公布了在押人员伙食量标准，制定了每周食谱。在加强自身管理的同时，</w:t>
      </w:r>
      <w:r>
        <w:rPr>
          <w:rFonts w:hint="eastAsia" w:ascii="仿宋_GB2312" w:eastAsia="仿宋_GB2312"/>
          <w:color w:val="000000"/>
          <w:sz w:val="32"/>
          <w:szCs w:val="32"/>
        </w:rPr>
        <w:t>我所</w:t>
      </w:r>
      <w:r>
        <w:rPr>
          <w:rFonts w:hint="eastAsia" w:ascii="仿宋_GB2312" w:eastAsia="仿宋_GB2312"/>
          <w:sz w:val="32"/>
          <w:szCs w:val="32"/>
        </w:rPr>
        <w:t>还</w:t>
      </w:r>
      <w:r>
        <w:rPr>
          <w:rFonts w:hint="eastAsia" w:ascii="仿宋_GB2312" w:eastAsia="仿宋_GB2312"/>
          <w:color w:val="000000"/>
          <w:sz w:val="32"/>
          <w:szCs w:val="32"/>
        </w:rPr>
        <w:t>聘请特邀警风监督员</w:t>
      </w:r>
      <w:r>
        <w:rPr>
          <w:rFonts w:hint="eastAsia" w:ascii="仿宋_GB2312" w:eastAsia="仿宋_GB2312"/>
          <w:b/>
          <w:color w:val="000000"/>
          <w:sz w:val="32"/>
          <w:szCs w:val="32"/>
        </w:rPr>
        <w:t>，</w:t>
      </w:r>
      <w:r>
        <w:rPr>
          <w:rFonts w:hint="eastAsia" w:ascii="仿宋_GB2312" w:hAnsi="仿宋_GB2312" w:eastAsia="仿宋_GB2312" w:cs="宋体"/>
          <w:color w:val="000000"/>
          <w:sz w:val="32"/>
          <w:szCs w:val="32"/>
        </w:rPr>
        <w:t>邀请人大代表、政法、金融等各条战线的领导和同仁来所评议工作，组织在押人员家属召开座谈会，走访执法办案单位和律师征求意见和建议，</w:t>
      </w:r>
      <w:r>
        <w:rPr>
          <w:rFonts w:hint="eastAsia" w:ascii="仿宋_GB2312" w:eastAsia="仿宋_GB2312"/>
          <w:color w:val="000000"/>
          <w:sz w:val="32"/>
          <w:szCs w:val="32"/>
        </w:rPr>
        <w:t>主动接受在押人员家属、人民群众和社会各界的监督。</w:t>
      </w:r>
    </w:p>
    <w:p>
      <w:pPr>
        <w:spacing w:line="600" w:lineRule="exact"/>
        <w:ind w:left="420" w:leftChars="200" w:firstLine="640" w:firstLineChars="200"/>
        <w:jc w:val="left"/>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年，由于有财政专项资金的保障和合理的使用，实时保障了在押人员的正常生活，连续保持了监所</w:t>
      </w:r>
      <w:r>
        <w:rPr>
          <w:rFonts w:hint="eastAsia" w:ascii="仿宋_GB2312" w:eastAsia="仿宋_GB2312"/>
          <w:sz w:val="32"/>
          <w:szCs w:val="32"/>
          <w:lang w:val="en-US" w:eastAsia="zh-CN"/>
        </w:rPr>
        <w:t>20</w:t>
      </w:r>
      <w:r>
        <w:rPr>
          <w:rFonts w:hint="eastAsia" w:ascii="仿宋_GB2312" w:eastAsia="仿宋_GB2312"/>
          <w:sz w:val="32"/>
          <w:szCs w:val="32"/>
        </w:rPr>
        <w:t>年安全无事故，服务满足了公检法司等部门的办案需求，切实保障了刑事诉讼活动顺利进行。20</w:t>
      </w:r>
      <w:r>
        <w:rPr>
          <w:rFonts w:hint="eastAsia" w:ascii="仿宋_GB2312" w:eastAsia="仿宋_GB2312"/>
          <w:sz w:val="32"/>
          <w:szCs w:val="32"/>
          <w:lang w:val="en-US" w:eastAsia="zh-CN"/>
        </w:rPr>
        <w:t>20</w:t>
      </w:r>
      <w:r>
        <w:rPr>
          <w:rFonts w:hint="eastAsia" w:ascii="仿宋_GB2312" w:eastAsia="仿宋_GB2312"/>
          <w:sz w:val="32"/>
          <w:szCs w:val="32"/>
        </w:rPr>
        <w:t>年湘潭县看守所警务调查</w:t>
      </w:r>
      <w:r>
        <w:rPr>
          <w:rFonts w:hint="eastAsia" w:ascii="仿宋_GB2312" w:hAnsi="宋体" w:eastAsia="仿宋_GB2312"/>
          <w:sz w:val="32"/>
          <w:szCs w:val="32"/>
        </w:rPr>
        <w:t>群众满意率达到了98%。</w:t>
      </w:r>
    </w:p>
    <w:p>
      <w:pPr>
        <w:spacing w:line="600" w:lineRule="exact"/>
        <w:ind w:left="420" w:leftChars="200" w:firstLine="627" w:firstLineChars="196"/>
        <w:jc w:val="left"/>
        <w:rPr>
          <w:rFonts w:hint="eastAsia" w:ascii="仿宋_GB2312" w:eastAsia="仿宋_GB2312"/>
          <w:b/>
          <w:sz w:val="32"/>
          <w:szCs w:val="32"/>
        </w:rPr>
      </w:pPr>
      <w:r>
        <w:rPr>
          <w:rFonts w:hint="eastAsia" w:ascii="仿宋_GB2312" w:eastAsia="仿宋_GB2312"/>
          <w:b/>
          <w:sz w:val="32"/>
          <w:szCs w:val="32"/>
        </w:rPr>
        <w:t>四、存在的问题和建议</w:t>
      </w:r>
    </w:p>
    <w:p>
      <w:pPr>
        <w:widowControl/>
        <w:ind w:firstLine="960" w:firstLineChars="300"/>
        <w:jc w:val="left"/>
        <w:rPr>
          <w:rFonts w:hint="eastAsia" w:ascii="仿宋_GB2312" w:hAnsi="宋体" w:eastAsia="仿宋_GB2312" w:cs="宋体"/>
          <w:kern w:val="0"/>
          <w:sz w:val="32"/>
          <w:szCs w:val="32"/>
        </w:rPr>
      </w:pPr>
      <w:r>
        <w:rPr>
          <w:rFonts w:hint="eastAsia" w:ascii="仿宋_GB2312" w:hAnsi="宋体" w:eastAsia="仿宋_GB2312" w:cs="Courier New"/>
          <w:kern w:val="0"/>
          <w:sz w:val="32"/>
          <w:szCs w:val="32"/>
        </w:rPr>
        <w:t>1、20</w:t>
      </w:r>
      <w:r>
        <w:rPr>
          <w:rFonts w:hint="eastAsia" w:ascii="仿宋_GB2312" w:hAnsi="宋体" w:eastAsia="仿宋_GB2312" w:cs="Courier New"/>
          <w:kern w:val="0"/>
          <w:sz w:val="32"/>
          <w:szCs w:val="32"/>
          <w:lang w:val="en-US" w:eastAsia="zh-CN"/>
        </w:rPr>
        <w:t>20</w:t>
      </w:r>
      <w:r>
        <w:rPr>
          <w:rFonts w:hint="eastAsia" w:ascii="仿宋_GB2312" w:hAnsi="宋体" w:eastAsia="仿宋_GB2312" w:cs="Courier New"/>
          <w:kern w:val="0"/>
          <w:sz w:val="32"/>
          <w:szCs w:val="32"/>
        </w:rPr>
        <w:t>年绩效目标申报仅对预算的</w:t>
      </w:r>
      <w:r>
        <w:rPr>
          <w:rFonts w:hint="eastAsia" w:ascii="仿宋_GB2312" w:hAnsi="宋体" w:eastAsia="仿宋_GB2312" w:cs="Courier New"/>
          <w:kern w:val="0"/>
          <w:sz w:val="32"/>
          <w:szCs w:val="32"/>
          <w:lang w:val="en-US" w:eastAsia="zh-CN"/>
        </w:rPr>
        <w:t>355</w:t>
      </w:r>
      <w:r>
        <w:rPr>
          <w:rFonts w:hint="eastAsia" w:ascii="仿宋_GB2312" w:hAnsi="宋体" w:eastAsia="仿宋_GB2312" w:cs="Courier New"/>
          <w:kern w:val="0"/>
          <w:sz w:val="32"/>
          <w:szCs w:val="32"/>
        </w:rPr>
        <w:t>万元进行申报，因而</w:t>
      </w:r>
      <w:r>
        <w:rPr>
          <w:rFonts w:hint="eastAsia" w:ascii="仿宋_GB2312" w:hAnsi="宋体" w:eastAsia="仿宋_GB2312" w:cs="宋体"/>
          <w:kern w:val="0"/>
          <w:sz w:val="32"/>
          <w:szCs w:val="32"/>
        </w:rPr>
        <w:t>专项工作经费支出产生了偏差；</w:t>
      </w:r>
    </w:p>
    <w:p>
      <w:pPr>
        <w:spacing w:line="600" w:lineRule="exact"/>
        <w:ind w:left="420" w:leftChars="200"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2、本着厉行节约原则，规范支出，紧缩开支，因而部份支出减少。</w:t>
      </w:r>
    </w:p>
    <w:p>
      <w:pPr>
        <w:spacing w:line="600" w:lineRule="exact"/>
        <w:ind w:left="420" w:leftChars="200" w:firstLine="640" w:firstLineChars="200"/>
        <w:jc w:val="left"/>
        <w:rPr>
          <w:rFonts w:hint="eastAsia" w:ascii="仿宋_GB2312" w:hAnsi="宋体" w:eastAsia="仿宋_GB2312"/>
          <w:sz w:val="32"/>
          <w:szCs w:val="32"/>
        </w:rPr>
      </w:pPr>
      <w:r>
        <w:rPr>
          <w:rFonts w:hint="eastAsia" w:ascii="仿宋_GB2312" w:hAnsi="宋体" w:eastAsia="仿宋_GB2312" w:cs="宋体"/>
          <w:kern w:val="0"/>
          <w:sz w:val="32"/>
          <w:szCs w:val="32"/>
        </w:rPr>
        <w:t>3、</w:t>
      </w:r>
      <w:r>
        <w:rPr>
          <w:rFonts w:hint="eastAsia" w:ascii="仿宋_GB2312" w:hAnsi="宋体" w:eastAsia="仿宋_GB2312"/>
          <w:sz w:val="32"/>
          <w:szCs w:val="32"/>
        </w:rPr>
        <w:t>在当前形式下，随着社会经济的发展，人民生活水平和物价的提高，在押人员给养费标准远远低于本地物价水平的发展，公务行政成本也不断提高，看守所年关押量逐年增加，房屋设备逐年老化，要保证看守所正常运转所必须的专项经费还存在相当大的缺口，建议适当增加看守所专项经费预算。</w:t>
      </w:r>
    </w:p>
    <w:p>
      <w:pPr>
        <w:ind w:right="1280"/>
        <w:rPr>
          <w:rFonts w:hint="eastAsia" w:ascii="仿宋_GB2312" w:hAnsi="宋体" w:eastAsia="仿宋_GB2312"/>
          <w:b/>
          <w:color w:val="00000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b/>
          <w:color w:val="000000"/>
          <w:sz w:val="32"/>
          <w:szCs w:val="32"/>
        </w:rPr>
        <w:t>五、下一步工作措施</w:t>
      </w:r>
    </w:p>
    <w:p>
      <w:pPr>
        <w:widowControl/>
        <w:shd w:val="clear" w:color="auto" w:fill="FFFFFF"/>
        <w:spacing w:line="315" w:lineRule="atLeast"/>
        <w:ind w:firstLine="480"/>
        <w:rPr>
          <w:rFonts w:hint="eastAsia" w:ascii="仿宋_GB2312" w:hAnsi="宋体" w:eastAsia="仿宋_GB2312" w:cs="Courier New"/>
          <w:kern w:val="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cs="Courier New"/>
          <w:kern w:val="0"/>
          <w:sz w:val="32"/>
          <w:szCs w:val="32"/>
        </w:rPr>
        <w:t>1、加强预算管理，降低偏差；</w:t>
      </w:r>
    </w:p>
    <w:p>
      <w:pPr>
        <w:widowControl/>
        <w:shd w:val="clear" w:color="auto" w:fill="FFFFFF"/>
        <w:spacing w:line="315" w:lineRule="atLeast"/>
        <w:ind w:firstLine="1280" w:firstLineChars="400"/>
        <w:rPr>
          <w:rFonts w:hint="eastAsia" w:ascii="仿宋_GB2312" w:hAnsi="宋体" w:eastAsia="仿宋_GB2312" w:cs="宋体"/>
          <w:kern w:val="0"/>
          <w:sz w:val="32"/>
          <w:szCs w:val="32"/>
        </w:rPr>
      </w:pPr>
      <w:r>
        <w:rPr>
          <w:rFonts w:hint="eastAsia" w:ascii="仿宋_GB2312" w:hAnsi="宋体" w:eastAsia="仿宋_GB2312" w:cs="Courier New"/>
          <w:kern w:val="0"/>
          <w:sz w:val="32"/>
          <w:szCs w:val="32"/>
        </w:rPr>
        <w:t>2、进一步</w:t>
      </w:r>
      <w:r>
        <w:rPr>
          <w:rFonts w:hint="eastAsia" w:ascii="仿宋_GB2312" w:hAnsi="宋体" w:eastAsia="仿宋_GB2312" w:cs="宋体"/>
          <w:kern w:val="0"/>
          <w:sz w:val="32"/>
          <w:szCs w:val="32"/>
        </w:rPr>
        <w:t>规范支出，节约财政资金；</w:t>
      </w:r>
    </w:p>
    <w:p>
      <w:pPr>
        <w:widowControl/>
        <w:shd w:val="clear" w:color="auto" w:fill="FFFFFF"/>
        <w:spacing w:line="315" w:lineRule="atLeast"/>
        <w:ind w:firstLine="1280" w:firstLineChars="400"/>
        <w:rPr>
          <w:rFonts w:ascii="仿宋_GB2312" w:hAnsi="宋体" w:eastAsia="仿宋_GB2312" w:cs="方正小标宋简体"/>
          <w:sz w:val="32"/>
          <w:szCs w:val="32"/>
        </w:rPr>
      </w:pPr>
      <w:r>
        <w:rPr>
          <w:rFonts w:hint="eastAsia" w:ascii="仿宋_GB2312" w:hAnsi="宋体" w:eastAsia="仿宋_GB2312" w:cs="宋体"/>
          <w:kern w:val="0"/>
          <w:sz w:val="32"/>
          <w:szCs w:val="32"/>
        </w:rPr>
        <w:t>3、加强财务知识学习，</w:t>
      </w:r>
      <w:r>
        <w:rPr>
          <w:rFonts w:hint="eastAsia" w:ascii="仿宋_GB2312" w:hAnsi="宋体" w:eastAsia="仿宋_GB2312" w:cs="Courier New"/>
          <w:kern w:val="0"/>
          <w:sz w:val="32"/>
          <w:szCs w:val="32"/>
        </w:rPr>
        <w:t>规范财务管理。</w:t>
      </w:r>
    </w:p>
    <w:p>
      <w:pPr>
        <w:ind w:right="1280"/>
        <w:rPr>
          <w:rFonts w:hint="eastAsia" w:ascii="仿宋_GB2312" w:hAnsi="宋体" w:eastAsia="仿宋_GB2312"/>
          <w:color w:val="000000"/>
          <w:sz w:val="32"/>
          <w:szCs w:val="32"/>
        </w:rPr>
      </w:pPr>
    </w:p>
    <w:p>
      <w:pPr>
        <w:ind w:left="420" w:leftChars="200" w:right="640"/>
        <w:jc w:val="right"/>
        <w:rPr>
          <w:rFonts w:hint="eastAsia" w:ascii="仿宋_GB2312" w:hAnsi="宋体" w:eastAsia="仿宋_GB2312"/>
          <w:color w:val="000000"/>
          <w:sz w:val="32"/>
          <w:szCs w:val="32"/>
        </w:rPr>
      </w:pPr>
      <w:r>
        <w:rPr>
          <w:rFonts w:hint="eastAsia" w:ascii="仿宋_GB2312" w:hAnsi="宋体" w:eastAsia="仿宋_GB2312"/>
          <w:color w:val="000000"/>
          <w:sz w:val="32"/>
          <w:szCs w:val="32"/>
        </w:rPr>
        <w:t>20</w:t>
      </w:r>
      <w:r>
        <w:rPr>
          <w:rFonts w:hint="eastAsia" w:ascii="仿宋_GB2312" w:hAnsi="宋体" w:eastAsia="仿宋_GB2312"/>
          <w:color w:val="000000"/>
          <w:sz w:val="32"/>
          <w:szCs w:val="32"/>
          <w:lang w:val="en-US" w:eastAsia="zh-CN"/>
        </w:rPr>
        <w:t>21</w:t>
      </w:r>
      <w:r>
        <w:rPr>
          <w:rFonts w:hint="eastAsia" w:ascii="仿宋_GB2312" w:hAnsi="宋体" w:eastAsia="仿宋_GB2312"/>
          <w:color w:val="000000"/>
          <w:sz w:val="32"/>
          <w:szCs w:val="32"/>
        </w:rPr>
        <w:t>年</w:t>
      </w: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月25日</w:t>
      </w:r>
    </w:p>
    <w:p>
      <w:pPr>
        <w:ind w:left="420" w:leftChars="200" w:right="640"/>
        <w:rPr>
          <w:rFonts w:hint="eastAsia" w:ascii="仿宋_GB2312" w:eastAsia="仿宋_GB2312"/>
          <w:b/>
          <w:sz w:val="32"/>
          <w:szCs w:val="32"/>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widowControl/>
        <w:ind w:left="93"/>
        <w:jc w:val="center"/>
        <w:rPr>
          <w:rFonts w:hint="eastAsia" w:ascii="黑体" w:hAnsi="仿宋" w:eastAsia="黑体" w:cs="宋体"/>
          <w:b/>
          <w:bCs/>
          <w:kern w:val="0"/>
          <w:sz w:val="44"/>
          <w:szCs w:val="44"/>
        </w:rPr>
      </w:pP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color w:val="000000"/>
          <w:kern w:val="2"/>
          <w:sz w:val="32"/>
          <w:szCs w:val="32"/>
          <w:lang w:val="en-US" w:eastAsia="zh-CN" w:bidi="ar"/>
        </w:rPr>
      </w:pP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color w:val="000000"/>
          <w:sz w:val="32"/>
          <w:szCs w:val="32"/>
          <w:lang w:val="en-US"/>
        </w:rPr>
      </w:pPr>
      <w:r>
        <w:rPr>
          <w:rFonts w:hint="eastAsia" w:ascii="黑体" w:hAnsi="宋体" w:eastAsia="黑体" w:cs="黑体"/>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jc w:val="center"/>
        <w:rPr>
          <w:rFonts w:hint="eastAsia" w:ascii="宋体" w:hAnsi="宋体" w:eastAsia="宋体" w:cs="仿宋"/>
          <w:b/>
          <w:color w:val="000000"/>
          <w:kern w:val="0"/>
          <w:sz w:val="36"/>
          <w:szCs w:val="36"/>
          <w:lang w:val="en-US" w:eastAsia="zh-CN" w:bidi="ar"/>
        </w:rPr>
      </w:pPr>
    </w:p>
    <w:p>
      <w:pPr>
        <w:rPr>
          <w:rFonts w:hint="eastAsia"/>
        </w:rPr>
      </w:pP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FDA0C6"/>
    <w:multiLevelType w:val="singleLevel"/>
    <w:tmpl w:val="9BFDA0C6"/>
    <w:lvl w:ilvl="0" w:tentative="0">
      <w:start w:val="2"/>
      <w:numFmt w:val="decimal"/>
      <w:suff w:val="nothing"/>
      <w:lvlText w:val="%1、"/>
      <w:lvlJc w:val="left"/>
    </w:lvl>
  </w:abstractNum>
  <w:abstractNum w:abstractNumId="1">
    <w:nsid w:val="F1B6234C"/>
    <w:multiLevelType w:val="singleLevel"/>
    <w:tmpl w:val="F1B6234C"/>
    <w:lvl w:ilvl="0" w:tentative="0">
      <w:start w:val="1"/>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ZDU2YWU5NjQ3MmU2ODk2Y2NiZjk4ZGY3ODM1ZjI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40273C7"/>
    <w:rsid w:val="07D714C1"/>
    <w:rsid w:val="095C0737"/>
    <w:rsid w:val="0A864510"/>
    <w:rsid w:val="0BB401FC"/>
    <w:rsid w:val="0BC55049"/>
    <w:rsid w:val="0D1F46AC"/>
    <w:rsid w:val="0D282745"/>
    <w:rsid w:val="0F21463B"/>
    <w:rsid w:val="10436F90"/>
    <w:rsid w:val="1217123B"/>
    <w:rsid w:val="14CE1D56"/>
    <w:rsid w:val="16A728D3"/>
    <w:rsid w:val="19743823"/>
    <w:rsid w:val="1A947BE6"/>
    <w:rsid w:val="1BBB1329"/>
    <w:rsid w:val="1C7A60C9"/>
    <w:rsid w:val="1D1D100A"/>
    <w:rsid w:val="1F727D74"/>
    <w:rsid w:val="1F8F2F1E"/>
    <w:rsid w:val="21EE1334"/>
    <w:rsid w:val="23DA443F"/>
    <w:rsid w:val="26CC7C68"/>
    <w:rsid w:val="27114F1E"/>
    <w:rsid w:val="284E65ED"/>
    <w:rsid w:val="2AC7133D"/>
    <w:rsid w:val="2E215B46"/>
    <w:rsid w:val="2EF13DD7"/>
    <w:rsid w:val="30C15F9C"/>
    <w:rsid w:val="31803F0C"/>
    <w:rsid w:val="371B2D11"/>
    <w:rsid w:val="3A0348BA"/>
    <w:rsid w:val="3D3834ED"/>
    <w:rsid w:val="415F1098"/>
    <w:rsid w:val="42D20951"/>
    <w:rsid w:val="432F3BA5"/>
    <w:rsid w:val="474B2221"/>
    <w:rsid w:val="48003447"/>
    <w:rsid w:val="4AC60DBD"/>
    <w:rsid w:val="4C1B21B5"/>
    <w:rsid w:val="4C352402"/>
    <w:rsid w:val="4C4706D5"/>
    <w:rsid w:val="4CDD3747"/>
    <w:rsid w:val="4D895128"/>
    <w:rsid w:val="50474601"/>
    <w:rsid w:val="514314C8"/>
    <w:rsid w:val="52C67A99"/>
    <w:rsid w:val="545C7366"/>
    <w:rsid w:val="55851DF3"/>
    <w:rsid w:val="573F4C1F"/>
    <w:rsid w:val="58320129"/>
    <w:rsid w:val="58FD4D7C"/>
    <w:rsid w:val="5CAA564F"/>
    <w:rsid w:val="601D7B53"/>
    <w:rsid w:val="60AA46B8"/>
    <w:rsid w:val="61776C09"/>
    <w:rsid w:val="61F00305"/>
    <w:rsid w:val="625D523F"/>
    <w:rsid w:val="695D25E0"/>
    <w:rsid w:val="6D46427E"/>
    <w:rsid w:val="6D8643C5"/>
    <w:rsid w:val="6F656A84"/>
    <w:rsid w:val="70002EB0"/>
    <w:rsid w:val="70160F96"/>
    <w:rsid w:val="73EB36FB"/>
    <w:rsid w:val="779030FD"/>
    <w:rsid w:val="7B4F7695"/>
    <w:rsid w:val="7CE8427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qFormat/>
    <w:uiPriority w:val="0"/>
  </w:style>
  <w:style w:type="character" w:customStyle="1" w:styleId="9">
    <w:name w:val="Header Char"/>
    <w:basedOn w:val="7"/>
    <w:link w:val="4"/>
    <w:qFormat/>
    <w:locked/>
    <w:uiPriority w:val="99"/>
    <w:rPr>
      <w:sz w:val="18"/>
      <w:szCs w:val="18"/>
    </w:rPr>
  </w:style>
  <w:style w:type="character" w:customStyle="1" w:styleId="10">
    <w:name w:val="Footer Char"/>
    <w:basedOn w:val="7"/>
    <w:link w:val="3"/>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character" w:customStyle="1" w:styleId="13">
    <w:name w:val="Balloon Text Char"/>
    <w:basedOn w:val="7"/>
    <w:link w:val="2"/>
    <w:semiHidden/>
    <w:qFormat/>
    <w:locked/>
    <w:uiPriority w:val="99"/>
    <w:rPr>
      <w:sz w:val="18"/>
      <w:szCs w:val="18"/>
    </w:rPr>
  </w:style>
  <w:style w:type="paragraph" w:customStyle="1" w:styleId="14">
    <w:name w:val="List Paragraph1"/>
    <w:basedOn w:val="1"/>
    <w:qFormat/>
    <w:uiPriority w:val="99"/>
    <w:pPr>
      <w:ind w:firstLine="420" w:firstLineChars="200"/>
    </w:pPr>
  </w:style>
  <w:style w:type="paragraph" w:styleId="15">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35</Pages>
  <Words>11496</Words>
  <Characters>12824</Characters>
  <Lines>0</Lines>
  <Paragraphs>0</Paragraphs>
  <TotalTime>2</TotalTime>
  <ScaleCrop>false</ScaleCrop>
  <LinksUpToDate>false</LinksUpToDate>
  <CharactersWithSpaces>14672</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Administrator</cp:lastModifiedBy>
  <cp:lastPrinted>2021-07-28T00:12:00Z</cp:lastPrinted>
  <dcterms:modified xsi:type="dcterms:W3CDTF">2022-06-09T03:41:24Z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2052-11.1.0.8527</vt:lpwstr>
  </property>
  <property fmtid="{D5CDD505-2E9C-101B-9397-08002B2CF9AE}" pid="4" name="ICV">
    <vt:lpwstr>7C2A466CC6864E98B8DA424C198C19D0</vt:lpwstr>
  </property>
</Properties>
</file>