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黑体" w:hAnsi="黑体" w:eastAsia="黑体" w:cs="黑体"/>
          <w:sz w:val="44"/>
          <w:szCs w:val="44"/>
        </w:rPr>
      </w:pPr>
      <w:r>
        <w:rPr>
          <w:rFonts w:hint="eastAsia" w:ascii="黑体" w:hAnsi="黑体" w:eastAsia="黑体" w:cs="黑体"/>
          <w:sz w:val="44"/>
          <w:szCs w:val="44"/>
        </w:rPr>
        <w:t>湘潭县医疗保障局</w:t>
      </w:r>
      <w:r>
        <w:rPr>
          <w:rFonts w:hint="eastAsia" w:ascii="黑体" w:hAnsi="黑体" w:eastAsia="黑体" w:cs="黑体"/>
          <w:sz w:val="44"/>
          <w:szCs w:val="44"/>
          <w:lang w:eastAsia="zh-CN"/>
        </w:rPr>
        <w:t>2021年</w:t>
      </w:r>
      <w:r>
        <w:rPr>
          <w:rFonts w:hint="eastAsia" w:ascii="黑体" w:hAnsi="黑体" w:eastAsia="黑体" w:cs="黑体"/>
          <w:sz w:val="44"/>
          <w:szCs w:val="44"/>
        </w:rPr>
        <w:t>部门预算公开</w:t>
      </w:r>
    </w:p>
    <w:p>
      <w:pPr>
        <w:bidi w:val="0"/>
        <w:jc w:val="center"/>
        <w:rPr>
          <w:rFonts w:hint="eastAsia" w:ascii="黑体" w:hAnsi="黑体" w:eastAsia="黑体" w:cs="黑体"/>
          <w:sz w:val="44"/>
          <w:szCs w:val="44"/>
        </w:rPr>
      </w:pPr>
      <w:r>
        <w:rPr>
          <w:rFonts w:hint="eastAsia" w:ascii="黑体" w:hAnsi="黑体" w:eastAsia="黑体" w:cs="黑体"/>
          <w:sz w:val="44"/>
          <w:szCs w:val="44"/>
        </w:rPr>
        <w:t>编制说明</w:t>
      </w:r>
    </w:p>
    <w:p>
      <w:pPr>
        <w:shd w:val="clear" w:color="auto" w:fill="FFFFFF"/>
        <w:adjustRightInd/>
        <w:snapToGrid/>
        <w:spacing w:after="0"/>
        <w:jc w:val="center"/>
        <w:outlineLvl w:val="9"/>
        <w:rPr>
          <w:rFonts w:ascii="黑体" w:hAnsi="黑体" w:eastAsia="黑体" w:cs="宋体"/>
          <w:b/>
          <w:bCs/>
          <w:color w:val="000000" w:themeColor="text1"/>
          <w:sz w:val="44"/>
          <w:szCs w:val="44"/>
        </w:rPr>
      </w:pPr>
    </w:p>
    <w:p>
      <w:pPr>
        <w:shd w:val="clear" w:color="auto" w:fill="FFFFFF"/>
        <w:adjustRightInd/>
        <w:snapToGrid/>
        <w:spacing w:after="0"/>
        <w:jc w:val="center"/>
        <w:outlineLvl w:val="9"/>
        <w:rPr>
          <w:rFonts w:ascii="黑体" w:hAnsi="黑体" w:eastAsia="黑体" w:cs="宋体"/>
          <w:b/>
          <w:bCs/>
          <w:color w:val="000000" w:themeColor="text1"/>
          <w:sz w:val="44"/>
          <w:szCs w:val="44"/>
        </w:rPr>
      </w:pPr>
    </w:p>
    <w:p>
      <w:pPr>
        <w:shd w:val="clear" w:color="auto" w:fill="FFFFFF"/>
        <w:adjustRightInd/>
        <w:snapToGrid/>
        <w:spacing w:after="0"/>
        <w:jc w:val="center"/>
        <w:outlineLvl w:val="9"/>
        <w:rPr>
          <w:rFonts w:hint="eastAsia" w:ascii="黑体" w:hAnsi="黑体" w:eastAsia="黑体" w:cs="宋体"/>
          <w:b/>
          <w:bCs/>
          <w:color w:val="000000" w:themeColor="text1"/>
          <w:sz w:val="44"/>
          <w:szCs w:val="44"/>
          <w:lang w:eastAsia="zh-CN"/>
        </w:rPr>
      </w:pPr>
    </w:p>
    <w:sdt>
      <w:sdtPr>
        <w:rPr>
          <w:rFonts w:hint="eastAsia" w:ascii="黑体" w:hAnsi="黑体" w:eastAsia="黑体" w:cs="黑体"/>
          <w:sz w:val="36"/>
          <w:szCs w:val="36"/>
          <w:lang w:val="en-US" w:eastAsia="zh-CN" w:bidi="ar-SA"/>
        </w:rPr>
        <w:id w:val="147460625"/>
        <w15:color w:val="DBDBDB"/>
        <w:docPartObj>
          <w:docPartGallery w:val="Table of Contents"/>
          <w:docPartUnique/>
        </w:docPartObj>
      </w:sdtPr>
      <w:sdtEndPr>
        <w:rPr>
          <w:rFonts w:hint="eastAsia" w:ascii="仿宋" w:hAnsi="仿宋" w:eastAsia="仿宋" w:cs="仿宋"/>
          <w:sz w:val="30"/>
          <w:szCs w:val="30"/>
          <w:lang w:val="en-US" w:eastAsia="zh-CN" w:bidi="ar-SA"/>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sz w:val="44"/>
              <w:szCs w:val="44"/>
            </w:rPr>
          </w:pPr>
          <w:r>
            <w:rPr>
              <w:rFonts w:hint="eastAsia" w:ascii="黑体" w:hAnsi="黑体" w:eastAsia="黑体" w:cs="黑体"/>
              <w:sz w:val="44"/>
              <w:szCs w:val="44"/>
            </w:rPr>
            <w:t>目录</w:t>
          </w:r>
        </w:p>
        <w:p>
          <w:pPr>
            <w:spacing w:before="0" w:beforeLines="0" w:after="0" w:afterLines="0" w:line="240" w:lineRule="auto"/>
            <w:ind w:left="0" w:leftChars="0" w:right="0" w:rightChars="0" w:firstLine="0" w:firstLineChars="0"/>
            <w:jc w:val="center"/>
            <w:rPr>
              <w:rFonts w:hint="eastAsia" w:ascii="黑体" w:hAnsi="黑体" w:eastAsia="黑体" w:cs="黑体"/>
              <w:sz w:val="44"/>
              <w:szCs w:val="44"/>
            </w:rPr>
          </w:pPr>
        </w:p>
        <w:p>
          <w:pPr>
            <w:widowControl/>
            <w:spacing w:line="600" w:lineRule="exact"/>
            <w:jc w:val="left"/>
            <w:rPr>
              <w:rFonts w:hint="eastAsia" w:ascii="仿宋" w:hAnsi="仿宋" w:eastAsia="仿宋_GB2312" w:cs="仿宋"/>
              <w:sz w:val="24"/>
              <w:szCs w:val="24"/>
              <w:lang w:eastAsia="zh-CN"/>
            </w:rPr>
          </w:pPr>
          <w:r>
            <w:rPr>
              <w:rFonts w:eastAsia="仿宋_GB2312"/>
              <w:b/>
              <w:bCs/>
              <w:kern w:val="0"/>
              <w:sz w:val="32"/>
              <w:szCs w:val="32"/>
            </w:rPr>
            <w:t>第</w:t>
          </w:r>
          <w:r>
            <w:rPr>
              <w:rFonts w:hint="eastAsia" w:eastAsia="仿宋_GB2312"/>
              <w:b/>
              <w:bCs/>
              <w:kern w:val="0"/>
              <w:sz w:val="32"/>
              <w:szCs w:val="32"/>
              <w:lang w:eastAsia="zh-CN"/>
            </w:rPr>
            <w:t>一</w:t>
          </w:r>
          <w:r>
            <w:rPr>
              <w:rFonts w:eastAsia="仿宋_GB2312"/>
              <w:b/>
              <w:bCs/>
              <w:kern w:val="0"/>
              <w:sz w:val="32"/>
              <w:szCs w:val="32"/>
            </w:rPr>
            <w:t xml:space="preserve">部分 </w:t>
          </w:r>
          <w:r>
            <w:rPr>
              <w:rFonts w:hint="eastAsia" w:eastAsia="仿宋_GB2312"/>
              <w:b/>
              <w:bCs/>
              <w:kern w:val="0"/>
              <w:sz w:val="32"/>
              <w:szCs w:val="32"/>
              <w:lang w:val="en-US" w:eastAsia="zh-CN"/>
            </w:rPr>
            <w:t xml:space="preserve"> 2021年</w:t>
          </w:r>
          <w:r>
            <w:rPr>
              <w:rFonts w:eastAsia="仿宋_GB2312"/>
              <w:b/>
              <w:bCs/>
              <w:kern w:val="0"/>
              <w:sz w:val="32"/>
              <w:szCs w:val="32"/>
            </w:rPr>
            <w:t>部门预算</w:t>
          </w:r>
          <w:r>
            <w:rPr>
              <w:rFonts w:hint="eastAsia" w:eastAsia="仿宋_GB2312"/>
              <w:b/>
              <w:bCs/>
              <w:kern w:val="0"/>
              <w:sz w:val="32"/>
              <w:szCs w:val="32"/>
              <w:lang w:eastAsia="zh-CN"/>
            </w:rPr>
            <w:t>说明</w:t>
          </w:r>
        </w:p>
        <w:p>
          <w:pPr>
            <w:pStyle w:val="9"/>
            <w:tabs>
              <w:tab w:val="right" w:leader="dot" w:pos="8306"/>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TOC \o "1-2" \h \u </w:instrText>
          </w:r>
          <w:r>
            <w:rPr>
              <w:rFonts w:hint="eastAsia" w:ascii="仿宋" w:hAnsi="仿宋" w:eastAsia="仿宋" w:cs="仿宋"/>
              <w:sz w:val="24"/>
              <w:szCs w:val="24"/>
            </w:rPr>
            <w:fldChar w:fldCharType="separate"/>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_Toc19199 </w:instrText>
          </w:r>
          <w:r>
            <w:rPr>
              <w:rFonts w:hint="eastAsia" w:ascii="仿宋" w:hAnsi="仿宋" w:eastAsia="仿宋" w:cs="仿宋"/>
              <w:sz w:val="24"/>
              <w:szCs w:val="24"/>
            </w:rPr>
            <w:fldChar w:fldCharType="separate"/>
          </w:r>
          <w:r>
            <w:rPr>
              <w:rFonts w:hint="eastAsia" w:ascii="仿宋" w:hAnsi="仿宋" w:eastAsia="仿宋" w:cs="仿宋"/>
              <w:sz w:val="24"/>
              <w:szCs w:val="24"/>
            </w:rPr>
            <w:t>一、部门基本情况</w:t>
          </w:r>
          <w:r>
            <w:rPr>
              <w:rFonts w:hint="eastAsia" w:ascii="仿宋" w:hAnsi="仿宋" w:eastAsia="仿宋" w:cs="仿宋"/>
              <w:sz w:val="24"/>
              <w:szCs w:val="24"/>
            </w:rPr>
            <w:fldChar w:fldCharType="end"/>
          </w:r>
        </w:p>
        <w:p>
          <w:pPr>
            <w:pStyle w:val="9"/>
            <w:tabs>
              <w:tab w:val="right" w:leader="dot" w:pos="8306"/>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_Toc4548 </w:instrText>
          </w:r>
          <w:r>
            <w:rPr>
              <w:rFonts w:hint="eastAsia" w:ascii="仿宋" w:hAnsi="仿宋" w:eastAsia="仿宋" w:cs="仿宋"/>
              <w:sz w:val="24"/>
              <w:szCs w:val="24"/>
            </w:rPr>
            <w:fldChar w:fldCharType="separate"/>
          </w:r>
          <w:r>
            <w:rPr>
              <w:rFonts w:hint="eastAsia" w:ascii="仿宋" w:hAnsi="仿宋" w:eastAsia="仿宋" w:cs="仿宋"/>
              <w:sz w:val="24"/>
              <w:szCs w:val="24"/>
            </w:rPr>
            <w:t>二、部门主要职责</w:t>
          </w:r>
          <w:r>
            <w:rPr>
              <w:rFonts w:hint="eastAsia" w:ascii="仿宋" w:hAnsi="仿宋" w:eastAsia="仿宋" w:cs="仿宋"/>
              <w:sz w:val="24"/>
              <w:szCs w:val="24"/>
            </w:rPr>
            <w:fldChar w:fldCharType="end"/>
          </w:r>
        </w:p>
        <w:p>
          <w:pPr>
            <w:pStyle w:val="9"/>
            <w:tabs>
              <w:tab w:val="right" w:leader="dot" w:pos="8306"/>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_Toc15769 </w:instrText>
          </w:r>
          <w:r>
            <w:rPr>
              <w:rFonts w:hint="eastAsia" w:ascii="仿宋" w:hAnsi="仿宋" w:eastAsia="仿宋" w:cs="仿宋"/>
              <w:sz w:val="24"/>
              <w:szCs w:val="24"/>
            </w:rPr>
            <w:fldChar w:fldCharType="separate"/>
          </w:r>
          <w:r>
            <w:rPr>
              <w:rFonts w:hint="eastAsia" w:ascii="仿宋" w:hAnsi="仿宋" w:eastAsia="仿宋" w:cs="仿宋"/>
              <w:sz w:val="24"/>
              <w:szCs w:val="24"/>
            </w:rPr>
            <w:t>三、</w:t>
          </w:r>
          <w:r>
            <w:rPr>
              <w:rFonts w:hint="eastAsia" w:ascii="仿宋" w:hAnsi="仿宋" w:eastAsia="仿宋" w:cs="仿宋"/>
              <w:sz w:val="24"/>
              <w:szCs w:val="24"/>
              <w:lang w:eastAsia="zh-CN"/>
            </w:rPr>
            <w:t>2021年</w:t>
          </w:r>
          <w:r>
            <w:rPr>
              <w:rFonts w:hint="eastAsia" w:ascii="仿宋" w:hAnsi="仿宋" w:eastAsia="仿宋" w:cs="仿宋"/>
              <w:sz w:val="24"/>
              <w:szCs w:val="24"/>
            </w:rPr>
            <w:t>部门收支概况</w:t>
          </w:r>
          <w:r>
            <w:rPr>
              <w:rFonts w:hint="eastAsia" w:ascii="仿宋" w:hAnsi="仿宋" w:eastAsia="仿宋" w:cs="仿宋"/>
              <w:sz w:val="24"/>
              <w:szCs w:val="24"/>
            </w:rPr>
            <w:fldChar w:fldCharType="end"/>
          </w:r>
        </w:p>
        <w:p>
          <w:pPr>
            <w:pStyle w:val="10"/>
            <w:tabs>
              <w:tab w:val="right" w:leader="dot" w:pos="8306"/>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_Toc29537 </w:instrText>
          </w:r>
          <w:r>
            <w:rPr>
              <w:rFonts w:hint="eastAsia" w:ascii="仿宋" w:hAnsi="仿宋" w:eastAsia="仿宋" w:cs="仿宋"/>
              <w:sz w:val="24"/>
              <w:szCs w:val="24"/>
            </w:rPr>
            <w:fldChar w:fldCharType="separate"/>
          </w:r>
          <w:r>
            <w:rPr>
              <w:rFonts w:hint="eastAsia" w:ascii="仿宋" w:hAnsi="仿宋" w:eastAsia="仿宋" w:cs="仿宋"/>
              <w:sz w:val="24"/>
              <w:szCs w:val="24"/>
            </w:rPr>
            <w:t>（一）收入预算</w:t>
          </w:r>
          <w:r>
            <w:rPr>
              <w:rFonts w:hint="eastAsia" w:ascii="仿宋" w:hAnsi="仿宋" w:eastAsia="仿宋" w:cs="仿宋"/>
              <w:sz w:val="24"/>
              <w:szCs w:val="24"/>
            </w:rPr>
            <w:fldChar w:fldCharType="end"/>
          </w:r>
        </w:p>
        <w:p>
          <w:pPr>
            <w:pStyle w:val="10"/>
            <w:tabs>
              <w:tab w:val="right" w:leader="dot" w:pos="8306"/>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_Toc14625 </w:instrText>
          </w:r>
          <w:r>
            <w:rPr>
              <w:rFonts w:hint="eastAsia" w:ascii="仿宋" w:hAnsi="仿宋" w:eastAsia="仿宋" w:cs="仿宋"/>
              <w:sz w:val="24"/>
              <w:szCs w:val="24"/>
            </w:rPr>
            <w:fldChar w:fldCharType="separate"/>
          </w:r>
          <w:r>
            <w:rPr>
              <w:rFonts w:hint="eastAsia" w:ascii="仿宋" w:hAnsi="仿宋" w:eastAsia="仿宋" w:cs="仿宋"/>
              <w:sz w:val="24"/>
              <w:szCs w:val="24"/>
            </w:rPr>
            <w:t>（二）支出预算</w:t>
          </w:r>
          <w:r>
            <w:rPr>
              <w:rFonts w:hint="eastAsia" w:ascii="仿宋" w:hAnsi="仿宋" w:eastAsia="仿宋" w:cs="仿宋"/>
              <w:sz w:val="24"/>
              <w:szCs w:val="24"/>
            </w:rPr>
            <w:fldChar w:fldCharType="end"/>
          </w:r>
        </w:p>
        <w:p>
          <w:pPr>
            <w:pStyle w:val="9"/>
            <w:tabs>
              <w:tab w:val="right" w:leader="dot" w:pos="8306"/>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_Toc14792 </w:instrText>
          </w:r>
          <w:r>
            <w:rPr>
              <w:rFonts w:hint="eastAsia" w:ascii="仿宋" w:hAnsi="仿宋" w:eastAsia="仿宋" w:cs="仿宋"/>
              <w:sz w:val="24"/>
              <w:szCs w:val="24"/>
            </w:rPr>
            <w:fldChar w:fldCharType="separate"/>
          </w:r>
          <w:r>
            <w:rPr>
              <w:rFonts w:hint="eastAsia" w:ascii="仿宋" w:hAnsi="仿宋" w:eastAsia="仿宋" w:cs="仿宋"/>
              <w:sz w:val="24"/>
              <w:szCs w:val="24"/>
            </w:rPr>
            <w:t>四、一般公共预算拨款支出</w:t>
          </w:r>
          <w:r>
            <w:rPr>
              <w:rFonts w:hint="eastAsia" w:ascii="仿宋" w:hAnsi="仿宋" w:eastAsia="仿宋" w:cs="仿宋"/>
              <w:sz w:val="24"/>
              <w:szCs w:val="24"/>
            </w:rPr>
            <w:fldChar w:fldCharType="end"/>
          </w:r>
        </w:p>
        <w:p>
          <w:pPr>
            <w:pStyle w:val="10"/>
            <w:tabs>
              <w:tab w:val="right" w:leader="dot" w:pos="8306"/>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_Toc27787 </w:instrText>
          </w:r>
          <w:r>
            <w:rPr>
              <w:rFonts w:hint="eastAsia" w:ascii="仿宋" w:hAnsi="仿宋" w:eastAsia="仿宋" w:cs="仿宋"/>
              <w:sz w:val="24"/>
              <w:szCs w:val="24"/>
            </w:rPr>
            <w:fldChar w:fldCharType="separate"/>
          </w:r>
          <w:r>
            <w:rPr>
              <w:rFonts w:hint="eastAsia" w:ascii="仿宋" w:hAnsi="仿宋" w:eastAsia="仿宋" w:cs="仿宋"/>
              <w:sz w:val="24"/>
              <w:szCs w:val="24"/>
              <w:lang w:eastAsia="zh-CN"/>
            </w:rPr>
            <w:t>（一）</w:t>
          </w:r>
          <w:r>
            <w:rPr>
              <w:rFonts w:hint="eastAsia" w:ascii="仿宋" w:hAnsi="仿宋" w:eastAsia="仿宋" w:cs="仿宋"/>
              <w:sz w:val="24"/>
              <w:szCs w:val="24"/>
            </w:rPr>
            <w:t>基本支出</w:t>
          </w:r>
          <w:r>
            <w:rPr>
              <w:rFonts w:hint="eastAsia" w:ascii="仿宋" w:hAnsi="仿宋" w:eastAsia="仿宋" w:cs="仿宋"/>
              <w:sz w:val="24"/>
              <w:szCs w:val="24"/>
            </w:rPr>
            <w:fldChar w:fldCharType="end"/>
          </w:r>
        </w:p>
        <w:p>
          <w:pPr>
            <w:pStyle w:val="10"/>
            <w:tabs>
              <w:tab w:val="right" w:leader="dot" w:pos="8306"/>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_Toc30409 </w:instrText>
          </w:r>
          <w:r>
            <w:rPr>
              <w:rFonts w:hint="eastAsia" w:ascii="仿宋" w:hAnsi="仿宋" w:eastAsia="仿宋" w:cs="仿宋"/>
              <w:sz w:val="24"/>
              <w:szCs w:val="24"/>
            </w:rPr>
            <w:fldChar w:fldCharType="separate"/>
          </w:r>
          <w:r>
            <w:rPr>
              <w:rFonts w:hint="eastAsia" w:ascii="仿宋" w:hAnsi="仿宋" w:eastAsia="仿宋" w:cs="仿宋"/>
              <w:sz w:val="24"/>
              <w:szCs w:val="24"/>
              <w:lang w:eastAsia="zh-CN"/>
            </w:rPr>
            <w:t>（二）</w:t>
          </w:r>
          <w:r>
            <w:rPr>
              <w:rFonts w:hint="eastAsia" w:ascii="仿宋" w:hAnsi="仿宋" w:eastAsia="仿宋" w:cs="仿宋"/>
              <w:sz w:val="24"/>
              <w:szCs w:val="24"/>
            </w:rPr>
            <w:t>项目支出</w:t>
          </w:r>
          <w:r>
            <w:rPr>
              <w:rFonts w:hint="eastAsia" w:ascii="仿宋" w:hAnsi="仿宋" w:eastAsia="仿宋" w:cs="仿宋"/>
              <w:sz w:val="24"/>
              <w:szCs w:val="24"/>
            </w:rPr>
            <w:fldChar w:fldCharType="end"/>
          </w:r>
        </w:p>
        <w:p>
          <w:pPr>
            <w:pStyle w:val="9"/>
            <w:tabs>
              <w:tab w:val="right" w:leader="dot" w:pos="8306"/>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_Toc28268 </w:instrText>
          </w:r>
          <w:r>
            <w:rPr>
              <w:rFonts w:hint="eastAsia" w:ascii="仿宋" w:hAnsi="仿宋" w:eastAsia="仿宋" w:cs="仿宋"/>
              <w:sz w:val="24"/>
              <w:szCs w:val="24"/>
            </w:rPr>
            <w:fldChar w:fldCharType="separate"/>
          </w:r>
          <w:r>
            <w:rPr>
              <w:rFonts w:hint="eastAsia" w:ascii="仿宋" w:hAnsi="仿宋" w:eastAsia="仿宋" w:cs="仿宋"/>
              <w:sz w:val="24"/>
              <w:szCs w:val="24"/>
            </w:rPr>
            <w:t>五、政府性基金预算支出</w:t>
          </w:r>
          <w:r>
            <w:rPr>
              <w:rFonts w:hint="eastAsia" w:ascii="仿宋" w:hAnsi="仿宋" w:eastAsia="仿宋" w:cs="仿宋"/>
              <w:sz w:val="24"/>
              <w:szCs w:val="24"/>
            </w:rPr>
            <w:fldChar w:fldCharType="end"/>
          </w:r>
        </w:p>
        <w:p>
          <w:pPr>
            <w:pStyle w:val="9"/>
            <w:tabs>
              <w:tab w:val="right" w:leader="dot" w:pos="8306"/>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_Toc2718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六、其他重要事项的情况说明</w:t>
          </w:r>
          <w:r>
            <w:rPr>
              <w:rFonts w:hint="eastAsia" w:ascii="仿宋" w:hAnsi="仿宋" w:eastAsia="仿宋" w:cs="仿宋"/>
              <w:sz w:val="24"/>
              <w:szCs w:val="24"/>
            </w:rPr>
            <w:fldChar w:fldCharType="end"/>
          </w:r>
        </w:p>
        <w:p>
          <w:pPr>
            <w:pStyle w:val="10"/>
            <w:tabs>
              <w:tab w:val="right" w:leader="dot" w:pos="8306"/>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_Toc6690 </w:instrText>
          </w:r>
          <w:r>
            <w:rPr>
              <w:rFonts w:hint="eastAsia" w:ascii="仿宋" w:hAnsi="仿宋" w:eastAsia="仿宋" w:cs="仿宋"/>
              <w:sz w:val="24"/>
              <w:szCs w:val="24"/>
            </w:rPr>
            <w:fldChar w:fldCharType="separate"/>
          </w:r>
          <w:r>
            <w:rPr>
              <w:rFonts w:hint="eastAsia" w:ascii="仿宋" w:hAnsi="仿宋" w:eastAsia="仿宋" w:cs="仿宋"/>
              <w:sz w:val="24"/>
              <w:szCs w:val="24"/>
            </w:rPr>
            <w:t>（一）机关运行经费</w:t>
          </w:r>
          <w:r>
            <w:rPr>
              <w:rFonts w:hint="eastAsia" w:ascii="仿宋" w:hAnsi="仿宋" w:eastAsia="仿宋" w:cs="仿宋"/>
              <w:sz w:val="24"/>
              <w:szCs w:val="24"/>
            </w:rPr>
            <w:fldChar w:fldCharType="end"/>
          </w:r>
        </w:p>
        <w:p>
          <w:pPr>
            <w:pStyle w:val="10"/>
            <w:tabs>
              <w:tab w:val="right" w:leader="dot" w:pos="8306"/>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_Toc14072 </w:instrText>
          </w:r>
          <w:r>
            <w:rPr>
              <w:rFonts w:hint="eastAsia" w:ascii="仿宋" w:hAnsi="仿宋" w:eastAsia="仿宋" w:cs="仿宋"/>
              <w:sz w:val="24"/>
              <w:szCs w:val="24"/>
            </w:rPr>
            <w:fldChar w:fldCharType="separate"/>
          </w:r>
          <w:r>
            <w:rPr>
              <w:rFonts w:hint="eastAsia" w:ascii="仿宋" w:hAnsi="仿宋" w:eastAsia="仿宋" w:cs="仿宋"/>
              <w:sz w:val="24"/>
              <w:szCs w:val="24"/>
            </w:rPr>
            <w:t>（二）“三公”经费预算</w:t>
          </w:r>
          <w:r>
            <w:rPr>
              <w:rFonts w:hint="eastAsia" w:ascii="仿宋" w:hAnsi="仿宋" w:eastAsia="仿宋" w:cs="仿宋"/>
              <w:sz w:val="24"/>
              <w:szCs w:val="24"/>
            </w:rPr>
            <w:fldChar w:fldCharType="end"/>
          </w:r>
        </w:p>
        <w:p>
          <w:pPr>
            <w:pStyle w:val="10"/>
            <w:tabs>
              <w:tab w:val="right" w:leader="dot" w:pos="8306"/>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_Toc22339 </w:instrText>
          </w:r>
          <w:r>
            <w:rPr>
              <w:rFonts w:hint="eastAsia" w:ascii="仿宋" w:hAnsi="仿宋" w:eastAsia="仿宋" w:cs="仿宋"/>
              <w:sz w:val="24"/>
              <w:szCs w:val="24"/>
            </w:rPr>
            <w:fldChar w:fldCharType="separate"/>
          </w:r>
          <w:r>
            <w:rPr>
              <w:rFonts w:hint="eastAsia" w:ascii="仿宋" w:hAnsi="仿宋" w:eastAsia="仿宋" w:cs="仿宋"/>
              <w:sz w:val="24"/>
              <w:szCs w:val="24"/>
            </w:rPr>
            <w:t>（</w:t>
          </w:r>
          <w:r>
            <w:rPr>
              <w:rFonts w:hint="eastAsia" w:ascii="仿宋" w:hAnsi="仿宋" w:eastAsia="仿宋" w:cs="仿宋"/>
              <w:sz w:val="24"/>
              <w:szCs w:val="24"/>
              <w:lang w:eastAsia="zh-CN"/>
            </w:rPr>
            <w:t>三</w:t>
          </w:r>
          <w:r>
            <w:rPr>
              <w:rFonts w:hint="eastAsia" w:ascii="仿宋" w:hAnsi="仿宋" w:eastAsia="仿宋" w:cs="仿宋"/>
              <w:sz w:val="24"/>
              <w:szCs w:val="24"/>
            </w:rPr>
            <w:t>）政府采购情况</w:t>
          </w:r>
          <w:r>
            <w:rPr>
              <w:rFonts w:hint="eastAsia" w:ascii="仿宋" w:hAnsi="仿宋" w:eastAsia="仿宋" w:cs="仿宋"/>
              <w:sz w:val="24"/>
              <w:szCs w:val="24"/>
            </w:rPr>
            <w:fldChar w:fldCharType="end"/>
          </w:r>
        </w:p>
        <w:p>
          <w:pPr>
            <w:pStyle w:val="10"/>
            <w:tabs>
              <w:tab w:val="right" w:leader="dot" w:pos="8306"/>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_Toc18222 </w:instrText>
          </w:r>
          <w:r>
            <w:rPr>
              <w:rFonts w:hint="eastAsia" w:ascii="仿宋" w:hAnsi="仿宋" w:eastAsia="仿宋" w:cs="仿宋"/>
              <w:sz w:val="24"/>
              <w:szCs w:val="24"/>
            </w:rPr>
            <w:fldChar w:fldCharType="separate"/>
          </w:r>
          <w:r>
            <w:rPr>
              <w:rFonts w:hint="eastAsia" w:ascii="仿宋" w:hAnsi="仿宋" w:eastAsia="仿宋" w:cs="仿宋"/>
              <w:sz w:val="24"/>
              <w:szCs w:val="24"/>
            </w:rPr>
            <w:t>（</w:t>
          </w:r>
          <w:r>
            <w:rPr>
              <w:rFonts w:hint="eastAsia" w:ascii="仿宋" w:hAnsi="仿宋" w:eastAsia="仿宋" w:cs="仿宋"/>
              <w:sz w:val="24"/>
              <w:szCs w:val="24"/>
              <w:lang w:eastAsia="zh-CN"/>
            </w:rPr>
            <w:t>四</w:t>
          </w:r>
          <w:r>
            <w:rPr>
              <w:rFonts w:hint="eastAsia" w:ascii="仿宋" w:hAnsi="仿宋" w:eastAsia="仿宋" w:cs="仿宋"/>
              <w:sz w:val="24"/>
              <w:szCs w:val="24"/>
            </w:rPr>
            <w:t>）国有资产占用使用及新增资产配置情况</w:t>
          </w:r>
          <w:r>
            <w:rPr>
              <w:rFonts w:hint="eastAsia" w:ascii="仿宋" w:hAnsi="仿宋" w:eastAsia="仿宋" w:cs="仿宋"/>
              <w:sz w:val="24"/>
              <w:szCs w:val="24"/>
            </w:rPr>
            <w:fldChar w:fldCharType="end"/>
          </w:r>
        </w:p>
        <w:p>
          <w:pPr>
            <w:pStyle w:val="10"/>
            <w:tabs>
              <w:tab w:val="right" w:leader="dot" w:pos="8306"/>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_Toc9591 </w:instrText>
          </w:r>
          <w:r>
            <w:rPr>
              <w:rFonts w:hint="eastAsia" w:ascii="仿宋" w:hAnsi="仿宋" w:eastAsia="仿宋" w:cs="仿宋"/>
              <w:sz w:val="24"/>
              <w:szCs w:val="24"/>
            </w:rPr>
            <w:fldChar w:fldCharType="separate"/>
          </w:r>
          <w:r>
            <w:rPr>
              <w:rFonts w:hint="eastAsia" w:ascii="仿宋" w:hAnsi="仿宋" w:eastAsia="仿宋" w:cs="仿宋"/>
              <w:sz w:val="24"/>
              <w:szCs w:val="24"/>
            </w:rPr>
            <w:t>（</w:t>
          </w:r>
          <w:r>
            <w:rPr>
              <w:rFonts w:hint="eastAsia" w:ascii="仿宋" w:hAnsi="仿宋" w:eastAsia="仿宋" w:cs="仿宋"/>
              <w:sz w:val="24"/>
              <w:szCs w:val="24"/>
              <w:lang w:eastAsia="zh-CN"/>
            </w:rPr>
            <w:t>五</w:t>
          </w:r>
          <w:r>
            <w:rPr>
              <w:rFonts w:hint="eastAsia" w:ascii="仿宋" w:hAnsi="仿宋" w:eastAsia="仿宋" w:cs="仿宋"/>
              <w:sz w:val="24"/>
              <w:szCs w:val="24"/>
            </w:rPr>
            <w:t>）预算绩效目标说明</w:t>
          </w:r>
          <w:r>
            <w:rPr>
              <w:rFonts w:hint="eastAsia" w:ascii="仿宋" w:hAnsi="仿宋" w:eastAsia="仿宋" w:cs="仿宋"/>
              <w:sz w:val="24"/>
              <w:szCs w:val="24"/>
            </w:rPr>
            <w:fldChar w:fldCharType="end"/>
          </w:r>
        </w:p>
        <w:p>
          <w:pPr>
            <w:pStyle w:val="9"/>
            <w:tabs>
              <w:tab w:val="right" w:leader="dot" w:pos="8306"/>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_Toc24371 </w:instrText>
          </w:r>
          <w:r>
            <w:rPr>
              <w:rFonts w:hint="eastAsia" w:ascii="仿宋" w:hAnsi="仿宋" w:eastAsia="仿宋" w:cs="仿宋"/>
              <w:sz w:val="24"/>
              <w:szCs w:val="24"/>
            </w:rPr>
            <w:fldChar w:fldCharType="separate"/>
          </w:r>
          <w:r>
            <w:rPr>
              <w:rFonts w:hint="eastAsia" w:ascii="仿宋" w:hAnsi="仿宋" w:eastAsia="仿宋" w:cs="仿宋"/>
              <w:sz w:val="24"/>
              <w:szCs w:val="24"/>
              <w:lang w:eastAsia="zh-CN"/>
            </w:rPr>
            <w:t>七、专业性名词解释</w:t>
          </w:r>
          <w:r>
            <w:rPr>
              <w:rFonts w:hint="eastAsia" w:ascii="仿宋" w:hAnsi="仿宋" w:eastAsia="仿宋" w:cs="仿宋"/>
              <w:sz w:val="24"/>
              <w:szCs w:val="24"/>
            </w:rPr>
            <w:fldChar w:fldCharType="end"/>
          </w:r>
        </w:p>
        <w:p>
          <w:pPr>
            <w:widowControl/>
            <w:spacing w:line="600" w:lineRule="exact"/>
            <w:jc w:val="left"/>
            <w:rPr>
              <w:rFonts w:eastAsia="仿宋_GB2312"/>
              <w:b/>
              <w:bCs/>
              <w:kern w:val="0"/>
              <w:sz w:val="32"/>
              <w:szCs w:val="32"/>
            </w:rPr>
          </w:pPr>
          <w:r>
            <w:rPr>
              <w:rFonts w:eastAsia="仿宋_GB2312"/>
              <w:b/>
              <w:bCs/>
              <w:kern w:val="0"/>
              <w:sz w:val="32"/>
              <w:szCs w:val="32"/>
            </w:rPr>
            <w:t xml:space="preserve">第二部分 </w:t>
          </w:r>
          <w:r>
            <w:rPr>
              <w:rFonts w:hint="eastAsia" w:eastAsia="仿宋_GB2312"/>
              <w:b/>
              <w:bCs/>
              <w:kern w:val="0"/>
              <w:sz w:val="32"/>
              <w:szCs w:val="32"/>
              <w:lang w:val="en-US" w:eastAsia="zh-CN"/>
            </w:rPr>
            <w:t>2021年</w:t>
          </w:r>
          <w:r>
            <w:rPr>
              <w:rFonts w:eastAsia="仿宋_GB2312"/>
              <w:b/>
              <w:bCs/>
              <w:kern w:val="0"/>
              <w:sz w:val="32"/>
              <w:szCs w:val="32"/>
            </w:rPr>
            <w:t>部门预算表</w:t>
          </w:r>
        </w:p>
        <w:p>
          <w:pPr>
            <w:keepNext w:val="0"/>
            <w:keepLines w:val="0"/>
            <w:pageBreakBefore w:val="0"/>
            <w:widowControl/>
            <w:kinsoku/>
            <w:wordWrap/>
            <w:overflowPunct/>
            <w:topLinePunct w:val="0"/>
            <w:autoSpaceDE/>
            <w:autoSpaceDN/>
            <w:bidi w:val="0"/>
            <w:adjustRightInd w:val="0"/>
            <w:snapToGrid w:val="0"/>
            <w:spacing w:line="240" w:lineRule="auto"/>
            <w:jc w:val="both"/>
            <w:textAlignment w:val="auto"/>
            <w:rPr>
              <w:rFonts w:hint="default" w:ascii="仿宋" w:hAnsi="仿宋" w:eastAsia="仿宋" w:cs="仿宋"/>
              <w:sz w:val="24"/>
              <w:szCs w:val="24"/>
              <w:lang w:val="en-US" w:eastAsia="zh-CN" w:bidi="ar-SA"/>
            </w:rPr>
          </w:pPr>
          <w:r>
            <w:rPr>
              <w:rFonts w:hint="eastAsia" w:ascii="仿宋" w:hAnsi="仿宋" w:eastAsia="仿宋" w:cs="仿宋"/>
              <w:sz w:val="24"/>
              <w:szCs w:val="24"/>
              <w:lang w:val="en-US" w:eastAsia="zh-CN" w:bidi="ar-SA"/>
            </w:rPr>
            <w:t>1、部门财政拨款收支总表</w:t>
          </w:r>
        </w:p>
        <w:p>
          <w:pPr>
            <w:keepNext w:val="0"/>
            <w:keepLines w:val="0"/>
            <w:pageBreakBefore w:val="0"/>
            <w:widowControl/>
            <w:kinsoku/>
            <w:wordWrap/>
            <w:overflowPunct/>
            <w:topLinePunct w:val="0"/>
            <w:autoSpaceDE/>
            <w:autoSpaceDN/>
            <w:bidi w:val="0"/>
            <w:adjustRightInd w:val="0"/>
            <w:snapToGrid w:val="0"/>
            <w:spacing w:line="240" w:lineRule="auto"/>
            <w:jc w:val="both"/>
            <w:textAlignment w:val="auto"/>
            <w:rPr>
              <w:rFonts w:hint="eastAsia" w:ascii="仿宋" w:hAnsi="仿宋" w:eastAsia="仿宋" w:cs="仿宋"/>
              <w:sz w:val="24"/>
              <w:szCs w:val="24"/>
              <w:lang w:val="en-US" w:eastAsia="zh-CN" w:bidi="ar-SA"/>
            </w:rPr>
          </w:pPr>
          <w:r>
            <w:rPr>
              <w:rFonts w:hint="eastAsia" w:ascii="仿宋" w:hAnsi="仿宋" w:eastAsia="仿宋" w:cs="仿宋"/>
              <w:sz w:val="24"/>
              <w:szCs w:val="24"/>
              <w:lang w:val="en-US" w:eastAsia="zh-CN" w:bidi="ar-SA"/>
            </w:rPr>
            <w:t>2、一般公共预算支出表</w:t>
          </w:r>
        </w:p>
        <w:p>
          <w:pPr>
            <w:keepNext w:val="0"/>
            <w:keepLines w:val="0"/>
            <w:pageBreakBefore w:val="0"/>
            <w:widowControl/>
            <w:kinsoku/>
            <w:wordWrap/>
            <w:overflowPunct/>
            <w:topLinePunct w:val="0"/>
            <w:autoSpaceDE/>
            <w:autoSpaceDN/>
            <w:bidi w:val="0"/>
            <w:adjustRightInd w:val="0"/>
            <w:snapToGrid w:val="0"/>
            <w:spacing w:line="240" w:lineRule="auto"/>
            <w:jc w:val="both"/>
            <w:textAlignment w:val="auto"/>
            <w:rPr>
              <w:rFonts w:hint="eastAsia" w:ascii="仿宋" w:hAnsi="仿宋" w:eastAsia="仿宋" w:cs="仿宋"/>
              <w:sz w:val="24"/>
              <w:szCs w:val="24"/>
              <w:lang w:val="en-US" w:eastAsia="zh-CN" w:bidi="ar-SA"/>
            </w:rPr>
          </w:pPr>
          <w:r>
            <w:rPr>
              <w:rFonts w:hint="eastAsia" w:ascii="仿宋" w:hAnsi="仿宋" w:eastAsia="仿宋" w:cs="仿宋"/>
              <w:sz w:val="24"/>
              <w:szCs w:val="24"/>
              <w:lang w:val="en-US" w:eastAsia="zh-CN" w:bidi="ar-SA"/>
            </w:rPr>
            <w:t>3、一般公共预算基本支出表</w:t>
          </w:r>
        </w:p>
        <w:p>
          <w:pPr>
            <w:keepNext w:val="0"/>
            <w:keepLines w:val="0"/>
            <w:pageBreakBefore w:val="0"/>
            <w:widowControl/>
            <w:kinsoku/>
            <w:wordWrap/>
            <w:overflowPunct/>
            <w:topLinePunct w:val="0"/>
            <w:autoSpaceDE/>
            <w:autoSpaceDN/>
            <w:bidi w:val="0"/>
            <w:adjustRightInd w:val="0"/>
            <w:snapToGrid w:val="0"/>
            <w:spacing w:line="240" w:lineRule="auto"/>
            <w:jc w:val="both"/>
            <w:textAlignment w:val="auto"/>
            <w:rPr>
              <w:rFonts w:hint="eastAsia" w:ascii="仿宋" w:hAnsi="仿宋" w:eastAsia="仿宋" w:cs="仿宋"/>
              <w:sz w:val="24"/>
              <w:szCs w:val="24"/>
              <w:lang w:val="en-US" w:eastAsia="zh-CN" w:bidi="ar-SA"/>
            </w:rPr>
          </w:pPr>
          <w:r>
            <w:rPr>
              <w:rFonts w:hint="eastAsia" w:ascii="仿宋" w:hAnsi="仿宋" w:eastAsia="仿宋" w:cs="仿宋"/>
              <w:sz w:val="24"/>
              <w:szCs w:val="24"/>
              <w:lang w:val="en-US" w:eastAsia="zh-CN" w:bidi="ar-SA"/>
            </w:rPr>
            <w:t>4、一般公共预算“三公”经费支出表</w:t>
          </w:r>
        </w:p>
        <w:p>
          <w:pPr>
            <w:keepNext w:val="0"/>
            <w:keepLines w:val="0"/>
            <w:pageBreakBefore w:val="0"/>
            <w:widowControl/>
            <w:kinsoku/>
            <w:wordWrap/>
            <w:overflowPunct/>
            <w:topLinePunct w:val="0"/>
            <w:autoSpaceDE/>
            <w:autoSpaceDN/>
            <w:bidi w:val="0"/>
            <w:adjustRightInd w:val="0"/>
            <w:snapToGrid w:val="0"/>
            <w:spacing w:line="240" w:lineRule="auto"/>
            <w:jc w:val="both"/>
            <w:textAlignment w:val="auto"/>
            <w:rPr>
              <w:rFonts w:hint="eastAsia" w:ascii="仿宋" w:hAnsi="仿宋" w:eastAsia="仿宋" w:cs="仿宋"/>
              <w:sz w:val="24"/>
              <w:szCs w:val="24"/>
              <w:lang w:val="en-US" w:eastAsia="zh-CN" w:bidi="ar-SA"/>
            </w:rPr>
          </w:pPr>
          <w:r>
            <w:rPr>
              <w:rFonts w:hint="eastAsia" w:ascii="仿宋" w:hAnsi="仿宋" w:eastAsia="仿宋" w:cs="仿宋"/>
              <w:sz w:val="24"/>
              <w:szCs w:val="24"/>
              <w:lang w:val="en-US" w:eastAsia="zh-CN" w:bidi="ar-SA"/>
            </w:rPr>
            <w:t>5、政府性基金预算支出表</w:t>
          </w:r>
        </w:p>
        <w:p>
          <w:pPr>
            <w:keepNext w:val="0"/>
            <w:keepLines w:val="0"/>
            <w:pageBreakBefore w:val="0"/>
            <w:widowControl/>
            <w:kinsoku/>
            <w:wordWrap/>
            <w:overflowPunct/>
            <w:topLinePunct w:val="0"/>
            <w:autoSpaceDE/>
            <w:autoSpaceDN/>
            <w:bidi w:val="0"/>
            <w:adjustRightInd w:val="0"/>
            <w:snapToGrid w:val="0"/>
            <w:spacing w:line="240" w:lineRule="auto"/>
            <w:jc w:val="both"/>
            <w:textAlignment w:val="auto"/>
            <w:rPr>
              <w:rFonts w:hint="eastAsia" w:ascii="仿宋" w:hAnsi="仿宋" w:eastAsia="仿宋" w:cs="仿宋"/>
              <w:sz w:val="24"/>
              <w:szCs w:val="24"/>
              <w:lang w:val="en-US" w:eastAsia="zh-CN" w:bidi="ar-SA"/>
            </w:rPr>
          </w:pPr>
          <w:r>
            <w:rPr>
              <w:rFonts w:hint="eastAsia" w:ascii="仿宋" w:hAnsi="仿宋" w:eastAsia="仿宋" w:cs="仿宋"/>
              <w:sz w:val="24"/>
              <w:szCs w:val="24"/>
              <w:lang w:val="en-US" w:eastAsia="zh-CN" w:bidi="ar-SA"/>
            </w:rPr>
            <w:t>6、部门收支总表</w:t>
          </w:r>
        </w:p>
        <w:p>
          <w:pPr>
            <w:keepNext w:val="0"/>
            <w:keepLines w:val="0"/>
            <w:pageBreakBefore w:val="0"/>
            <w:widowControl/>
            <w:kinsoku/>
            <w:wordWrap/>
            <w:overflowPunct/>
            <w:topLinePunct w:val="0"/>
            <w:autoSpaceDE/>
            <w:autoSpaceDN/>
            <w:bidi w:val="0"/>
            <w:adjustRightInd w:val="0"/>
            <w:snapToGrid w:val="0"/>
            <w:spacing w:line="240" w:lineRule="auto"/>
            <w:textAlignment w:val="auto"/>
            <w:rPr>
              <w:rFonts w:hint="eastAsia" w:ascii="仿宋" w:hAnsi="仿宋" w:eastAsia="仿宋" w:cs="仿宋"/>
              <w:sz w:val="24"/>
              <w:szCs w:val="24"/>
              <w:lang w:val="en-US" w:eastAsia="zh-CN" w:bidi="ar-SA"/>
            </w:rPr>
          </w:pPr>
          <w:r>
            <w:rPr>
              <w:rFonts w:hint="eastAsia" w:ascii="仿宋" w:hAnsi="仿宋" w:eastAsia="仿宋" w:cs="仿宋"/>
              <w:sz w:val="24"/>
              <w:szCs w:val="24"/>
              <w:lang w:val="en-US" w:eastAsia="zh-CN" w:bidi="ar-SA"/>
            </w:rPr>
            <w:t>7、部门收入总表</w:t>
          </w:r>
        </w:p>
        <w:p>
          <w:pPr>
            <w:keepNext w:val="0"/>
            <w:keepLines w:val="0"/>
            <w:pageBreakBefore w:val="0"/>
            <w:widowControl/>
            <w:kinsoku/>
            <w:wordWrap/>
            <w:overflowPunct/>
            <w:topLinePunct w:val="0"/>
            <w:autoSpaceDE/>
            <w:autoSpaceDN/>
            <w:bidi w:val="0"/>
            <w:adjustRightInd w:val="0"/>
            <w:snapToGrid w:val="0"/>
            <w:spacing w:line="240" w:lineRule="auto"/>
            <w:textAlignment w:val="auto"/>
            <w:rPr>
              <w:rFonts w:hint="eastAsia" w:ascii="仿宋" w:hAnsi="仿宋" w:eastAsia="仿宋" w:cs="仿宋"/>
              <w:sz w:val="24"/>
              <w:szCs w:val="24"/>
              <w:lang w:val="en-US" w:eastAsia="zh-CN" w:bidi="ar-SA"/>
            </w:rPr>
          </w:pPr>
          <w:r>
            <w:rPr>
              <w:rFonts w:hint="eastAsia" w:ascii="仿宋" w:hAnsi="仿宋" w:eastAsia="仿宋" w:cs="仿宋"/>
              <w:sz w:val="24"/>
              <w:szCs w:val="24"/>
              <w:lang w:val="en-US" w:eastAsia="zh-CN" w:bidi="ar-SA"/>
            </w:rPr>
            <w:t>8、部门支出总表</w:t>
          </w:r>
        </w:p>
        <w:p>
          <w:pPr>
            <w:widowControl/>
            <w:spacing w:line="600" w:lineRule="exact"/>
            <w:ind w:firstLine="640" w:firstLineChars="200"/>
            <w:rPr>
              <w:rFonts w:eastAsia="仿宋_GB2312"/>
              <w:bCs/>
              <w:kern w:val="0"/>
              <w:sz w:val="32"/>
              <w:szCs w:val="32"/>
            </w:rPr>
          </w:pPr>
          <w:r>
            <w:rPr>
              <w:rFonts w:eastAsia="仿宋_GB2312"/>
              <w:bCs/>
              <w:kern w:val="0"/>
              <w:sz w:val="32"/>
              <w:szCs w:val="32"/>
            </w:rPr>
            <w:t>注：以上部门预算报表中，空表表示本部门无相关收支情况。</w:t>
          </w:r>
        </w:p>
        <w:p>
          <w:pPr>
            <w:widowControl/>
            <w:spacing w:line="600" w:lineRule="exact"/>
            <w:ind w:firstLine="480" w:firstLineChars="200"/>
            <w:rPr>
              <w:rFonts w:hint="eastAsia" w:ascii="仿宋" w:hAnsi="仿宋" w:eastAsia="仿宋" w:cs="仿宋"/>
              <w:sz w:val="24"/>
              <w:szCs w:val="24"/>
              <w:lang w:val="en-US" w:eastAsia="zh-CN" w:bidi="ar-SA"/>
            </w:rPr>
          </w:pPr>
        </w:p>
        <w:p>
          <w:pPr>
            <w:rPr>
              <w:rFonts w:hint="eastAsia"/>
            </w:rPr>
          </w:pPr>
        </w:p>
        <w:p>
          <w:pPr>
            <w:spacing w:before="0" w:beforeLines="0" w:after="0" w:afterLines="0" w:line="240" w:lineRule="auto"/>
            <w:ind w:left="0" w:leftChars="0" w:right="0" w:rightChars="0" w:firstLine="0" w:firstLineChars="0"/>
            <w:jc w:val="center"/>
            <w:rPr>
              <w:rFonts w:hint="eastAsia" w:ascii="仿宋" w:hAnsi="仿宋" w:eastAsia="仿宋" w:cs="仿宋"/>
              <w:sz w:val="30"/>
              <w:szCs w:val="30"/>
            </w:rPr>
          </w:pPr>
          <w:r>
            <w:rPr>
              <w:rFonts w:hint="eastAsia" w:ascii="仿宋" w:hAnsi="仿宋" w:eastAsia="仿宋" w:cs="仿宋"/>
              <w:sz w:val="24"/>
              <w:szCs w:val="24"/>
            </w:rPr>
            <w:fldChar w:fldCharType="end"/>
          </w:r>
        </w:p>
      </w:sdtContent>
    </w:sdt>
    <w:p>
      <w:pPr>
        <w:shd w:val="clear" w:color="auto" w:fill="FFFFFF"/>
        <w:adjustRightInd/>
        <w:snapToGrid/>
        <w:spacing w:after="0"/>
        <w:rPr>
          <w:rFonts w:ascii="宋体" w:hAnsi="宋体" w:eastAsia="宋体" w:cs="宋体"/>
          <w:color w:val="000000"/>
          <w:sz w:val="24"/>
          <w:szCs w:val="24"/>
        </w:rPr>
      </w:pPr>
    </w:p>
    <w:p>
      <w:pPr>
        <w:pStyle w:val="2"/>
        <w:bidi w:val="0"/>
        <w:rPr>
          <w:rFonts w:hint="eastAsia"/>
        </w:rPr>
      </w:pPr>
      <w:bookmarkStart w:id="0" w:name="_Toc19199"/>
      <w:bookmarkStart w:id="1" w:name="_Toc29918"/>
      <w:bookmarkStart w:id="2" w:name="_Toc4550"/>
      <w:bookmarkStart w:id="3" w:name="_一、部门基本情况"/>
    </w:p>
    <w:p>
      <w:pPr>
        <w:pStyle w:val="2"/>
        <w:bidi w:val="0"/>
        <w:rPr>
          <w:rFonts w:hint="eastAsia"/>
        </w:rPr>
      </w:pPr>
    </w:p>
    <w:p>
      <w:pPr>
        <w:pStyle w:val="2"/>
        <w:bidi w:val="0"/>
        <w:rPr>
          <w:rFonts w:hint="eastAsia"/>
        </w:rPr>
      </w:pPr>
    </w:p>
    <w:p>
      <w:pPr>
        <w:rPr>
          <w:rFonts w:hint="eastAsia"/>
        </w:rPr>
      </w:pPr>
    </w:p>
    <w:p>
      <w:pPr>
        <w:rPr>
          <w:rFonts w:hint="eastAsia"/>
        </w:rPr>
      </w:pPr>
    </w:p>
    <w:p>
      <w:pPr>
        <w:pStyle w:val="2"/>
        <w:bidi w:val="0"/>
        <w:rPr>
          <w:rFonts w:hint="eastAsia"/>
        </w:rPr>
      </w:pPr>
    </w:p>
    <w:p>
      <w:pPr>
        <w:pStyle w:val="2"/>
        <w:bidi w:val="0"/>
        <w:rPr>
          <w:rFonts w:hint="eastAsia"/>
        </w:rPr>
      </w:pPr>
    </w:p>
    <w:p>
      <w:pPr>
        <w:pStyle w:val="2"/>
        <w:bidi w:val="0"/>
      </w:pPr>
      <w:r>
        <w:rPr>
          <w:rFonts w:hint="eastAsia"/>
        </w:rPr>
        <w:t>一、部门</w:t>
      </w:r>
      <w:r>
        <w:t>基本情况</w:t>
      </w:r>
      <w:bookmarkEnd w:id="0"/>
      <w:bookmarkEnd w:id="1"/>
      <w:bookmarkEnd w:id="2"/>
    </w:p>
    <w:bookmarkEnd w:id="3"/>
    <w:p>
      <w:pPr>
        <w:shd w:val="clear" w:color="auto" w:fill="FFFFFF"/>
        <w:adjustRightInd/>
        <w:snapToGrid/>
        <w:spacing w:after="0" w:line="480" w:lineRule="auto"/>
        <w:ind w:firstLine="480"/>
        <w:jc w:val="both"/>
        <w:rPr>
          <w:rFonts w:hint="eastAsia" w:cs="宋体" w:asciiTheme="minorEastAsia" w:hAnsiTheme="minorEastAsia" w:eastAsiaTheme="minorEastAsia"/>
          <w:color w:val="333333"/>
          <w:sz w:val="28"/>
          <w:szCs w:val="28"/>
          <w:lang w:eastAsia="zh-CN"/>
        </w:rPr>
      </w:pPr>
      <w:r>
        <w:rPr>
          <w:rFonts w:hint="eastAsia" w:asciiTheme="minorEastAsia" w:hAnsiTheme="minorEastAsia" w:eastAsiaTheme="minorEastAsia"/>
          <w:color w:val="333333"/>
          <w:sz w:val="28"/>
          <w:szCs w:val="28"/>
          <w:shd w:val="clear" w:color="auto" w:fill="FFFFFF"/>
        </w:rPr>
        <w:t>湘潭县医疗保障局是县人民政府的工作部门，主管全县的医疗保障工作，下设办公室、规划财务和法规股、待遇保障和医药服务管理股、医药价格和招标采购股、基金监管股五个股室和二级事业单位湘潭县医疗保障事务中心。现有工作人员</w:t>
      </w:r>
      <w:r>
        <w:rPr>
          <w:rFonts w:hint="eastAsia" w:asciiTheme="minorEastAsia" w:hAnsiTheme="minorEastAsia" w:eastAsiaTheme="minorEastAsia"/>
          <w:color w:val="333333"/>
          <w:sz w:val="28"/>
          <w:szCs w:val="28"/>
          <w:shd w:val="clear" w:color="auto" w:fill="FFFFFF"/>
          <w:lang w:val="en-US" w:eastAsia="zh-CN"/>
        </w:rPr>
        <w:t>57</w:t>
      </w:r>
      <w:r>
        <w:rPr>
          <w:rFonts w:hint="eastAsia" w:asciiTheme="minorEastAsia" w:hAnsiTheme="minorEastAsia" w:eastAsiaTheme="minorEastAsia"/>
          <w:color w:val="333333"/>
          <w:sz w:val="28"/>
          <w:szCs w:val="28"/>
          <w:shd w:val="clear" w:color="auto" w:fill="FFFFFF"/>
        </w:rPr>
        <w:t>人,</w:t>
      </w:r>
      <w:r>
        <w:rPr>
          <w:rFonts w:cs="宋体" w:asciiTheme="minorEastAsia" w:hAnsiTheme="minorEastAsia" w:eastAsiaTheme="minorEastAsia"/>
          <w:color w:val="333333"/>
          <w:sz w:val="28"/>
          <w:szCs w:val="28"/>
        </w:rPr>
        <w:t>均纳入</w:t>
      </w:r>
      <w:r>
        <w:rPr>
          <w:rFonts w:hint="eastAsia" w:cs="宋体" w:asciiTheme="minorEastAsia" w:hAnsiTheme="minorEastAsia" w:eastAsiaTheme="minorEastAsia"/>
          <w:color w:val="333333"/>
          <w:sz w:val="28"/>
          <w:szCs w:val="28"/>
          <w:lang w:eastAsia="zh-CN"/>
        </w:rPr>
        <w:t>2021年</w:t>
      </w:r>
      <w:r>
        <w:rPr>
          <w:rFonts w:cs="宋体" w:asciiTheme="minorEastAsia" w:hAnsiTheme="minorEastAsia" w:eastAsiaTheme="minorEastAsia"/>
          <w:color w:val="333333"/>
          <w:sz w:val="28"/>
          <w:szCs w:val="28"/>
        </w:rPr>
        <w:t>度预算编制范围。</w:t>
      </w:r>
      <w:r>
        <w:rPr>
          <w:rFonts w:hint="eastAsia" w:cs="宋体" w:asciiTheme="minorEastAsia" w:hAnsiTheme="minorEastAsia" w:eastAsiaTheme="minorEastAsia"/>
          <w:color w:val="333333"/>
          <w:sz w:val="28"/>
          <w:szCs w:val="28"/>
          <w:lang w:eastAsia="zh-CN"/>
        </w:rPr>
        <w:t>本单位预算只有本级，没有其他预算单位，因此本单位预算仅包含本级预算。</w:t>
      </w:r>
    </w:p>
    <w:p>
      <w:pPr>
        <w:pStyle w:val="2"/>
        <w:bidi w:val="0"/>
        <w:rPr>
          <w:rFonts w:hint="eastAsia"/>
        </w:rPr>
      </w:pPr>
      <w:bookmarkStart w:id="4" w:name="_Toc4548"/>
      <w:bookmarkStart w:id="5" w:name="_Toc26219"/>
      <w:bookmarkStart w:id="6" w:name="_Toc12082"/>
      <w:r>
        <w:rPr>
          <w:rFonts w:hint="eastAsia"/>
        </w:rPr>
        <w:t>二、部门主要职责</w:t>
      </w:r>
      <w:bookmarkEnd w:id="4"/>
      <w:bookmarkEnd w:id="5"/>
      <w:bookmarkEnd w:id="6"/>
    </w:p>
    <w:p>
      <w:pPr>
        <w:shd w:val="clear" w:color="auto" w:fill="FFFFFF"/>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（一）贯彻执行国家和省市医疗保险、生育保险、医疗救助等医疗保障法律法规和政策制度。</w:t>
      </w:r>
    </w:p>
    <w:p>
      <w:pPr>
        <w:shd w:val="clear" w:color="auto" w:fill="FFFFFF"/>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（二）组织实施省市医疗保障基金监督管理办法，监督管理相关医疗保障基金，建立健全医疗保障基金安全防控机制，推进医疗保障基金支付方式改革。</w:t>
      </w:r>
    </w:p>
    <w:p>
      <w:pPr>
        <w:shd w:val="clear" w:color="auto" w:fill="FFFFFF"/>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（三）组织实施省市医疗保障筹资和待遇政策，完善全县动态调整和区域调剂平衡机制，建立健全与筹资水平相适应的待遇调整机制，组织实施长期护理保险制度改革。</w:t>
      </w:r>
    </w:p>
    <w:p>
      <w:pPr>
        <w:shd w:val="clear" w:color="auto" w:fill="FFFFFF"/>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（四）组织实施全省统一制定的药品、医用耗材、医疗服务项目、医疗服务设施等医保目录和支付标准，落实动态调整机制，组织实施省制定的医保目录准入谈判规则。</w:t>
      </w:r>
    </w:p>
    <w:p>
      <w:pPr>
        <w:shd w:val="clear" w:color="auto" w:fill="FFFFFF"/>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五）组织实施省市药品、医用耗材价格和医疗服务项目、医疗服务设施收费等政策，建立健全医保支付医药服务价格合理确定和动态调整机制，推动建立市场主导的社会医药服务价格形成机制，建立价格信息监测和信息发布制度。</w:t>
      </w:r>
    </w:p>
    <w:p>
      <w:pPr>
        <w:shd w:val="clear" w:color="auto" w:fill="FFFFFF"/>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（六）组织实施省市制定的药品、医用耗材的招标采购政策并监督实施。</w:t>
      </w:r>
    </w:p>
    <w:p>
      <w:pPr>
        <w:shd w:val="clear" w:color="auto" w:fill="FFFFFF"/>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（七）组织实施县定点医药机构协议和支付管理办法，建立健全医疗保障信用评价体系和信息披露制度，监督管理纳入医保范围内的医疗服务行为和医疗费用，依法查处医疗保障领域违法违规行为。</w:t>
      </w:r>
    </w:p>
    <w:p>
      <w:pPr>
        <w:shd w:val="clear" w:color="auto" w:fill="FFFFFF"/>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八）负责全县医疗保障经办监督管理、公共服务体系和信息化建设。指导、监督和实施全县医疗保险、生育保险、医疗救助、离休干部医疗统筹等医疗保障经办业务工作。完善异地就医管理和费用结算政策。建立健全医疗保障关系转移接续制度。</w:t>
      </w:r>
    </w:p>
    <w:p>
      <w:pPr>
        <w:shd w:val="clear" w:color="auto" w:fill="FFFFFF"/>
        <w:adjustRightInd/>
        <w:snapToGrid/>
        <w:spacing w:after="0" w:line="480" w:lineRule="auto"/>
        <w:ind w:firstLine="480"/>
        <w:jc w:val="both"/>
        <w:rPr>
          <w:rFonts w:hint="eastAsia" w:cs="宋体" w:asciiTheme="minorEastAsia" w:hAnsiTheme="minorEastAsia" w:eastAsiaTheme="minorEastAsia"/>
          <w:color w:val="333333"/>
          <w:sz w:val="28"/>
          <w:szCs w:val="28"/>
          <w:lang w:eastAsia="zh-CN"/>
        </w:rPr>
      </w:pPr>
      <w:r>
        <w:rPr>
          <w:rFonts w:hint="eastAsia" w:cs="宋体" w:asciiTheme="minorEastAsia" w:hAnsiTheme="minorEastAsia" w:eastAsiaTheme="minorEastAsia"/>
          <w:color w:val="333333"/>
          <w:sz w:val="28"/>
          <w:szCs w:val="28"/>
        </w:rPr>
        <w:t>（九）完成县委、县人民政府交办的其他任务</w:t>
      </w:r>
      <w:r>
        <w:rPr>
          <w:rFonts w:hint="eastAsia" w:cs="宋体" w:asciiTheme="minorEastAsia" w:hAnsiTheme="minorEastAsia" w:eastAsiaTheme="minorEastAsia"/>
          <w:color w:val="333333"/>
          <w:sz w:val="28"/>
          <w:szCs w:val="28"/>
          <w:lang w:eastAsia="zh-CN"/>
        </w:rPr>
        <w:t>。</w:t>
      </w:r>
    </w:p>
    <w:p>
      <w:pPr>
        <w:pStyle w:val="2"/>
        <w:bidi w:val="0"/>
        <w:rPr>
          <w:rFonts w:hint="eastAsia"/>
        </w:rPr>
      </w:pPr>
      <w:bookmarkStart w:id="7" w:name="_Toc15395"/>
      <w:bookmarkStart w:id="8" w:name="_Toc6437"/>
      <w:bookmarkStart w:id="9" w:name="_Toc15769"/>
      <w:r>
        <w:rPr>
          <w:rFonts w:hint="eastAsia"/>
        </w:rPr>
        <w:t>三、</w:t>
      </w:r>
      <w:r>
        <w:rPr>
          <w:rFonts w:hint="eastAsia"/>
          <w:lang w:eastAsia="zh-CN"/>
        </w:rPr>
        <w:t>2021年</w:t>
      </w:r>
      <w:r>
        <w:rPr>
          <w:rFonts w:hint="eastAsia"/>
        </w:rPr>
        <w:t>部门收支概况</w:t>
      </w:r>
      <w:bookmarkEnd w:id="7"/>
      <w:bookmarkEnd w:id="8"/>
      <w:bookmarkEnd w:id="9"/>
    </w:p>
    <w:p>
      <w:pPr>
        <w:widowControl/>
        <w:spacing w:line="600" w:lineRule="exact"/>
        <w:ind w:firstLine="630" w:firstLineChars="196"/>
        <w:rPr>
          <w:rFonts w:cs="宋体" w:asciiTheme="minorEastAsia" w:hAnsiTheme="minorEastAsia" w:eastAsiaTheme="minorEastAsia"/>
          <w:color w:val="333333"/>
          <w:sz w:val="28"/>
          <w:szCs w:val="28"/>
        </w:rPr>
      </w:pPr>
      <w:bookmarkStart w:id="10" w:name="_Toc29537"/>
      <w:r>
        <w:rPr>
          <w:rStyle w:val="15"/>
        </w:rPr>
        <w:t>（一）收入预算</w:t>
      </w:r>
      <w:r>
        <w:rPr>
          <w:rStyle w:val="15"/>
          <w:rFonts w:hint="eastAsia"/>
        </w:rPr>
        <w:t>：</w:t>
      </w:r>
      <w:bookmarkEnd w:id="10"/>
      <w:r>
        <w:rPr>
          <w:rFonts w:hint="eastAsia" w:cs="宋体" w:asciiTheme="minorEastAsia" w:hAnsiTheme="minorEastAsia" w:eastAsiaTheme="minorEastAsia"/>
          <w:color w:val="333333"/>
          <w:sz w:val="28"/>
          <w:szCs w:val="28"/>
          <w:lang w:eastAsia="zh-CN"/>
        </w:rPr>
        <w:t>2021年</w:t>
      </w:r>
      <w:r>
        <w:rPr>
          <w:rFonts w:cs="宋体" w:asciiTheme="minorEastAsia" w:hAnsiTheme="minorEastAsia" w:eastAsiaTheme="minorEastAsia"/>
          <w:color w:val="333333"/>
          <w:sz w:val="28"/>
          <w:szCs w:val="28"/>
        </w:rPr>
        <w:t>年初</w:t>
      </w:r>
      <w:r>
        <w:rPr>
          <w:rFonts w:hint="eastAsia" w:cs="宋体" w:asciiTheme="minorEastAsia" w:hAnsiTheme="minorEastAsia" w:eastAsiaTheme="minorEastAsia"/>
          <w:color w:val="333333"/>
          <w:sz w:val="28"/>
          <w:szCs w:val="28"/>
        </w:rPr>
        <w:t>收入</w:t>
      </w:r>
      <w:r>
        <w:rPr>
          <w:rFonts w:cs="宋体" w:asciiTheme="minorEastAsia" w:hAnsiTheme="minorEastAsia" w:eastAsiaTheme="minorEastAsia"/>
          <w:color w:val="333333"/>
          <w:sz w:val="28"/>
          <w:szCs w:val="28"/>
        </w:rPr>
        <w:t>预算数</w:t>
      </w:r>
      <w:r>
        <w:rPr>
          <w:rFonts w:hint="eastAsia" w:cs="宋体" w:asciiTheme="minorEastAsia" w:hAnsiTheme="minorEastAsia" w:eastAsiaTheme="minorEastAsia"/>
          <w:color w:val="333333"/>
          <w:sz w:val="28"/>
          <w:szCs w:val="28"/>
          <w:lang w:val="en-US" w:eastAsia="zh-CN"/>
        </w:rPr>
        <w:t>668.51</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lang w:val="en-US" w:eastAsia="zh-CN"/>
        </w:rPr>
        <w:t>，其中</w:t>
      </w:r>
      <w:r>
        <w:rPr>
          <w:rFonts w:cs="宋体" w:asciiTheme="minorEastAsia" w:hAnsiTheme="minorEastAsia" w:eastAsiaTheme="minorEastAsia"/>
          <w:color w:val="333333"/>
          <w:sz w:val="28"/>
          <w:szCs w:val="28"/>
        </w:rPr>
        <w:t>一般公共预算拨款</w:t>
      </w:r>
      <w:r>
        <w:rPr>
          <w:rFonts w:hint="eastAsia" w:cs="宋体" w:asciiTheme="minorEastAsia" w:hAnsiTheme="minorEastAsia" w:eastAsiaTheme="minorEastAsia"/>
          <w:color w:val="333333"/>
          <w:sz w:val="28"/>
          <w:szCs w:val="28"/>
          <w:lang w:val="en-US" w:eastAsia="zh-CN"/>
        </w:rPr>
        <w:t>668.51</w:t>
      </w:r>
      <w:r>
        <w:rPr>
          <w:rFonts w:cs="宋体" w:asciiTheme="minorEastAsia" w:hAnsiTheme="minorEastAsia" w:eastAsiaTheme="minorEastAsia"/>
          <w:color w:val="333333"/>
          <w:sz w:val="28"/>
          <w:szCs w:val="28"/>
        </w:rPr>
        <w:t>万元，政府性基金预算拨款</w:t>
      </w:r>
      <w:r>
        <w:rPr>
          <w:rFonts w:hint="eastAsia" w:cs="宋体" w:asciiTheme="minorEastAsia" w:hAnsiTheme="minorEastAsia" w:eastAsiaTheme="minorEastAsia"/>
          <w:color w:val="333333"/>
          <w:sz w:val="28"/>
          <w:szCs w:val="28"/>
          <w:lang w:val="en-US" w:eastAsia="zh-CN"/>
        </w:rPr>
        <w:t>0</w:t>
      </w:r>
      <w:r>
        <w:rPr>
          <w:rFonts w:cs="宋体" w:asciiTheme="minorEastAsia" w:hAnsiTheme="minorEastAsia" w:eastAsiaTheme="minorEastAsia"/>
          <w:color w:val="333333"/>
          <w:sz w:val="28"/>
          <w:szCs w:val="28"/>
        </w:rPr>
        <w:t>万元，国有资本经营预算拨款</w:t>
      </w:r>
      <w:r>
        <w:rPr>
          <w:rFonts w:hint="eastAsia" w:cs="宋体" w:asciiTheme="minorEastAsia" w:hAnsiTheme="minorEastAsia" w:eastAsiaTheme="minorEastAsia"/>
          <w:color w:val="333333"/>
          <w:sz w:val="28"/>
          <w:szCs w:val="28"/>
          <w:lang w:val="en-US" w:eastAsia="zh-CN"/>
        </w:rPr>
        <w:t>0</w:t>
      </w:r>
      <w:r>
        <w:rPr>
          <w:rFonts w:cs="宋体" w:asciiTheme="minorEastAsia" w:hAnsiTheme="minorEastAsia" w:eastAsiaTheme="minorEastAsia"/>
          <w:color w:val="333333"/>
          <w:sz w:val="28"/>
          <w:szCs w:val="28"/>
        </w:rPr>
        <w:t>万元，纳入专户管理的非税收入</w:t>
      </w:r>
      <w:r>
        <w:rPr>
          <w:rFonts w:hint="eastAsia" w:cs="宋体" w:asciiTheme="minorEastAsia" w:hAnsiTheme="minorEastAsia" w:eastAsiaTheme="minorEastAsia"/>
          <w:color w:val="333333"/>
          <w:sz w:val="28"/>
          <w:szCs w:val="28"/>
          <w:lang w:val="en-US" w:eastAsia="zh-CN"/>
        </w:rPr>
        <w:t>0</w:t>
      </w:r>
      <w:r>
        <w:rPr>
          <w:rFonts w:cs="宋体" w:asciiTheme="minorEastAsia" w:hAnsiTheme="minorEastAsia" w:eastAsiaTheme="minorEastAsia"/>
          <w:color w:val="333333"/>
          <w:sz w:val="28"/>
          <w:szCs w:val="28"/>
        </w:rPr>
        <w:t>万元。</w:t>
      </w:r>
      <w:bookmarkStart w:id="11" w:name="_Toc14625"/>
      <w:r>
        <w:rPr>
          <w:rFonts w:cs="宋体" w:asciiTheme="minorEastAsia" w:hAnsiTheme="minorEastAsia" w:eastAsiaTheme="minorEastAsia"/>
          <w:color w:val="333333"/>
          <w:sz w:val="28"/>
          <w:szCs w:val="28"/>
        </w:rPr>
        <w:t>较去年减少</w:t>
      </w:r>
      <w:r>
        <w:rPr>
          <w:rFonts w:hint="eastAsia" w:cs="宋体" w:asciiTheme="minorEastAsia" w:hAnsiTheme="minorEastAsia" w:eastAsiaTheme="minorEastAsia"/>
          <w:color w:val="333333"/>
          <w:sz w:val="28"/>
          <w:szCs w:val="28"/>
          <w:lang w:val="en-US" w:eastAsia="zh-CN"/>
        </w:rPr>
        <w:t>88.34</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lang w:eastAsia="zh-CN"/>
        </w:rPr>
        <w:t>原因主要</w:t>
      </w:r>
      <w:r>
        <w:rPr>
          <w:rFonts w:cs="宋体" w:asciiTheme="minorEastAsia" w:hAnsiTheme="minorEastAsia" w:eastAsiaTheme="minorEastAsia"/>
          <w:color w:val="333333"/>
          <w:sz w:val="28"/>
          <w:szCs w:val="28"/>
        </w:rPr>
        <w:t>是</w:t>
      </w:r>
      <w:r>
        <w:rPr>
          <w:rFonts w:hint="eastAsia" w:cs="宋体" w:asciiTheme="minorEastAsia" w:hAnsiTheme="minorEastAsia" w:eastAsiaTheme="minorEastAsia"/>
          <w:color w:val="333333"/>
          <w:sz w:val="28"/>
          <w:szCs w:val="28"/>
          <w:lang w:eastAsia="zh-CN"/>
        </w:rPr>
        <w:t>部门项目支出项目缩减</w:t>
      </w:r>
      <w:r>
        <w:rPr>
          <w:rFonts w:cs="宋体" w:asciiTheme="minorEastAsia" w:hAnsiTheme="minorEastAsia" w:eastAsiaTheme="minorEastAsia"/>
          <w:color w:val="333333"/>
          <w:sz w:val="28"/>
          <w:szCs w:val="28"/>
        </w:rPr>
        <w:t>。</w:t>
      </w:r>
    </w:p>
    <w:p>
      <w:pPr>
        <w:widowControl/>
        <w:spacing w:line="600" w:lineRule="exact"/>
        <w:ind w:firstLine="630" w:firstLineChars="196"/>
        <w:rPr>
          <w:rFonts w:hint="eastAsia" w:cs="宋体" w:asciiTheme="minorEastAsia" w:hAnsiTheme="minorEastAsia" w:eastAsiaTheme="minorEastAsia"/>
          <w:color w:val="333333"/>
          <w:sz w:val="28"/>
          <w:szCs w:val="28"/>
          <w:lang w:val="en-US" w:eastAsia="zh-CN"/>
        </w:rPr>
      </w:pPr>
      <w:r>
        <w:rPr>
          <w:rStyle w:val="15"/>
        </w:rPr>
        <w:t>（二）支出预算</w:t>
      </w:r>
      <w:r>
        <w:rPr>
          <w:rStyle w:val="15"/>
          <w:rFonts w:hint="eastAsia"/>
        </w:rPr>
        <w:t>：</w:t>
      </w:r>
      <w:bookmarkEnd w:id="11"/>
      <w:r>
        <w:rPr>
          <w:rFonts w:hint="eastAsia" w:cs="宋体" w:asciiTheme="minorEastAsia" w:hAnsiTheme="minorEastAsia" w:eastAsiaTheme="minorEastAsia"/>
          <w:color w:val="333333"/>
          <w:sz w:val="28"/>
          <w:szCs w:val="28"/>
          <w:lang w:eastAsia="zh-CN"/>
        </w:rPr>
        <w:t>2021年</w:t>
      </w:r>
      <w:r>
        <w:rPr>
          <w:rFonts w:cs="宋体" w:asciiTheme="minorEastAsia" w:hAnsiTheme="minorEastAsia" w:eastAsiaTheme="minorEastAsia"/>
          <w:color w:val="333333"/>
          <w:sz w:val="28"/>
          <w:szCs w:val="28"/>
        </w:rPr>
        <w:t>年初</w:t>
      </w:r>
      <w:r>
        <w:rPr>
          <w:rFonts w:hint="eastAsia" w:cs="宋体" w:asciiTheme="minorEastAsia" w:hAnsiTheme="minorEastAsia" w:eastAsiaTheme="minorEastAsia"/>
          <w:color w:val="333333"/>
          <w:sz w:val="28"/>
          <w:szCs w:val="28"/>
        </w:rPr>
        <w:t>支出</w:t>
      </w:r>
      <w:r>
        <w:rPr>
          <w:rFonts w:cs="宋体" w:asciiTheme="minorEastAsia" w:hAnsiTheme="minorEastAsia" w:eastAsiaTheme="minorEastAsia"/>
          <w:color w:val="333333"/>
          <w:sz w:val="28"/>
          <w:szCs w:val="28"/>
        </w:rPr>
        <w:t>预算数</w:t>
      </w:r>
      <w:r>
        <w:rPr>
          <w:rFonts w:hint="eastAsia" w:cs="宋体" w:asciiTheme="minorEastAsia" w:hAnsiTheme="minorEastAsia" w:eastAsiaTheme="minorEastAsia"/>
          <w:color w:val="333333"/>
          <w:sz w:val="28"/>
          <w:szCs w:val="28"/>
          <w:lang w:val="en-US" w:eastAsia="zh-CN"/>
        </w:rPr>
        <w:t>668.51</w:t>
      </w:r>
      <w:r>
        <w:rPr>
          <w:rFonts w:cs="宋体" w:asciiTheme="minorEastAsia" w:hAnsiTheme="minorEastAsia" w:eastAsiaTheme="minorEastAsia"/>
          <w:color w:val="333333"/>
          <w:sz w:val="28"/>
          <w:szCs w:val="28"/>
        </w:rPr>
        <w:t>万元。其中</w:t>
      </w:r>
      <w:r>
        <w:rPr>
          <w:rFonts w:hint="eastAsia" w:cs="宋体" w:asciiTheme="minorEastAsia" w:hAnsiTheme="minorEastAsia" w:eastAsiaTheme="minorEastAsia"/>
          <w:color w:val="333333"/>
          <w:sz w:val="28"/>
          <w:szCs w:val="28"/>
          <w:lang w:eastAsia="zh-CN"/>
        </w:rPr>
        <w:t>一般公共预算拨款支出</w:t>
      </w:r>
      <w:r>
        <w:rPr>
          <w:rFonts w:hint="eastAsia" w:cs="宋体" w:asciiTheme="minorEastAsia" w:hAnsiTheme="minorEastAsia" w:eastAsiaTheme="minorEastAsia"/>
          <w:color w:val="333333"/>
          <w:sz w:val="28"/>
          <w:szCs w:val="28"/>
          <w:lang w:val="en-US" w:eastAsia="zh-CN"/>
        </w:rPr>
        <w:t>668.51万元，占100%；</w:t>
      </w:r>
      <w:r>
        <w:rPr>
          <w:rFonts w:cs="宋体" w:asciiTheme="minorEastAsia" w:hAnsiTheme="minorEastAsia" w:eastAsiaTheme="minorEastAsia"/>
          <w:color w:val="333333"/>
          <w:sz w:val="28"/>
          <w:szCs w:val="28"/>
        </w:rPr>
        <w:t>政府性基金预算拨款</w:t>
      </w:r>
      <w:r>
        <w:rPr>
          <w:rFonts w:hint="eastAsia" w:cs="宋体" w:asciiTheme="minorEastAsia" w:hAnsiTheme="minorEastAsia" w:eastAsiaTheme="minorEastAsia"/>
          <w:color w:val="333333"/>
          <w:sz w:val="28"/>
          <w:szCs w:val="28"/>
          <w:lang w:val="en-US" w:eastAsia="zh-CN"/>
        </w:rPr>
        <w:t>0</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lang w:eastAsia="zh-CN"/>
        </w:rPr>
        <w:t>，占</w:t>
      </w:r>
      <w:r>
        <w:rPr>
          <w:rFonts w:hint="eastAsia" w:cs="宋体" w:asciiTheme="minorEastAsia" w:hAnsiTheme="minorEastAsia" w:eastAsiaTheme="minorEastAsia"/>
          <w:color w:val="333333"/>
          <w:sz w:val="28"/>
          <w:szCs w:val="28"/>
          <w:lang w:val="en-US" w:eastAsia="zh-CN"/>
        </w:rPr>
        <w:t>0%</w:t>
      </w:r>
      <w:r>
        <w:rPr>
          <w:rFonts w:cs="宋体" w:asciiTheme="minorEastAsia" w:hAnsiTheme="minorEastAsia" w:eastAsiaTheme="minorEastAsia"/>
          <w:color w:val="333333"/>
          <w:sz w:val="28"/>
          <w:szCs w:val="28"/>
        </w:rPr>
        <w:t>。较去年减少</w:t>
      </w:r>
      <w:r>
        <w:rPr>
          <w:rFonts w:hint="eastAsia" w:cs="宋体" w:asciiTheme="minorEastAsia" w:hAnsiTheme="minorEastAsia" w:eastAsiaTheme="minorEastAsia"/>
          <w:color w:val="333333"/>
          <w:sz w:val="28"/>
          <w:szCs w:val="28"/>
          <w:lang w:val="en-US" w:eastAsia="zh-CN"/>
        </w:rPr>
        <w:t>88.34</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lang w:eastAsia="zh-CN"/>
        </w:rPr>
        <w:t>原因主要</w:t>
      </w:r>
      <w:r>
        <w:rPr>
          <w:rFonts w:cs="宋体" w:asciiTheme="minorEastAsia" w:hAnsiTheme="minorEastAsia" w:eastAsiaTheme="minorEastAsia"/>
          <w:color w:val="333333"/>
          <w:sz w:val="28"/>
          <w:szCs w:val="28"/>
        </w:rPr>
        <w:t>是</w:t>
      </w:r>
      <w:r>
        <w:rPr>
          <w:rFonts w:hint="eastAsia" w:cs="宋体" w:asciiTheme="minorEastAsia" w:hAnsiTheme="minorEastAsia" w:eastAsiaTheme="minorEastAsia"/>
          <w:color w:val="333333"/>
          <w:sz w:val="28"/>
          <w:szCs w:val="28"/>
          <w:lang w:eastAsia="zh-CN"/>
        </w:rPr>
        <w:t>部门项目支出项目缩减</w:t>
      </w:r>
      <w:r>
        <w:rPr>
          <w:rFonts w:cs="宋体" w:asciiTheme="minorEastAsia" w:hAnsiTheme="minorEastAsia" w:eastAsiaTheme="minorEastAsia"/>
          <w:color w:val="333333"/>
          <w:sz w:val="28"/>
          <w:szCs w:val="28"/>
        </w:rPr>
        <w:t>。</w:t>
      </w:r>
    </w:p>
    <w:p>
      <w:pPr>
        <w:pStyle w:val="2"/>
        <w:bidi w:val="0"/>
      </w:pPr>
      <w:bookmarkStart w:id="12" w:name="_Toc14792"/>
      <w:r>
        <w:t>四、一般公共预算拨款支出</w:t>
      </w:r>
      <w:bookmarkEnd w:id="12"/>
    </w:p>
    <w:p>
      <w:pPr>
        <w:shd w:val="clear" w:color="auto" w:fill="FFFFFF"/>
        <w:adjustRightInd/>
        <w:snapToGrid/>
        <w:spacing w:after="0" w:line="480" w:lineRule="auto"/>
        <w:ind w:firstLine="560" w:firstLineChars="200"/>
        <w:jc w:val="both"/>
        <w:rPr>
          <w:rFonts w:hint="eastAsia" w:cs="宋体" w:asciiTheme="minorEastAsia" w:hAnsiTheme="minorEastAsia" w:eastAsiaTheme="minorEastAsia"/>
          <w:color w:val="333333"/>
          <w:sz w:val="28"/>
          <w:szCs w:val="28"/>
          <w:lang w:val="en-US" w:eastAsia="zh-CN"/>
        </w:rPr>
      </w:pPr>
      <w:r>
        <w:rPr>
          <w:rFonts w:hint="eastAsia" w:cs="宋体" w:asciiTheme="minorEastAsia" w:hAnsiTheme="minorEastAsia" w:eastAsiaTheme="minorEastAsia"/>
          <w:color w:val="333333"/>
          <w:sz w:val="28"/>
          <w:szCs w:val="28"/>
          <w:lang w:val="en-US" w:eastAsia="zh-CN"/>
        </w:rPr>
        <w:t>2021年湘潭县医疗保障局一般公共预算拨款支出预算668.51万元。其中一般公共预算拨款668.51万元，占100%；政府性基金预算拨款0万元，占0%。具体安排如下：</w:t>
      </w:r>
    </w:p>
    <w:p>
      <w:pPr>
        <w:shd w:val="clear" w:color="auto" w:fill="FFFFFF"/>
        <w:adjustRightInd/>
        <w:snapToGrid/>
        <w:spacing w:after="0" w:line="480" w:lineRule="auto"/>
        <w:ind w:firstLine="480"/>
        <w:jc w:val="both"/>
        <w:rPr>
          <w:rFonts w:cs="宋体" w:asciiTheme="minorEastAsia" w:hAnsiTheme="minorEastAsia" w:eastAsiaTheme="minorEastAsia"/>
          <w:color w:val="333333"/>
          <w:sz w:val="28"/>
          <w:szCs w:val="28"/>
        </w:rPr>
      </w:pPr>
      <w:bookmarkStart w:id="13" w:name="_Toc27787"/>
      <w:r>
        <w:rPr>
          <w:rStyle w:val="15"/>
          <w:rFonts w:hint="eastAsia"/>
          <w:lang w:eastAsia="zh-CN"/>
        </w:rPr>
        <w:t>（一）</w:t>
      </w:r>
      <w:r>
        <w:rPr>
          <w:rStyle w:val="15"/>
        </w:rPr>
        <w:t>基本支出：</w:t>
      </w:r>
      <w:bookmarkEnd w:id="13"/>
      <w:r>
        <w:rPr>
          <w:rFonts w:hint="eastAsia" w:cs="宋体" w:asciiTheme="minorEastAsia" w:hAnsiTheme="minorEastAsia" w:eastAsiaTheme="minorEastAsia"/>
          <w:color w:val="333333"/>
          <w:sz w:val="28"/>
          <w:szCs w:val="28"/>
          <w:lang w:eastAsia="zh-CN"/>
        </w:rPr>
        <w:t>2021年</w:t>
      </w:r>
      <w:r>
        <w:rPr>
          <w:rFonts w:cs="宋体" w:asciiTheme="minorEastAsia" w:hAnsiTheme="minorEastAsia" w:eastAsiaTheme="minorEastAsia"/>
          <w:color w:val="333333"/>
          <w:sz w:val="28"/>
          <w:szCs w:val="28"/>
        </w:rPr>
        <w:t>年初</w:t>
      </w:r>
      <w:r>
        <w:rPr>
          <w:rFonts w:hint="eastAsia" w:cs="宋体" w:asciiTheme="minorEastAsia" w:hAnsiTheme="minorEastAsia" w:eastAsiaTheme="minorEastAsia"/>
          <w:color w:val="333333"/>
          <w:sz w:val="28"/>
          <w:szCs w:val="28"/>
        </w:rPr>
        <w:t>基本支出</w:t>
      </w:r>
      <w:r>
        <w:rPr>
          <w:rFonts w:cs="宋体" w:asciiTheme="minorEastAsia" w:hAnsiTheme="minorEastAsia" w:eastAsiaTheme="minorEastAsia"/>
          <w:color w:val="333333"/>
          <w:sz w:val="28"/>
          <w:szCs w:val="28"/>
        </w:rPr>
        <w:t>预算数为</w:t>
      </w:r>
      <w:r>
        <w:rPr>
          <w:rFonts w:hint="eastAsia" w:cs="宋体" w:asciiTheme="minorEastAsia" w:hAnsiTheme="minorEastAsia" w:eastAsiaTheme="minorEastAsia"/>
          <w:color w:val="333333"/>
          <w:sz w:val="28"/>
          <w:szCs w:val="28"/>
          <w:lang w:val="en-US" w:eastAsia="zh-CN"/>
        </w:rPr>
        <w:t>650.35</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rPr>
        <w:t>包括</w:t>
      </w:r>
      <w:r>
        <w:rPr>
          <w:rFonts w:cs="宋体" w:asciiTheme="minorEastAsia" w:hAnsiTheme="minorEastAsia" w:eastAsiaTheme="minorEastAsia"/>
          <w:color w:val="333333"/>
          <w:sz w:val="28"/>
          <w:szCs w:val="28"/>
        </w:rPr>
        <w:t>为保障单位机构正常运转、完成日常工作任务而发生的各项支出，包括用于基本工资、津贴补贴等人员经费以及日常公用经费、业务性商品和服务支出。</w:t>
      </w:r>
    </w:p>
    <w:p>
      <w:pPr>
        <w:shd w:val="clear" w:color="auto" w:fill="FFFFFF"/>
        <w:adjustRightInd/>
        <w:snapToGrid/>
        <w:spacing w:after="0" w:line="480" w:lineRule="auto"/>
        <w:ind w:firstLine="480"/>
        <w:jc w:val="both"/>
        <w:rPr>
          <w:rFonts w:cs="宋体" w:asciiTheme="minorEastAsia" w:hAnsiTheme="minorEastAsia" w:eastAsiaTheme="minorEastAsia"/>
          <w:color w:val="333333"/>
          <w:sz w:val="28"/>
          <w:szCs w:val="28"/>
        </w:rPr>
      </w:pPr>
      <w:bookmarkStart w:id="14" w:name="_Toc30409"/>
      <w:r>
        <w:rPr>
          <w:rStyle w:val="15"/>
          <w:rFonts w:hint="eastAsia"/>
          <w:lang w:eastAsia="zh-CN"/>
        </w:rPr>
        <w:t>（二）</w:t>
      </w:r>
      <w:r>
        <w:rPr>
          <w:rStyle w:val="15"/>
        </w:rPr>
        <w:t>项目支出：</w:t>
      </w:r>
      <w:bookmarkEnd w:id="14"/>
      <w:r>
        <w:rPr>
          <w:rFonts w:hint="eastAsia" w:cs="宋体" w:asciiTheme="minorEastAsia" w:hAnsiTheme="minorEastAsia" w:eastAsiaTheme="minorEastAsia"/>
          <w:color w:val="333333"/>
          <w:sz w:val="28"/>
          <w:szCs w:val="28"/>
          <w:lang w:eastAsia="zh-CN"/>
        </w:rPr>
        <w:t>2021年</w:t>
      </w:r>
      <w:r>
        <w:rPr>
          <w:rFonts w:cs="宋体" w:asciiTheme="minorEastAsia" w:hAnsiTheme="minorEastAsia" w:eastAsiaTheme="minorEastAsia"/>
          <w:color w:val="333333"/>
          <w:sz w:val="28"/>
          <w:szCs w:val="28"/>
        </w:rPr>
        <w:t>年初</w:t>
      </w:r>
      <w:r>
        <w:rPr>
          <w:rFonts w:hint="eastAsia" w:cs="宋体" w:asciiTheme="minorEastAsia" w:hAnsiTheme="minorEastAsia" w:eastAsiaTheme="minorEastAsia"/>
          <w:color w:val="333333"/>
          <w:sz w:val="28"/>
          <w:szCs w:val="28"/>
        </w:rPr>
        <w:t>项目</w:t>
      </w:r>
      <w:r>
        <w:rPr>
          <w:rFonts w:cs="宋体" w:asciiTheme="minorEastAsia" w:hAnsiTheme="minorEastAsia" w:eastAsiaTheme="minorEastAsia"/>
          <w:color w:val="333333"/>
          <w:sz w:val="28"/>
          <w:szCs w:val="28"/>
        </w:rPr>
        <w:t>预算数为</w:t>
      </w:r>
      <w:r>
        <w:rPr>
          <w:rFonts w:hint="eastAsia" w:cs="宋体" w:asciiTheme="minorEastAsia" w:hAnsiTheme="minorEastAsia" w:eastAsiaTheme="minorEastAsia"/>
          <w:color w:val="333333"/>
          <w:sz w:val="28"/>
          <w:szCs w:val="28"/>
          <w:lang w:val="en-US" w:eastAsia="zh-CN"/>
        </w:rPr>
        <w:t>18.16</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rPr>
        <w:t>是指</w:t>
      </w:r>
      <w:r>
        <w:rPr>
          <w:rFonts w:cs="宋体" w:asciiTheme="minorEastAsia" w:hAnsiTheme="minorEastAsia" w:eastAsiaTheme="minorEastAsia"/>
          <w:color w:val="333333"/>
          <w:sz w:val="28"/>
          <w:szCs w:val="28"/>
        </w:rPr>
        <w:t>单位为完成特定行政工作任务或事业发展目标而发生的支出。</w:t>
      </w:r>
      <w:r>
        <w:rPr>
          <w:rFonts w:hint="eastAsia" w:cs="宋体" w:asciiTheme="minorEastAsia" w:hAnsiTheme="minorEastAsia" w:eastAsiaTheme="minorEastAsia"/>
          <w:color w:val="333333"/>
          <w:sz w:val="28"/>
          <w:szCs w:val="28"/>
        </w:rPr>
        <w:t>湘潭县医疗保障局</w:t>
      </w:r>
      <w:r>
        <w:rPr>
          <w:rFonts w:cs="宋体" w:asciiTheme="minorEastAsia" w:hAnsiTheme="minorEastAsia" w:eastAsiaTheme="minorEastAsia"/>
          <w:color w:val="333333"/>
          <w:sz w:val="28"/>
          <w:szCs w:val="28"/>
        </w:rPr>
        <w:t>纳入预算的项目支出</w:t>
      </w:r>
      <w:r>
        <w:rPr>
          <w:rFonts w:hint="eastAsia" w:cs="宋体" w:asciiTheme="minorEastAsia" w:hAnsiTheme="minorEastAsia" w:eastAsiaTheme="minorEastAsia"/>
          <w:color w:val="333333"/>
          <w:sz w:val="28"/>
          <w:szCs w:val="28"/>
        </w:rPr>
        <w:t>如下</w:t>
      </w:r>
      <w:r>
        <w:rPr>
          <w:rFonts w:cs="宋体" w:asciiTheme="minorEastAsia" w:hAnsiTheme="minorEastAsia" w:eastAsiaTheme="minorEastAsia"/>
          <w:color w:val="333333"/>
          <w:sz w:val="28"/>
          <w:szCs w:val="28"/>
        </w:rPr>
        <w:t>：</w:t>
      </w:r>
    </w:p>
    <w:p>
      <w:pPr>
        <w:shd w:val="clear" w:color="auto" w:fill="FFFFFF"/>
        <w:adjustRightInd/>
        <w:snapToGrid/>
        <w:spacing w:after="0" w:line="480" w:lineRule="auto"/>
        <w:ind w:firstLine="480"/>
        <w:jc w:val="both"/>
        <w:rPr>
          <w:rFonts w:hint="eastAsia" w:cs="宋体" w:asciiTheme="minorEastAsia" w:hAnsiTheme="minorEastAsia" w:eastAsiaTheme="minorEastAsia"/>
          <w:color w:val="333333"/>
          <w:sz w:val="28"/>
          <w:szCs w:val="28"/>
          <w:lang w:eastAsia="zh-CN"/>
        </w:rPr>
      </w:pPr>
      <w:r>
        <w:rPr>
          <w:rFonts w:hint="eastAsia" w:cs="宋体" w:asciiTheme="minorEastAsia" w:hAnsiTheme="minorEastAsia" w:eastAsiaTheme="minorEastAsia"/>
          <w:color w:val="333333"/>
          <w:sz w:val="28"/>
          <w:szCs w:val="28"/>
        </w:rPr>
        <w:t>（一）</w:t>
      </w:r>
      <w:r>
        <w:rPr>
          <w:rFonts w:hint="eastAsia" w:cs="宋体" w:asciiTheme="minorEastAsia" w:hAnsiTheme="minorEastAsia" w:eastAsiaTheme="minorEastAsia"/>
          <w:color w:val="333333"/>
          <w:sz w:val="28"/>
          <w:szCs w:val="28"/>
          <w:lang w:eastAsia="zh-CN"/>
        </w:rPr>
        <w:t>医疗保障事务支出</w:t>
      </w:r>
      <w:r>
        <w:rPr>
          <w:rFonts w:hint="eastAsia" w:cs="宋体" w:asciiTheme="minorEastAsia" w:hAnsiTheme="minorEastAsia" w:eastAsiaTheme="minorEastAsia"/>
          <w:color w:val="333333"/>
          <w:sz w:val="28"/>
          <w:szCs w:val="28"/>
        </w:rPr>
        <w:t>（</w:t>
      </w:r>
      <w:r>
        <w:rPr>
          <w:rFonts w:hint="eastAsia" w:cs="宋体" w:asciiTheme="minorEastAsia" w:hAnsiTheme="minorEastAsia" w:eastAsiaTheme="minorEastAsia"/>
          <w:color w:val="333333"/>
          <w:sz w:val="28"/>
          <w:szCs w:val="28"/>
          <w:lang w:eastAsia="zh-CN"/>
        </w:rPr>
        <w:t>人员经费</w:t>
      </w:r>
      <w:r>
        <w:rPr>
          <w:rFonts w:hint="eastAsia" w:cs="宋体" w:asciiTheme="minorEastAsia" w:hAnsiTheme="minorEastAsia" w:eastAsiaTheme="minorEastAsia"/>
          <w:color w:val="333333"/>
          <w:sz w:val="28"/>
          <w:szCs w:val="28"/>
        </w:rPr>
        <w:t>）</w:t>
      </w:r>
      <w:r>
        <w:rPr>
          <w:rFonts w:hint="eastAsia" w:cs="宋体" w:asciiTheme="minorEastAsia" w:hAnsiTheme="minorEastAsia" w:eastAsiaTheme="minorEastAsia"/>
          <w:color w:val="333333"/>
          <w:sz w:val="28"/>
          <w:szCs w:val="28"/>
          <w:lang w:val="en-US" w:eastAsia="zh-CN"/>
        </w:rPr>
        <w:t>18.16</w:t>
      </w:r>
      <w:r>
        <w:rPr>
          <w:rFonts w:hint="eastAsia"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lang w:eastAsia="zh-CN"/>
        </w:rPr>
        <w:t>。</w:t>
      </w:r>
    </w:p>
    <w:p>
      <w:pPr>
        <w:pStyle w:val="2"/>
        <w:bidi w:val="0"/>
        <w:rPr>
          <w:rFonts w:hint="eastAsia"/>
        </w:rPr>
      </w:pPr>
      <w:bookmarkStart w:id="15" w:name="_Toc5050"/>
      <w:bookmarkStart w:id="16" w:name="_Toc28268"/>
      <w:bookmarkStart w:id="17" w:name="_Toc32054"/>
      <w:r>
        <w:rPr>
          <w:rFonts w:hint="eastAsia"/>
        </w:rPr>
        <w:t>五、政府性基金预算支出</w:t>
      </w:r>
      <w:bookmarkEnd w:id="15"/>
      <w:bookmarkEnd w:id="16"/>
      <w:bookmarkEnd w:id="17"/>
    </w:p>
    <w:p>
      <w:pPr>
        <w:shd w:val="clear" w:color="auto" w:fill="FFFFFF"/>
        <w:adjustRightInd/>
        <w:snapToGrid/>
        <w:spacing w:after="0" w:line="480" w:lineRule="auto"/>
        <w:ind w:firstLine="480"/>
        <w:jc w:val="both"/>
        <w:rPr>
          <w:rFonts w:hint="eastAsia" w:cs="宋体" w:asciiTheme="minorEastAsia" w:hAnsiTheme="minorEastAsia" w:eastAsiaTheme="minorEastAsia"/>
          <w:color w:val="333333"/>
          <w:sz w:val="28"/>
          <w:szCs w:val="28"/>
          <w:lang w:eastAsia="zh-CN"/>
        </w:rPr>
      </w:pPr>
      <w:r>
        <w:rPr>
          <w:rFonts w:cs="宋体" w:asciiTheme="minorEastAsia" w:hAnsiTheme="minorEastAsia" w:eastAsiaTheme="minorEastAsia"/>
          <w:color w:val="333333"/>
          <w:sz w:val="28"/>
          <w:szCs w:val="28"/>
        </w:rPr>
        <w:t>本部门无政府性基金安排的支出</w:t>
      </w:r>
      <w:r>
        <w:rPr>
          <w:rFonts w:hint="eastAsia" w:cs="宋体" w:asciiTheme="minorEastAsia" w:hAnsiTheme="minorEastAsia" w:eastAsiaTheme="minorEastAsia"/>
          <w:color w:val="333333"/>
          <w:sz w:val="28"/>
          <w:szCs w:val="28"/>
          <w:lang w:eastAsia="zh-CN"/>
        </w:rPr>
        <w:t>。</w:t>
      </w:r>
    </w:p>
    <w:p>
      <w:pPr>
        <w:pStyle w:val="2"/>
        <w:bidi w:val="0"/>
        <w:rPr>
          <w:rFonts w:hint="eastAsia"/>
          <w:lang w:val="en-US" w:eastAsia="zh-CN"/>
        </w:rPr>
      </w:pPr>
      <w:bookmarkStart w:id="18" w:name="_Toc2718"/>
      <w:r>
        <w:rPr>
          <w:rFonts w:hint="eastAsia"/>
          <w:lang w:val="en-US" w:eastAsia="zh-CN"/>
        </w:rPr>
        <w:t>六、其他重要事项的情况说明</w:t>
      </w:r>
      <w:bookmarkEnd w:id="18"/>
    </w:p>
    <w:p>
      <w:pPr>
        <w:widowControl/>
        <w:spacing w:line="600" w:lineRule="exact"/>
        <w:ind w:firstLine="660"/>
        <w:jc w:val="left"/>
        <w:rPr>
          <w:rFonts w:hint="default" w:eastAsia="仿宋_GB2312"/>
          <w:sz w:val="32"/>
          <w:szCs w:val="32"/>
          <w:lang w:val="en-US"/>
        </w:rPr>
      </w:pPr>
      <w:bookmarkStart w:id="19" w:name="_Toc6690"/>
      <w:r>
        <w:rPr>
          <w:rStyle w:val="15"/>
        </w:rPr>
        <w:t>（一）机关运行经费：</w:t>
      </w:r>
      <w:bookmarkEnd w:id="19"/>
      <w:r>
        <w:rPr>
          <w:rFonts w:hint="eastAsia" w:cs="宋体" w:asciiTheme="minorEastAsia" w:hAnsiTheme="minorEastAsia" w:eastAsiaTheme="minorEastAsia"/>
          <w:color w:val="333333"/>
          <w:sz w:val="28"/>
          <w:szCs w:val="28"/>
          <w:lang w:val="en-US" w:eastAsia="zh-CN"/>
        </w:rPr>
        <w:t>2021年湘潭县医疗保障局机关运行经费预算85.94万元。较去年增长39.98万元，原因一是我单位人数增加，经费预算增加；二是部分人员公车改革补贴2020年未纳入预算。</w:t>
      </w:r>
    </w:p>
    <w:p>
      <w:pPr>
        <w:widowControl/>
        <w:spacing w:line="600" w:lineRule="exact"/>
        <w:ind w:firstLine="660"/>
        <w:rPr>
          <w:rFonts w:hint="eastAsia" w:cs="宋体" w:asciiTheme="minorEastAsia" w:hAnsiTheme="minorEastAsia" w:eastAsiaTheme="minorEastAsia"/>
          <w:color w:val="333333"/>
          <w:sz w:val="28"/>
          <w:szCs w:val="28"/>
          <w:lang w:val="en-US" w:eastAsia="zh-CN"/>
        </w:rPr>
      </w:pPr>
      <w:bookmarkStart w:id="20" w:name="_Toc14072"/>
      <w:r>
        <w:rPr>
          <w:rStyle w:val="15"/>
        </w:rPr>
        <w:t>（二）“三公”经费预算：</w:t>
      </w:r>
      <w:bookmarkEnd w:id="20"/>
      <w:r>
        <w:rPr>
          <w:rFonts w:hint="eastAsia" w:cs="宋体" w:asciiTheme="minorEastAsia" w:hAnsiTheme="minorEastAsia" w:eastAsiaTheme="minorEastAsia"/>
          <w:color w:val="333333"/>
          <w:sz w:val="28"/>
          <w:szCs w:val="28"/>
          <w:lang w:val="en-US" w:eastAsia="zh-CN"/>
        </w:rPr>
        <w:t>2021年湘潭县医疗保障局“三公”经费预算数为2.65万元，其中，公务接待费2.65万元，公务用车购置及运行费0万元（其中，公务用车购置费 0万元，公务用车运行费 0万元），因公出国（境）费0万元。较去年减少2.45元，原因是财政预算缩减。</w:t>
      </w:r>
    </w:p>
    <w:p>
      <w:pPr>
        <w:widowControl/>
        <w:spacing w:line="600" w:lineRule="exact"/>
        <w:ind w:firstLine="660"/>
        <w:rPr>
          <w:rFonts w:hint="default" w:cs="宋体" w:asciiTheme="minorEastAsia" w:hAnsiTheme="minorEastAsia" w:eastAsiaTheme="minorEastAsia"/>
          <w:color w:val="333333"/>
          <w:sz w:val="28"/>
          <w:szCs w:val="28"/>
          <w:lang w:val="en-US" w:eastAsia="zh-CN"/>
        </w:rPr>
      </w:pPr>
      <w:r>
        <w:rPr>
          <w:rStyle w:val="15"/>
          <w:rFonts w:hint="eastAsia"/>
          <w:lang w:val="en-US" w:eastAsia="zh-CN"/>
        </w:rPr>
        <w:t>（三）一般性支出情况：</w:t>
      </w:r>
      <w:r>
        <w:rPr>
          <w:rFonts w:hint="eastAsia" w:cs="宋体" w:asciiTheme="minorEastAsia" w:hAnsiTheme="minorEastAsia" w:eastAsiaTheme="minorEastAsia"/>
          <w:color w:val="333333"/>
          <w:sz w:val="28"/>
          <w:szCs w:val="28"/>
          <w:lang w:val="en-US" w:eastAsia="zh-CN"/>
        </w:rPr>
        <w:t>2021年湘潭县医疗保障局会议费预算2.65万元，拟召开3次会议，人数30人，内容为医保廉政风险会议、年中工作总结会议、基金监管宣传会议等；培训费预算2.65万元，拟开展2次培训，人数60人，内容为医保系统业务培训、医疗救助业务培训等；拟举办登</w:t>
      </w:r>
      <w:bookmarkStart w:id="27" w:name="_GoBack"/>
      <w:bookmarkEnd w:id="27"/>
      <w:r>
        <w:rPr>
          <w:rFonts w:hint="eastAsia" w:cs="宋体" w:asciiTheme="minorEastAsia" w:hAnsiTheme="minorEastAsia" w:eastAsiaTheme="minorEastAsia"/>
          <w:color w:val="333333"/>
          <w:sz w:val="28"/>
          <w:szCs w:val="28"/>
          <w:lang w:val="en-US" w:eastAsia="zh-CN"/>
        </w:rPr>
        <w:t>山、拔河、万步有约等活动，经费预算10万元。</w:t>
      </w:r>
    </w:p>
    <w:p>
      <w:pPr>
        <w:widowControl/>
        <w:spacing w:line="600" w:lineRule="exact"/>
        <w:ind w:firstLine="660"/>
        <w:rPr>
          <w:rFonts w:hint="default" w:eastAsiaTheme="minorEastAsia"/>
          <w:sz w:val="32"/>
          <w:szCs w:val="32"/>
          <w:lang w:val="en-US" w:eastAsia="zh-CN"/>
        </w:rPr>
      </w:pPr>
      <w:bookmarkStart w:id="21" w:name="_Toc22339"/>
      <w:r>
        <w:rPr>
          <w:rStyle w:val="15"/>
        </w:rPr>
        <w:t>（</w:t>
      </w:r>
      <w:r>
        <w:rPr>
          <w:rStyle w:val="15"/>
          <w:rFonts w:hint="eastAsia"/>
          <w:lang w:eastAsia="zh-CN"/>
        </w:rPr>
        <w:t>四</w:t>
      </w:r>
      <w:r>
        <w:rPr>
          <w:rStyle w:val="15"/>
        </w:rPr>
        <w:t>）政府采购情况：</w:t>
      </w:r>
      <w:bookmarkEnd w:id="21"/>
      <w:r>
        <w:rPr>
          <w:rFonts w:hint="eastAsia" w:cs="宋体" w:asciiTheme="minorEastAsia" w:hAnsiTheme="minorEastAsia" w:eastAsiaTheme="minorEastAsia"/>
          <w:color w:val="333333"/>
          <w:sz w:val="28"/>
          <w:szCs w:val="28"/>
          <w:lang w:val="en-US" w:eastAsia="zh-CN"/>
        </w:rPr>
        <w:t>2021年</w:t>
      </w:r>
      <w:r>
        <w:rPr>
          <w:rFonts w:hint="eastAsia" w:cs="宋体" w:asciiTheme="minorEastAsia" w:hAnsiTheme="minorEastAsia" w:eastAsiaTheme="minorEastAsia"/>
          <w:color w:val="333333"/>
          <w:sz w:val="28"/>
          <w:szCs w:val="28"/>
          <w:lang w:eastAsia="zh-CN"/>
        </w:rPr>
        <w:t>我局</w:t>
      </w:r>
      <w:r>
        <w:rPr>
          <w:rFonts w:cs="宋体" w:asciiTheme="minorEastAsia" w:hAnsiTheme="minorEastAsia" w:eastAsiaTheme="minorEastAsia"/>
          <w:color w:val="333333"/>
          <w:sz w:val="28"/>
          <w:szCs w:val="28"/>
        </w:rPr>
        <w:t xml:space="preserve">政府采购预算总额 </w:t>
      </w:r>
      <w:r>
        <w:rPr>
          <w:rFonts w:hint="eastAsia" w:cs="宋体" w:asciiTheme="minorEastAsia" w:hAnsiTheme="minorEastAsia" w:eastAsiaTheme="minorEastAsia"/>
          <w:color w:val="333333"/>
          <w:sz w:val="28"/>
          <w:szCs w:val="28"/>
          <w:lang w:val="en-US" w:eastAsia="zh-CN"/>
        </w:rPr>
        <w:t>92.6</w:t>
      </w:r>
      <w:r>
        <w:rPr>
          <w:rFonts w:cs="宋体" w:asciiTheme="minorEastAsia" w:hAnsiTheme="minorEastAsia" w:eastAsiaTheme="minorEastAsia"/>
          <w:color w:val="333333"/>
          <w:sz w:val="28"/>
          <w:szCs w:val="28"/>
        </w:rPr>
        <w:t>万元，其中，货物类采购预算</w:t>
      </w:r>
      <w:r>
        <w:rPr>
          <w:rFonts w:hint="eastAsia" w:cs="宋体" w:asciiTheme="minorEastAsia" w:hAnsiTheme="minorEastAsia" w:eastAsiaTheme="minorEastAsia"/>
          <w:color w:val="333333"/>
          <w:sz w:val="28"/>
          <w:szCs w:val="28"/>
          <w:lang w:val="en-US" w:eastAsia="zh-CN"/>
        </w:rPr>
        <w:t>17.6</w:t>
      </w:r>
      <w:r>
        <w:rPr>
          <w:rFonts w:cs="宋体" w:asciiTheme="minorEastAsia" w:hAnsiTheme="minorEastAsia" w:eastAsiaTheme="minorEastAsia"/>
          <w:color w:val="333333"/>
          <w:sz w:val="28"/>
          <w:szCs w:val="28"/>
        </w:rPr>
        <w:t>万元；工程类采购预算</w:t>
      </w:r>
      <w:r>
        <w:rPr>
          <w:rFonts w:hint="eastAsia" w:cs="宋体" w:asciiTheme="minorEastAsia" w:hAnsiTheme="minorEastAsia" w:eastAsiaTheme="minorEastAsia"/>
          <w:color w:val="333333"/>
          <w:sz w:val="28"/>
          <w:szCs w:val="28"/>
          <w:lang w:val="en-US" w:eastAsia="zh-CN"/>
        </w:rPr>
        <w:t>2</w:t>
      </w:r>
      <w:r>
        <w:rPr>
          <w:rFonts w:cs="宋体" w:asciiTheme="minorEastAsia" w:hAnsiTheme="minorEastAsia" w:eastAsiaTheme="minorEastAsia"/>
          <w:color w:val="333333"/>
          <w:sz w:val="28"/>
          <w:szCs w:val="28"/>
        </w:rPr>
        <w:t>万元；服务类采购预算</w:t>
      </w:r>
      <w:r>
        <w:rPr>
          <w:rFonts w:hint="eastAsia" w:cs="宋体" w:asciiTheme="minorEastAsia" w:hAnsiTheme="minorEastAsia" w:eastAsiaTheme="minorEastAsia"/>
          <w:color w:val="333333"/>
          <w:sz w:val="28"/>
          <w:szCs w:val="28"/>
          <w:lang w:val="en-US" w:eastAsia="zh-CN"/>
        </w:rPr>
        <w:t>73</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lang w:eastAsia="zh-CN"/>
        </w:rPr>
        <w:t>较去年增加</w:t>
      </w:r>
      <w:r>
        <w:rPr>
          <w:rFonts w:hint="eastAsia" w:cs="宋体" w:asciiTheme="minorEastAsia" w:hAnsiTheme="minorEastAsia" w:eastAsiaTheme="minorEastAsia"/>
          <w:color w:val="333333"/>
          <w:sz w:val="28"/>
          <w:szCs w:val="28"/>
          <w:lang w:val="en-US" w:eastAsia="zh-CN"/>
        </w:rPr>
        <w:t>45.6万元，原因是为了适应新的电子卖场等采购政策，保障正常工作运转。</w:t>
      </w:r>
    </w:p>
    <w:p>
      <w:pPr>
        <w:widowControl/>
        <w:spacing w:line="600" w:lineRule="exact"/>
        <w:ind w:firstLine="660"/>
        <w:jc w:val="left"/>
        <w:rPr>
          <w:rFonts w:cs="宋体" w:asciiTheme="minorEastAsia" w:hAnsiTheme="minorEastAsia" w:eastAsiaTheme="minorEastAsia"/>
          <w:color w:val="333333"/>
          <w:sz w:val="28"/>
          <w:szCs w:val="28"/>
        </w:rPr>
      </w:pPr>
      <w:bookmarkStart w:id="22" w:name="_Toc18222"/>
      <w:r>
        <w:rPr>
          <w:rStyle w:val="15"/>
        </w:rPr>
        <w:t>（</w:t>
      </w:r>
      <w:r>
        <w:rPr>
          <w:rStyle w:val="15"/>
          <w:rFonts w:hint="eastAsia" w:eastAsia="黑体"/>
          <w:lang w:eastAsia="zh-CN"/>
        </w:rPr>
        <w:t>五</w:t>
      </w:r>
      <w:r>
        <w:rPr>
          <w:rStyle w:val="15"/>
        </w:rPr>
        <w:t>）国有资产占用使用及新增资产配置情况：</w:t>
      </w:r>
      <w:bookmarkEnd w:id="22"/>
      <w:r>
        <w:rPr>
          <w:rFonts w:cs="宋体" w:asciiTheme="minorEastAsia" w:hAnsiTheme="minorEastAsia" w:eastAsiaTheme="minorEastAsia"/>
          <w:color w:val="333333"/>
          <w:sz w:val="28"/>
          <w:szCs w:val="28"/>
        </w:rPr>
        <w:t>截至</w:t>
      </w:r>
      <w:r>
        <w:rPr>
          <w:rFonts w:hint="eastAsia" w:cs="宋体" w:asciiTheme="minorEastAsia" w:hAnsiTheme="minorEastAsia" w:eastAsiaTheme="minorEastAsia"/>
          <w:color w:val="333333"/>
          <w:sz w:val="28"/>
          <w:szCs w:val="28"/>
          <w:lang w:eastAsia="zh-CN"/>
        </w:rPr>
        <w:t>2021年</w:t>
      </w:r>
      <w:r>
        <w:rPr>
          <w:rFonts w:cs="宋体" w:asciiTheme="minorEastAsia" w:hAnsiTheme="minorEastAsia" w:eastAsiaTheme="minorEastAsia"/>
          <w:color w:val="333333"/>
          <w:sz w:val="28"/>
          <w:szCs w:val="28"/>
        </w:rPr>
        <w:t>12月底，本部门共有公务用车</w:t>
      </w:r>
      <w:r>
        <w:rPr>
          <w:rFonts w:hint="eastAsia" w:cs="宋体" w:asciiTheme="minorEastAsia" w:hAnsiTheme="minorEastAsia" w:eastAsiaTheme="minorEastAsia"/>
          <w:color w:val="333333"/>
          <w:sz w:val="28"/>
          <w:szCs w:val="28"/>
          <w:lang w:val="en-US" w:eastAsia="zh-CN"/>
        </w:rPr>
        <w:t>0</w:t>
      </w:r>
      <w:r>
        <w:rPr>
          <w:rFonts w:cs="宋体" w:asciiTheme="minorEastAsia" w:hAnsiTheme="minorEastAsia" w:eastAsiaTheme="minorEastAsia"/>
          <w:color w:val="333333"/>
          <w:sz w:val="28"/>
          <w:szCs w:val="28"/>
        </w:rPr>
        <w:t>辆，其中，机要通信用车</w:t>
      </w:r>
      <w:r>
        <w:rPr>
          <w:rFonts w:hint="eastAsia" w:cs="宋体" w:asciiTheme="minorEastAsia" w:hAnsiTheme="minorEastAsia" w:eastAsiaTheme="minorEastAsia"/>
          <w:color w:val="333333"/>
          <w:sz w:val="28"/>
          <w:szCs w:val="28"/>
          <w:lang w:val="en-US" w:eastAsia="zh-CN"/>
        </w:rPr>
        <w:t>0</w:t>
      </w:r>
      <w:r>
        <w:rPr>
          <w:rFonts w:cs="宋体" w:asciiTheme="minorEastAsia" w:hAnsiTheme="minorEastAsia" w:eastAsiaTheme="minorEastAsia"/>
          <w:color w:val="333333"/>
          <w:sz w:val="28"/>
          <w:szCs w:val="28"/>
        </w:rPr>
        <w:t>辆，应急保障用车</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辆，执法执勤用车</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辆，特种专业技术用车</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辆，其他按照规定配备的公务用车</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辆；单位价值50万元以上通用设备</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 xml:space="preserve"> 台，单位价值100万元以上专用设备</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 xml:space="preserve"> 台。</w:t>
      </w:r>
      <w:r>
        <w:rPr>
          <w:rFonts w:hint="eastAsia" w:cs="宋体" w:asciiTheme="minorEastAsia" w:hAnsiTheme="minorEastAsia" w:eastAsiaTheme="minorEastAsia"/>
          <w:color w:val="333333"/>
          <w:sz w:val="28"/>
          <w:szCs w:val="28"/>
          <w:lang w:val="en-US" w:eastAsia="zh-CN"/>
        </w:rPr>
        <w:t>2021年</w:t>
      </w:r>
      <w:r>
        <w:rPr>
          <w:rFonts w:cs="宋体" w:asciiTheme="minorEastAsia" w:hAnsiTheme="minorEastAsia" w:eastAsiaTheme="minorEastAsia"/>
          <w:color w:val="333333"/>
          <w:sz w:val="28"/>
          <w:szCs w:val="28"/>
        </w:rPr>
        <w:t>拟新增配置公务用车</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辆，其中，机要通信用车</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 xml:space="preserve"> 辆，应急保障用车</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辆，执法执勤用车</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辆，特种专业技术用车</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辆，其他按照规定配备的公务用车</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辆；新增配备单位价值50万元以上通用设备</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 xml:space="preserve"> 台，单位价值100万元以上专用设备</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 xml:space="preserve"> 台。</w:t>
      </w:r>
    </w:p>
    <w:p>
      <w:pPr>
        <w:widowControl/>
        <w:spacing w:line="600" w:lineRule="exact"/>
        <w:ind w:firstLine="660"/>
        <w:jc w:val="left"/>
        <w:rPr>
          <w:rFonts w:hint="eastAsia" w:cs="宋体" w:asciiTheme="minorEastAsia" w:hAnsiTheme="minorEastAsia" w:eastAsiaTheme="minorEastAsia"/>
          <w:color w:val="333333"/>
          <w:sz w:val="28"/>
          <w:szCs w:val="28"/>
          <w:lang w:val="en-US" w:eastAsia="zh-CN"/>
        </w:rPr>
      </w:pPr>
      <w:bookmarkStart w:id="23" w:name="_Toc9591"/>
      <w:r>
        <w:rPr>
          <w:rStyle w:val="15"/>
        </w:rPr>
        <w:t>（</w:t>
      </w:r>
      <w:r>
        <w:rPr>
          <w:rStyle w:val="15"/>
          <w:rFonts w:hint="eastAsia" w:eastAsia="黑体"/>
          <w:lang w:eastAsia="zh-CN"/>
        </w:rPr>
        <w:t>六</w:t>
      </w:r>
      <w:r>
        <w:rPr>
          <w:rStyle w:val="15"/>
        </w:rPr>
        <w:t>）预算绩效目标说明：</w:t>
      </w:r>
      <w:bookmarkEnd w:id="23"/>
      <w:r>
        <w:rPr>
          <w:rFonts w:cs="宋体" w:asciiTheme="minorEastAsia" w:hAnsiTheme="minorEastAsia" w:eastAsiaTheme="minorEastAsia"/>
          <w:color w:val="333333"/>
          <w:sz w:val="28"/>
          <w:szCs w:val="28"/>
        </w:rPr>
        <w:t>本部门所有支出实行绩效目标管理。纳入</w:t>
      </w:r>
      <w:r>
        <w:rPr>
          <w:rFonts w:hint="eastAsia" w:cs="宋体" w:asciiTheme="minorEastAsia" w:hAnsiTheme="minorEastAsia" w:eastAsiaTheme="minorEastAsia"/>
          <w:color w:val="333333"/>
          <w:sz w:val="28"/>
          <w:szCs w:val="28"/>
          <w:lang w:val="en-US" w:eastAsia="zh-CN"/>
        </w:rPr>
        <w:t>2021年</w:t>
      </w:r>
      <w:r>
        <w:rPr>
          <w:rFonts w:cs="宋体" w:asciiTheme="minorEastAsia" w:hAnsiTheme="minorEastAsia" w:eastAsiaTheme="minorEastAsia"/>
          <w:color w:val="333333"/>
          <w:sz w:val="28"/>
          <w:szCs w:val="28"/>
        </w:rPr>
        <w:t>部门整体支出绩效目标的金额为</w:t>
      </w:r>
      <w:r>
        <w:rPr>
          <w:rFonts w:hint="eastAsia" w:cs="宋体" w:asciiTheme="minorEastAsia" w:hAnsiTheme="minorEastAsia" w:eastAsiaTheme="minorEastAsia"/>
          <w:color w:val="333333"/>
          <w:sz w:val="28"/>
          <w:szCs w:val="28"/>
          <w:lang w:val="en-US" w:eastAsia="zh-CN"/>
        </w:rPr>
        <w:t>668.51</w:t>
      </w:r>
      <w:r>
        <w:rPr>
          <w:rFonts w:cs="宋体" w:asciiTheme="minorEastAsia" w:hAnsiTheme="minorEastAsia" w:eastAsiaTheme="minorEastAsia"/>
          <w:color w:val="333333"/>
          <w:sz w:val="28"/>
          <w:szCs w:val="28"/>
        </w:rPr>
        <w:t>万元，其中，基本支出</w:t>
      </w:r>
      <w:r>
        <w:rPr>
          <w:rFonts w:hint="eastAsia" w:cs="宋体" w:asciiTheme="minorEastAsia" w:hAnsiTheme="minorEastAsia" w:eastAsiaTheme="minorEastAsia"/>
          <w:color w:val="333333"/>
          <w:sz w:val="28"/>
          <w:szCs w:val="28"/>
          <w:lang w:val="en-US" w:eastAsia="zh-CN"/>
        </w:rPr>
        <w:t>650.35</w:t>
      </w:r>
      <w:r>
        <w:rPr>
          <w:rFonts w:cs="宋体" w:asciiTheme="minorEastAsia" w:hAnsiTheme="minorEastAsia" w:eastAsiaTheme="minorEastAsia"/>
          <w:color w:val="333333"/>
          <w:sz w:val="28"/>
          <w:szCs w:val="28"/>
        </w:rPr>
        <w:t>万元，项目支出</w:t>
      </w:r>
      <w:r>
        <w:rPr>
          <w:rFonts w:hint="eastAsia" w:cs="宋体" w:asciiTheme="minorEastAsia" w:hAnsiTheme="minorEastAsia" w:eastAsiaTheme="minorEastAsia"/>
          <w:color w:val="333333"/>
          <w:sz w:val="28"/>
          <w:szCs w:val="28"/>
          <w:lang w:val="en-US" w:eastAsia="zh-CN"/>
        </w:rPr>
        <w:t>18.16</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lang w:eastAsia="zh-CN"/>
        </w:rPr>
        <w:t>本单位无重点项目预算。</w:t>
      </w:r>
    </w:p>
    <w:p>
      <w:pPr>
        <w:pStyle w:val="2"/>
        <w:bidi w:val="0"/>
        <w:rPr>
          <w:rFonts w:hint="eastAsia"/>
          <w:lang w:eastAsia="zh-CN"/>
        </w:rPr>
      </w:pPr>
      <w:bookmarkStart w:id="24" w:name="_Toc23624"/>
      <w:bookmarkStart w:id="25" w:name="_Toc18983"/>
      <w:bookmarkStart w:id="26" w:name="_Toc24371"/>
      <w:r>
        <w:rPr>
          <w:rFonts w:hint="eastAsia"/>
          <w:lang w:eastAsia="zh-CN"/>
        </w:rPr>
        <w:t>七、专业性名词解释</w:t>
      </w:r>
      <w:bookmarkEnd w:id="24"/>
      <w:bookmarkEnd w:id="25"/>
      <w:bookmarkEnd w:id="26"/>
    </w:p>
    <w:p>
      <w:pPr>
        <w:shd w:val="clear" w:color="auto" w:fill="FFFFFF"/>
        <w:adjustRightInd/>
        <w:snapToGrid/>
        <w:spacing w:after="0" w:line="480" w:lineRule="auto"/>
        <w:ind w:firstLine="480"/>
        <w:jc w:val="both"/>
        <w:rPr>
          <w:rFonts w:cs="宋体" w:asciiTheme="minorEastAsia" w:hAnsiTheme="minorEastAsia" w:eastAsiaTheme="minorEastAsia"/>
          <w:color w:val="333333"/>
          <w:sz w:val="28"/>
          <w:szCs w:val="28"/>
        </w:rPr>
      </w:pPr>
      <w:r>
        <w:rPr>
          <w:rFonts w:cs="宋体" w:asciiTheme="minorEastAsia" w:hAnsiTheme="minorEastAsia" w:eastAsiaTheme="minorEastAsia"/>
          <w:color w:val="333333"/>
          <w:sz w:val="28"/>
          <w:szCs w:val="28"/>
        </w:rPr>
        <w:t>机关运行经费：指为保障行政单位(含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hd w:val="clear" w:color="auto" w:fill="FFFFFF"/>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w:t>
      </w:r>
      <w:r>
        <w:rPr>
          <w:rFonts w:cs="宋体" w:asciiTheme="minorEastAsia" w:hAnsiTheme="minorEastAsia" w:eastAsiaTheme="minorEastAsia"/>
          <w:color w:val="333333"/>
          <w:sz w:val="28"/>
          <w:szCs w:val="28"/>
        </w:rPr>
        <w:t>三公”经费：纳入财政预算管理的“三公”经费是指因公出国(境)、公务用车购置及运行、公务接待所产生的费用，其中，因公出国(境)经费包括公务出国(境)的住宿费、旅费、伙食补助费、杂费、培训费等支出;公务用车购置及运行费包括单位公务用车购置费、燃料费、维修费、过路过桥费、保险费等支出;公务接待费是指单位为执行公务和开展业务需要合理开支的接待费用，包括在接待中发生的交通费、用餐费和住宿费等支出。</w:t>
      </w:r>
    </w:p>
    <w:p>
      <w:pPr>
        <w:spacing w:line="220" w:lineRule="atLeast"/>
        <w:rPr>
          <w:rFonts w:asciiTheme="minorEastAsia" w:hAnsiTheme="minorEastAsia" w:eastAsiaTheme="minorEastAsia"/>
          <w:sz w:val="28"/>
          <w:szCs w:val="28"/>
        </w:rPr>
      </w:pPr>
    </w:p>
    <w:sectPr>
      <w:footerReference r:id="rId5" w:type="default"/>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0584"/>
      <w:docPartObj>
        <w:docPartGallery w:val="autotext"/>
      </w:docPartObj>
    </w:sdtPr>
    <w:sdtContent>
      <w:p>
        <w:pPr>
          <w:pStyle w:val="7"/>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YjJlOGRiMzI5OWQyMTY4ZjM2MTJmZTlhZDMwMzEwNDEifQ=="/>
  </w:docVars>
  <w:rsids>
    <w:rsidRoot w:val="00D31D50"/>
    <w:rsid w:val="00083189"/>
    <w:rsid w:val="000D0EEB"/>
    <w:rsid w:val="000D4BF1"/>
    <w:rsid w:val="00147E8F"/>
    <w:rsid w:val="0029247D"/>
    <w:rsid w:val="002E6C35"/>
    <w:rsid w:val="003175B0"/>
    <w:rsid w:val="00323B43"/>
    <w:rsid w:val="003761C5"/>
    <w:rsid w:val="00382DE5"/>
    <w:rsid w:val="003B042D"/>
    <w:rsid w:val="003D37D8"/>
    <w:rsid w:val="00425646"/>
    <w:rsid w:val="00426133"/>
    <w:rsid w:val="004358AB"/>
    <w:rsid w:val="005471C8"/>
    <w:rsid w:val="006502CE"/>
    <w:rsid w:val="00685898"/>
    <w:rsid w:val="006A4631"/>
    <w:rsid w:val="006D70B6"/>
    <w:rsid w:val="00770475"/>
    <w:rsid w:val="00805333"/>
    <w:rsid w:val="008B7726"/>
    <w:rsid w:val="009F054F"/>
    <w:rsid w:val="00AE4FDF"/>
    <w:rsid w:val="00AE606D"/>
    <w:rsid w:val="00B26D3E"/>
    <w:rsid w:val="00B62F2D"/>
    <w:rsid w:val="00B928FF"/>
    <w:rsid w:val="00BD16B4"/>
    <w:rsid w:val="00BD3825"/>
    <w:rsid w:val="00BE6B10"/>
    <w:rsid w:val="00C323C2"/>
    <w:rsid w:val="00CC4A3E"/>
    <w:rsid w:val="00CC7D14"/>
    <w:rsid w:val="00D31D50"/>
    <w:rsid w:val="00DB7ABB"/>
    <w:rsid w:val="00DF6532"/>
    <w:rsid w:val="00EE0DE1"/>
    <w:rsid w:val="00FB6F98"/>
    <w:rsid w:val="018D69FE"/>
    <w:rsid w:val="01E2600B"/>
    <w:rsid w:val="0790075C"/>
    <w:rsid w:val="08363B89"/>
    <w:rsid w:val="0A224BA6"/>
    <w:rsid w:val="14040D25"/>
    <w:rsid w:val="197A13F1"/>
    <w:rsid w:val="1B6C6106"/>
    <w:rsid w:val="1DB50DBD"/>
    <w:rsid w:val="1F4503B6"/>
    <w:rsid w:val="22B1460E"/>
    <w:rsid w:val="237F7996"/>
    <w:rsid w:val="259105F4"/>
    <w:rsid w:val="2602061C"/>
    <w:rsid w:val="28464F54"/>
    <w:rsid w:val="286273A2"/>
    <w:rsid w:val="2A8A2EFE"/>
    <w:rsid w:val="2B9A5AFE"/>
    <w:rsid w:val="2C705F99"/>
    <w:rsid w:val="2DD92C6B"/>
    <w:rsid w:val="2DF26DB3"/>
    <w:rsid w:val="2F793ACC"/>
    <w:rsid w:val="32174233"/>
    <w:rsid w:val="32681D20"/>
    <w:rsid w:val="34636CA9"/>
    <w:rsid w:val="355D2274"/>
    <w:rsid w:val="356F6FC0"/>
    <w:rsid w:val="3573326A"/>
    <w:rsid w:val="39E8443E"/>
    <w:rsid w:val="41BA29AB"/>
    <w:rsid w:val="43791421"/>
    <w:rsid w:val="47C27682"/>
    <w:rsid w:val="49DF5151"/>
    <w:rsid w:val="4A546DAC"/>
    <w:rsid w:val="4A946CEF"/>
    <w:rsid w:val="4B916A15"/>
    <w:rsid w:val="4BB51374"/>
    <w:rsid w:val="4CCB2316"/>
    <w:rsid w:val="4E0E3817"/>
    <w:rsid w:val="50C47158"/>
    <w:rsid w:val="51132C1B"/>
    <w:rsid w:val="51F64456"/>
    <w:rsid w:val="52B4083C"/>
    <w:rsid w:val="53441858"/>
    <w:rsid w:val="534B3B8E"/>
    <w:rsid w:val="55E54062"/>
    <w:rsid w:val="5C47645D"/>
    <w:rsid w:val="5FD75315"/>
    <w:rsid w:val="66192375"/>
    <w:rsid w:val="6849592E"/>
    <w:rsid w:val="704F779F"/>
    <w:rsid w:val="711815A2"/>
    <w:rsid w:val="761D7019"/>
    <w:rsid w:val="77FD7CFA"/>
    <w:rsid w:val="788D7A2B"/>
    <w:rsid w:val="789E0DEF"/>
    <w:rsid w:val="78D22D18"/>
    <w:rsid w:val="7E3915B2"/>
    <w:rsid w:val="7F3F006E"/>
    <w:rsid w:val="7F7112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1"/>
    <w:basedOn w:val="1"/>
    <w:next w:val="1"/>
    <w:qFormat/>
    <w:uiPriority w:val="9"/>
    <w:pPr>
      <w:keepNext/>
      <w:keepLines/>
      <w:spacing w:beforeLines="0" w:beforeAutospacing="0" w:afterLines="0" w:afterAutospacing="0" w:line="240" w:lineRule="auto"/>
      <w:outlineLvl w:val="0"/>
    </w:pPr>
    <w:rPr>
      <w:b/>
      <w:kern w:val="44"/>
      <w:sz w:val="36"/>
    </w:rPr>
  </w:style>
  <w:style w:type="paragraph" w:styleId="3">
    <w:name w:val="heading 2"/>
    <w:basedOn w:val="1"/>
    <w:next w:val="1"/>
    <w:link w:val="15"/>
    <w:qFormat/>
    <w:uiPriority w:val="9"/>
    <w:pPr>
      <w:adjustRightInd/>
      <w:snapToGrid/>
      <w:spacing w:before="100" w:beforeAutospacing="1" w:after="100" w:afterAutospacing="1"/>
      <w:outlineLvl w:val="1"/>
    </w:pPr>
    <w:rPr>
      <w:rFonts w:ascii="宋体" w:hAnsi="宋体" w:eastAsia="黑体" w:cs="宋体"/>
      <w:b/>
      <w:bCs/>
      <w:sz w:val="32"/>
      <w:szCs w:val="36"/>
    </w:rPr>
  </w:style>
  <w:style w:type="paragraph" w:styleId="4">
    <w:name w:val="heading 3"/>
    <w:basedOn w:val="1"/>
    <w:next w:val="1"/>
    <w:link w:val="20"/>
    <w:unhideWhenUsed/>
    <w:qFormat/>
    <w:uiPriority w:val="9"/>
    <w:pPr>
      <w:keepNext/>
      <w:keepLines/>
      <w:spacing w:before="260" w:after="260" w:line="416" w:lineRule="auto"/>
      <w:outlineLvl w:val="2"/>
    </w:pPr>
    <w:rPr>
      <w:b/>
      <w:bCs/>
      <w:sz w:val="32"/>
      <w:szCs w:val="32"/>
    </w:rPr>
  </w:style>
  <w:style w:type="paragraph" w:styleId="5">
    <w:name w:val="heading 6"/>
    <w:basedOn w:val="1"/>
    <w:next w:val="1"/>
    <w:link w:val="18"/>
    <w:qFormat/>
    <w:uiPriority w:val="9"/>
    <w:pPr>
      <w:adjustRightInd/>
      <w:snapToGrid/>
      <w:spacing w:before="100" w:beforeAutospacing="1" w:after="100" w:afterAutospacing="1"/>
      <w:outlineLvl w:val="5"/>
    </w:pPr>
    <w:rPr>
      <w:rFonts w:ascii="宋体" w:hAnsi="宋体" w:eastAsia="宋体" w:cs="宋体"/>
      <w:b/>
      <w:bCs/>
      <w:sz w:val="15"/>
      <w:szCs w:val="15"/>
    </w:rPr>
  </w:style>
  <w:style w:type="character" w:default="1" w:styleId="13">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Balloon Text"/>
    <w:basedOn w:val="1"/>
    <w:link w:val="19"/>
    <w:semiHidden/>
    <w:unhideWhenUsed/>
    <w:qFormat/>
    <w:uiPriority w:val="99"/>
    <w:pPr>
      <w:spacing w:after="0"/>
    </w:pPr>
    <w:rPr>
      <w:sz w:val="18"/>
      <w:szCs w:val="18"/>
    </w:rPr>
  </w:style>
  <w:style w:type="paragraph" w:styleId="7">
    <w:name w:val="footer"/>
    <w:basedOn w:val="1"/>
    <w:link w:val="17"/>
    <w:unhideWhenUsed/>
    <w:qFormat/>
    <w:uiPriority w:val="99"/>
    <w:pPr>
      <w:tabs>
        <w:tab w:val="center" w:pos="4153"/>
        <w:tab w:val="right" w:pos="8306"/>
      </w:tabs>
    </w:pPr>
    <w:rPr>
      <w:sz w:val="18"/>
      <w:szCs w:val="18"/>
    </w:rPr>
  </w:style>
  <w:style w:type="paragraph" w:styleId="8">
    <w:name w:val="header"/>
    <w:basedOn w:val="1"/>
    <w:link w:val="16"/>
    <w:semiHidden/>
    <w:unhideWhenUsed/>
    <w:qFormat/>
    <w:uiPriority w:val="99"/>
    <w:pPr>
      <w:pBdr>
        <w:bottom w:val="single" w:color="auto" w:sz="6" w:space="1"/>
      </w:pBdr>
      <w:tabs>
        <w:tab w:val="center" w:pos="4153"/>
        <w:tab w:val="right" w:pos="8306"/>
      </w:tabs>
      <w:jc w:val="center"/>
    </w:pPr>
    <w:rPr>
      <w:sz w:val="18"/>
      <w:szCs w:val="18"/>
    </w:rPr>
  </w:style>
  <w:style w:type="paragraph" w:styleId="9">
    <w:name w:val="toc 1"/>
    <w:basedOn w:val="1"/>
    <w:next w:val="1"/>
    <w:semiHidden/>
    <w:unhideWhenUsed/>
    <w:qFormat/>
    <w:uiPriority w:val="39"/>
  </w:style>
  <w:style w:type="paragraph" w:styleId="10">
    <w:name w:val="toc 2"/>
    <w:basedOn w:val="1"/>
    <w:next w:val="1"/>
    <w:semiHidden/>
    <w:unhideWhenUsed/>
    <w:qFormat/>
    <w:uiPriority w:val="39"/>
    <w:pPr>
      <w:ind w:left="420" w:leftChars="200"/>
    </w:pPr>
  </w:style>
  <w:style w:type="paragraph" w:styleId="11">
    <w:name w:val="Normal (Web)"/>
    <w:basedOn w:val="1"/>
    <w:semiHidden/>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14">
    <w:name w:val="Hyperlink"/>
    <w:basedOn w:val="13"/>
    <w:unhideWhenUsed/>
    <w:qFormat/>
    <w:uiPriority w:val="99"/>
    <w:rPr>
      <w:color w:val="0000FF" w:themeColor="hyperlink"/>
      <w:u w:val="single"/>
    </w:rPr>
  </w:style>
  <w:style w:type="character" w:customStyle="1" w:styleId="15">
    <w:name w:val="标题 2 Char"/>
    <w:basedOn w:val="13"/>
    <w:link w:val="3"/>
    <w:qFormat/>
    <w:uiPriority w:val="9"/>
    <w:rPr>
      <w:rFonts w:ascii="宋体" w:hAnsi="宋体" w:eastAsia="黑体" w:cs="宋体"/>
      <w:b/>
      <w:bCs/>
      <w:sz w:val="32"/>
      <w:szCs w:val="36"/>
    </w:rPr>
  </w:style>
  <w:style w:type="character" w:customStyle="1" w:styleId="16">
    <w:name w:val="页眉 Char"/>
    <w:basedOn w:val="13"/>
    <w:link w:val="8"/>
    <w:semiHidden/>
    <w:qFormat/>
    <w:uiPriority w:val="99"/>
    <w:rPr>
      <w:rFonts w:ascii="Tahoma" w:hAnsi="Tahoma"/>
      <w:sz w:val="18"/>
      <w:szCs w:val="18"/>
    </w:rPr>
  </w:style>
  <w:style w:type="character" w:customStyle="1" w:styleId="17">
    <w:name w:val="页脚 Char"/>
    <w:basedOn w:val="13"/>
    <w:link w:val="7"/>
    <w:qFormat/>
    <w:uiPriority w:val="99"/>
    <w:rPr>
      <w:rFonts w:ascii="Tahoma" w:hAnsi="Tahoma"/>
      <w:sz w:val="18"/>
      <w:szCs w:val="18"/>
    </w:rPr>
  </w:style>
  <w:style w:type="character" w:customStyle="1" w:styleId="18">
    <w:name w:val="标题 6 Char"/>
    <w:basedOn w:val="13"/>
    <w:link w:val="5"/>
    <w:qFormat/>
    <w:uiPriority w:val="9"/>
    <w:rPr>
      <w:rFonts w:ascii="宋体" w:hAnsi="宋体" w:eastAsia="宋体" w:cs="宋体"/>
      <w:b/>
      <w:bCs/>
      <w:sz w:val="15"/>
      <w:szCs w:val="15"/>
    </w:rPr>
  </w:style>
  <w:style w:type="character" w:customStyle="1" w:styleId="19">
    <w:name w:val="批注框文本 Char"/>
    <w:basedOn w:val="13"/>
    <w:link w:val="6"/>
    <w:semiHidden/>
    <w:qFormat/>
    <w:uiPriority w:val="99"/>
    <w:rPr>
      <w:rFonts w:ascii="Tahoma" w:hAnsi="Tahoma"/>
      <w:sz w:val="18"/>
      <w:szCs w:val="18"/>
    </w:rPr>
  </w:style>
  <w:style w:type="character" w:customStyle="1" w:styleId="20">
    <w:name w:val="标题 3 Char"/>
    <w:basedOn w:val="13"/>
    <w:link w:val="4"/>
    <w:qFormat/>
    <w:uiPriority w:val="9"/>
    <w:rPr>
      <w:rFonts w:ascii="Tahoma" w:hAnsi="Tahoma"/>
      <w:b/>
      <w:bCs/>
      <w:sz w:val="32"/>
      <w:szCs w:val="32"/>
    </w:rPr>
  </w:style>
  <w:style w:type="paragraph" w:customStyle="1" w:styleId="21">
    <w:name w:val="WPSOffice手动目录 1"/>
    <w:qFormat/>
    <w:uiPriority w:val="0"/>
    <w:pPr>
      <w:ind w:leftChars="0"/>
    </w:pPr>
    <w:rPr>
      <w:rFonts w:eastAsia="微软雅黑" w:asciiTheme="minorHAnsi" w:hAnsiTheme="minorHAnsi" w:cstheme="minorBidi"/>
      <w:sz w:val="20"/>
      <w:szCs w:val="20"/>
    </w:rPr>
  </w:style>
  <w:style w:type="paragraph" w:customStyle="1" w:styleId="22">
    <w:name w:val="WPSOffice手动目录 2"/>
    <w:qFormat/>
    <w:uiPriority w:val="0"/>
    <w:pPr>
      <w:ind w:leftChars="200"/>
    </w:pPr>
    <w:rPr>
      <w:rFonts w:eastAsia="微软雅黑" w:asciiTheme="minorHAnsi" w:hAnsiTheme="minorHAnsi"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2623</Words>
  <Characters>2788</Characters>
  <Lines>14</Lines>
  <Paragraphs>4</Paragraphs>
  <TotalTime>1</TotalTime>
  <ScaleCrop>false</ScaleCrop>
  <LinksUpToDate>false</LinksUpToDate>
  <CharactersWithSpaces>2799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洛</cp:lastModifiedBy>
  <cp:lastPrinted>2020-08-19T00:35:00Z</cp:lastPrinted>
  <dcterms:modified xsi:type="dcterms:W3CDTF">2022-06-06T03:24:23Z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9B29A29E9350499287BE75102154FAC3</vt:lpwstr>
  </property>
</Properties>
</file>