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color w:val="000000"/>
          <w:sz w:val="32"/>
          <w:szCs w:val="32"/>
        </w:rPr>
      </w:pPr>
      <w:r>
        <w:rPr>
          <w:rFonts w:hint="eastAsia" w:ascii="黑体" w:hAnsi="黑体" w:eastAsia="黑体" w:cs="黑体"/>
          <w:color w:val="000000"/>
          <w:sz w:val="32"/>
          <w:szCs w:val="32"/>
        </w:rPr>
        <w:t>附件3</w:t>
      </w:r>
    </w:p>
    <w:p>
      <w:pPr>
        <w:tabs>
          <w:tab w:val="left" w:pos="6480"/>
        </w:tabs>
        <w:spacing w:line="600" w:lineRule="exact"/>
        <w:jc w:val="center"/>
        <w:rPr>
          <w:rFonts w:ascii="宋体" w:hAnsi="宋体" w:cs="方正小标宋_GBK"/>
          <w:b/>
          <w:sz w:val="36"/>
          <w:szCs w:val="36"/>
        </w:rPr>
      </w:pPr>
      <w:r>
        <w:rPr>
          <w:rFonts w:hint="eastAsia" w:ascii="宋体" w:hAnsi="宋体" w:cs="方正小标宋_GBK"/>
          <w:b/>
          <w:sz w:val="36"/>
          <w:szCs w:val="36"/>
        </w:rPr>
        <w:t>湖南湘潭天易经济开发区管理委员会</w:t>
      </w:r>
    </w:p>
    <w:p>
      <w:pPr>
        <w:tabs>
          <w:tab w:val="left" w:pos="6480"/>
        </w:tabs>
        <w:spacing w:line="600" w:lineRule="exact"/>
        <w:jc w:val="center"/>
        <w:rPr>
          <w:rFonts w:ascii="宋体" w:hAnsi="宋体" w:cs="方正小标宋_GBK"/>
          <w:b/>
          <w:sz w:val="36"/>
          <w:szCs w:val="36"/>
        </w:rPr>
      </w:pPr>
      <w:bookmarkStart w:id="0" w:name="_GoBack"/>
      <w:r>
        <w:rPr>
          <w:rFonts w:hint="eastAsia" w:ascii="宋体" w:hAnsi="宋体" w:cs="方正小标宋_GBK"/>
          <w:b/>
          <w:bCs/>
          <w:sz w:val="36"/>
          <w:szCs w:val="36"/>
        </w:rPr>
        <w:t>部门整体支出绩效评价报告</w:t>
      </w:r>
    </w:p>
    <w:bookmarkEnd w:id="0"/>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部门概况</w:t>
            </w: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单位名称</w:t>
            </w:r>
          </w:p>
        </w:tc>
        <w:tc>
          <w:tcPr>
            <w:tcW w:w="5670" w:type="dxa"/>
            <w:vAlign w:val="center"/>
          </w:tcPr>
          <w:p>
            <w:pPr>
              <w:spacing w:line="576" w:lineRule="exact"/>
              <w:ind w:right="880" w:rightChars="419"/>
              <w:jc w:val="center"/>
              <w:rPr>
                <w:rFonts w:ascii="仿宋_GB2312" w:hAnsi="宋体" w:eastAsia="仿宋_GB2312" w:cs="宋体"/>
                <w:szCs w:val="21"/>
              </w:rPr>
            </w:pPr>
            <w:r>
              <w:rPr>
                <w:rFonts w:hint="eastAsia" w:ascii="仿宋_GB2312" w:hAnsi="宋体" w:eastAsia="仿宋_GB2312" w:cs="宋体"/>
                <w:szCs w:val="21"/>
              </w:rPr>
              <w:t>湖南湘潭天易经济开发区管理委员会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年度预算金额</w:t>
            </w:r>
          </w:p>
        </w:tc>
        <w:tc>
          <w:tcPr>
            <w:tcW w:w="5670" w:type="dxa"/>
            <w:vAlign w:val="center"/>
          </w:tcPr>
          <w:p>
            <w:pPr>
              <w:spacing w:line="576" w:lineRule="exact"/>
              <w:ind w:right="880" w:rightChars="419"/>
              <w:jc w:val="center"/>
              <w:rPr>
                <w:rFonts w:ascii="仿宋_GB2312" w:hAnsi="宋体" w:eastAsia="仿宋_GB2312" w:cs="宋体"/>
                <w:szCs w:val="21"/>
              </w:rPr>
            </w:pPr>
            <w:r>
              <w:rPr>
                <w:rFonts w:hint="eastAsia" w:ascii="仿宋_GB2312" w:hAnsi="仿宋" w:eastAsia="仿宋_GB2312" w:cs="仿宋"/>
                <w:color w:val="000000"/>
                <w:kern w:val="0"/>
                <w:szCs w:val="21"/>
              </w:rPr>
              <w:t>342,570.97万元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主管部门</w:t>
            </w:r>
          </w:p>
        </w:tc>
        <w:tc>
          <w:tcPr>
            <w:tcW w:w="5670" w:type="dxa"/>
            <w:vAlign w:val="center"/>
          </w:tcPr>
          <w:p>
            <w:pPr>
              <w:spacing w:line="576" w:lineRule="exact"/>
              <w:ind w:right="880" w:rightChars="419"/>
              <w:jc w:val="center"/>
              <w:rPr>
                <w:rFonts w:ascii="仿宋_GB2312" w:hAnsi="宋体" w:eastAsia="仿宋_GB2312" w:cs="宋体"/>
                <w:szCs w:val="21"/>
              </w:rPr>
            </w:pPr>
            <w:r>
              <w:rPr>
                <w:rFonts w:hint="eastAsia" w:ascii="仿宋_GB2312" w:hAnsi="宋体" w:eastAsia="仿宋_GB2312" w:cs="宋体"/>
                <w:szCs w:val="21"/>
              </w:rPr>
              <w:t>湖南湘潭天易经济开发区管理委员会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单位基本职能</w:t>
            </w:r>
          </w:p>
        </w:tc>
        <w:tc>
          <w:tcPr>
            <w:tcW w:w="5670" w:type="dxa"/>
            <w:vAlign w:val="center"/>
          </w:tcPr>
          <w:p>
            <w:pPr>
              <w:spacing w:line="300" w:lineRule="exact"/>
              <w:rPr>
                <w:rFonts w:ascii="仿宋_GB2312" w:hAnsi="宋体" w:eastAsia="仿宋_GB2312" w:cs="宋体"/>
                <w:szCs w:val="21"/>
              </w:rPr>
            </w:pPr>
            <w:r>
              <w:rPr>
                <w:rFonts w:hint="eastAsia" w:ascii="仿宋_GB2312" w:hAnsi="宋体" w:eastAsia="仿宋_GB2312" w:cs="宋体"/>
                <w:szCs w:val="21"/>
              </w:rPr>
              <w:t>（1）贯彻执行党和国家关于发展经济技术开发区的方针、政策和法律、法规、规章；根据市政府授权，检查督促各项政策、法规的执行。</w:t>
            </w:r>
          </w:p>
          <w:p>
            <w:pPr>
              <w:spacing w:line="300" w:lineRule="exact"/>
              <w:rPr>
                <w:rFonts w:ascii="仿宋_GB2312" w:hAnsi="宋体" w:eastAsia="仿宋_GB2312" w:cs="宋体"/>
                <w:szCs w:val="21"/>
              </w:rPr>
            </w:pPr>
            <w:r>
              <w:rPr>
                <w:rFonts w:hint="eastAsia" w:ascii="仿宋_GB2312" w:hAnsi="宋体" w:eastAsia="仿宋_GB2312" w:cs="宋体"/>
                <w:szCs w:val="21"/>
              </w:rPr>
              <w:t>（2）编制经开区总体规划和经济社会发展计划，经批准后组织实施。</w:t>
            </w:r>
          </w:p>
          <w:p>
            <w:pPr>
              <w:spacing w:line="300" w:lineRule="exact"/>
              <w:rPr>
                <w:rFonts w:ascii="仿宋_GB2312" w:hAnsi="宋体" w:eastAsia="仿宋_GB2312" w:cs="宋体"/>
                <w:szCs w:val="21"/>
              </w:rPr>
            </w:pPr>
            <w:r>
              <w:rPr>
                <w:rFonts w:hint="eastAsia" w:ascii="仿宋_GB2312" w:hAnsi="宋体" w:eastAsia="仿宋_GB2312" w:cs="宋体"/>
                <w:szCs w:val="21"/>
              </w:rPr>
              <w:t>（3）制定并组织实施相关行政管理规定。</w:t>
            </w:r>
          </w:p>
          <w:p>
            <w:pPr>
              <w:spacing w:line="300" w:lineRule="exact"/>
              <w:rPr>
                <w:rFonts w:ascii="仿宋_GB2312" w:hAnsi="宋体" w:eastAsia="仿宋_GB2312" w:cs="宋体"/>
                <w:szCs w:val="21"/>
              </w:rPr>
            </w:pPr>
            <w:r>
              <w:rPr>
                <w:rFonts w:hint="eastAsia" w:ascii="仿宋_GB2312" w:hAnsi="宋体" w:eastAsia="仿宋_GB2312" w:cs="宋体"/>
                <w:szCs w:val="21"/>
              </w:rPr>
              <w:t>（4）审核经开区的投资项目，并按照规定权限审批或者报批。</w:t>
            </w:r>
          </w:p>
          <w:p>
            <w:pPr>
              <w:spacing w:line="300" w:lineRule="exact"/>
              <w:rPr>
                <w:rFonts w:ascii="仿宋_GB2312" w:hAnsi="宋体" w:eastAsia="仿宋_GB2312" w:cs="宋体"/>
                <w:szCs w:val="21"/>
              </w:rPr>
            </w:pPr>
            <w:r>
              <w:rPr>
                <w:rFonts w:hint="eastAsia" w:ascii="仿宋_GB2312" w:hAnsi="宋体" w:eastAsia="仿宋_GB2312" w:cs="宋体"/>
                <w:szCs w:val="21"/>
              </w:rPr>
              <w:t>（5）管理经开区各项基础设施和公共设施。</w:t>
            </w:r>
          </w:p>
          <w:p>
            <w:pPr>
              <w:spacing w:line="300" w:lineRule="exact"/>
              <w:rPr>
                <w:rFonts w:ascii="仿宋_GB2312" w:hAnsi="宋体" w:eastAsia="仿宋_GB2312" w:cs="宋体"/>
                <w:szCs w:val="21"/>
              </w:rPr>
            </w:pPr>
            <w:r>
              <w:rPr>
                <w:rFonts w:hint="eastAsia" w:ascii="仿宋_GB2312" w:hAnsi="宋体" w:eastAsia="仿宋_GB2312" w:cs="宋体"/>
                <w:szCs w:val="21"/>
              </w:rPr>
              <w:t>（6）按规定管理经开区的财政、商务、建设规划、劳动、人事、治安、土地、房产、国有资产、安全生产监管和环境保护等工作。</w:t>
            </w:r>
          </w:p>
          <w:p>
            <w:pPr>
              <w:spacing w:line="300" w:lineRule="exact"/>
              <w:rPr>
                <w:rFonts w:ascii="仿宋_GB2312" w:hAnsi="宋体" w:eastAsia="仿宋_GB2312" w:cs="宋体"/>
                <w:szCs w:val="21"/>
              </w:rPr>
            </w:pPr>
            <w:r>
              <w:rPr>
                <w:rFonts w:hint="eastAsia" w:ascii="仿宋_GB2312" w:hAnsi="宋体" w:eastAsia="仿宋_GB2312" w:cs="宋体"/>
                <w:szCs w:val="21"/>
              </w:rPr>
              <w:t>（7）按规定做好职权范围内经开区的科学、文化、教育、卫生、体育、创新创业等社会公益事业。</w:t>
            </w:r>
          </w:p>
          <w:p>
            <w:pPr>
              <w:spacing w:line="300" w:lineRule="exact"/>
              <w:rPr>
                <w:rFonts w:ascii="仿宋_GB2312" w:hAnsi="宋体" w:eastAsia="仿宋_GB2312" w:cs="宋体"/>
                <w:szCs w:val="21"/>
              </w:rPr>
            </w:pPr>
            <w:r>
              <w:rPr>
                <w:rFonts w:hint="eastAsia" w:ascii="仿宋_GB2312" w:hAnsi="宋体" w:eastAsia="仿宋_GB2312" w:cs="宋体"/>
                <w:szCs w:val="21"/>
              </w:rPr>
              <w:t>（8）管理经开区的进出口业务和对外经济技术合作，按照规定处理开发区内的涉外事务。</w:t>
            </w:r>
          </w:p>
          <w:p>
            <w:pPr>
              <w:spacing w:line="300" w:lineRule="exact"/>
              <w:rPr>
                <w:rFonts w:ascii="仿宋_GB2312" w:hAnsi="宋体" w:eastAsia="仿宋_GB2312" w:cs="宋体"/>
                <w:szCs w:val="21"/>
              </w:rPr>
            </w:pPr>
            <w:r>
              <w:rPr>
                <w:rFonts w:hint="eastAsia" w:ascii="仿宋_GB2312" w:hAnsi="宋体" w:eastAsia="仿宋_GB2312" w:cs="宋体"/>
                <w:szCs w:val="21"/>
              </w:rPr>
              <w:t>（9）指导、协调、规范、促进经开区的招商引资工作。</w:t>
            </w:r>
          </w:p>
          <w:p>
            <w:pPr>
              <w:spacing w:line="300" w:lineRule="exact"/>
              <w:rPr>
                <w:rFonts w:ascii="仿宋_GB2312" w:hAnsi="宋体" w:eastAsia="仿宋_GB2312" w:cs="宋体"/>
                <w:szCs w:val="21"/>
              </w:rPr>
            </w:pPr>
            <w:r>
              <w:rPr>
                <w:rFonts w:hint="eastAsia" w:ascii="仿宋_GB2312" w:hAnsi="宋体" w:eastAsia="仿宋_GB2312" w:cs="宋体"/>
                <w:szCs w:val="21"/>
              </w:rPr>
              <w:t>（10）负责对经开区内的企业进行协调和有关服务工作。</w:t>
            </w:r>
          </w:p>
          <w:p>
            <w:pPr>
              <w:spacing w:line="300" w:lineRule="exact"/>
              <w:rPr>
                <w:rFonts w:ascii="仿宋_GB2312" w:hAnsi="宋体" w:eastAsia="仿宋_GB2312" w:cs="宋体"/>
                <w:szCs w:val="21"/>
              </w:rPr>
            </w:pPr>
            <w:r>
              <w:rPr>
                <w:rFonts w:hint="eastAsia" w:ascii="仿宋_GB2312" w:hAnsi="宋体" w:eastAsia="仿宋_GB2312" w:cs="宋体"/>
                <w:szCs w:val="21"/>
              </w:rPr>
              <w:t>（11）负责协调有关部门在开发区设立的机构的工作。</w:t>
            </w:r>
          </w:p>
          <w:p>
            <w:pPr>
              <w:spacing w:line="300" w:lineRule="exact"/>
              <w:rPr>
                <w:rFonts w:ascii="仿宋_GB2312" w:hAnsi="宋体" w:eastAsia="仿宋_GB2312" w:cs="宋体"/>
                <w:szCs w:val="21"/>
              </w:rPr>
            </w:pPr>
            <w:r>
              <w:rPr>
                <w:rFonts w:hint="eastAsia" w:ascii="仿宋_GB2312" w:hAnsi="宋体" w:eastAsia="仿宋_GB2312" w:cs="宋体"/>
                <w:szCs w:val="21"/>
              </w:rPr>
              <w:t>（12）承办市委、市政府交办的其他工作，及其受托管理的县委、县政府交办的工作。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绩效完成情况</w:t>
            </w: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部门整体支出管理和使用基本情况</w:t>
            </w:r>
          </w:p>
        </w:tc>
        <w:tc>
          <w:tcPr>
            <w:tcW w:w="5670" w:type="dxa"/>
          </w:tcPr>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2021年度天易经开区深入落实省委、市委、县委的任务目标，全力以赴创建工业产值千亿园区和国家级经开区，突出“招商引资、项目建设、产业发展”三个重点，全力推进园区经济社会高质量发展。</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一、发展规划与年度计划</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1、发展规划</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坚持发展是第一要务，以提高发展质量和效益为中心，抢抓“一带一部”、长株潭城市群融合发展的战略机遇，以一流园区、两型典范为目标，以招商引资、协同、发展为主线,以项目建设、自主创新为抓手,以智慧城市、宜居家园为依托,以产业升级、重点工程为路径，围绕“千亿园区、宜居新城”，努力打造长株潭协调发展的副城区、两型产业融合的示范区、生态环境优美的滨江新城，争创国家级经济技术开发区。</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2、年度计划</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紧紧围绕工管委的决策部署，牢固树立“四个意识”，发挥“服务决策的外脑、展示形象的窗口、协调各方的纽带”的三大作用，推动园区各项工作有序开展。</w:t>
            </w:r>
          </w:p>
          <w:p>
            <w:pPr>
              <w:spacing w:line="300" w:lineRule="exact"/>
              <w:ind w:firstLine="420" w:firstLineChars="200"/>
            </w:pPr>
            <w:r>
              <w:rPr>
                <w:rFonts w:hint="eastAsia"/>
              </w:rPr>
              <w:t>一、预算情况</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1、年初预算情况</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2021年，经开区年初预算数为</w:t>
            </w:r>
            <w:r>
              <w:rPr>
                <w:rFonts w:hint="eastAsia" w:ascii="仿宋_GB2312" w:hAnsi="宋体" w:eastAsia="仿宋_GB2312" w:cs="宋体"/>
                <w:szCs w:val="21"/>
                <w:lang w:val="en-US" w:eastAsia="zh-CN"/>
              </w:rPr>
              <w:t>34</w:t>
            </w:r>
            <w:r>
              <w:rPr>
                <w:rFonts w:hint="eastAsia" w:ascii="仿宋_GB2312" w:hAnsi="宋体" w:eastAsia="仿宋_GB2312" w:cs="宋体"/>
                <w:szCs w:val="21"/>
              </w:rPr>
              <w:t>4,535.00万元，(包括财政预算拨款24,000.00万元，政府性基金拨款320,535.00万元</w:t>
            </w:r>
            <w:r>
              <w:rPr>
                <w:rFonts w:hint="eastAsia" w:ascii="仿宋_GB2312" w:hAnsi="宋体" w:eastAsia="仿宋_GB2312" w:cs="宋体"/>
                <w:szCs w:val="21"/>
                <w:lang w:eastAsia="zh-CN"/>
              </w:rPr>
              <w:t>，</w:t>
            </w:r>
            <w:r>
              <w:rPr>
                <w:rFonts w:hint="eastAsia" w:ascii="仿宋_GB2312" w:hAnsi="宋体" w:eastAsia="仿宋_GB2312" w:cs="宋体"/>
                <w:szCs w:val="21"/>
              </w:rPr>
              <w:t>),其中：基本支出1,811.00万元，项目支出</w:t>
            </w:r>
            <w:r>
              <w:rPr>
                <w:rFonts w:hint="eastAsia" w:ascii="仿宋_GB2312" w:hAnsi="宋体" w:eastAsia="仿宋_GB2312" w:cs="宋体"/>
                <w:szCs w:val="21"/>
                <w:lang w:val="en-US" w:eastAsia="zh-CN"/>
              </w:rPr>
              <w:t>34</w:t>
            </w:r>
            <w:r>
              <w:rPr>
                <w:rFonts w:hint="eastAsia" w:ascii="仿宋_GB2312" w:hAnsi="宋体" w:eastAsia="仿宋_GB2312" w:cs="宋体"/>
                <w:szCs w:val="21"/>
              </w:rPr>
              <w:t>2,724.00万元。</w:t>
            </w:r>
            <w:r>
              <w:rPr>
                <w:rFonts w:hint="eastAsia" w:ascii="仿宋_GB2312" w:hAnsi="宋体" w:eastAsia="仿宋_GB2312" w:cs="宋体"/>
                <w:szCs w:val="21"/>
                <w:lang w:val="en-US" w:eastAsia="zh-CN"/>
              </w:rPr>
              <w:t>年中追加专项债预算6,0000万元。</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2、年度部门预算收支情况</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2021年预算收入342,570.97万元，2021年预算支出342,526.47万元，转结余分配44.50万元,年末无结余。</w:t>
            </w:r>
          </w:p>
          <w:p>
            <w:pPr>
              <w:spacing w:line="300" w:lineRule="exact"/>
              <w:ind w:firstLine="420" w:firstLineChars="200"/>
            </w:pPr>
            <w:r>
              <w:rPr>
                <w:rFonts w:hint="eastAsia" w:ascii="仿宋_GB2312" w:hAnsi="宋体" w:eastAsia="仿宋_GB2312" w:cs="宋体"/>
                <w:szCs w:val="21"/>
              </w:rPr>
              <w:t>3、</w:t>
            </w:r>
            <w:r>
              <w:rPr>
                <w:rFonts w:hint="eastAsia"/>
              </w:rPr>
              <w:t>30万以上的项目性专项情况</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(1)财政科技支出专项</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财政科技支出专项是对天易经开区园区内企业产业发展、科技创新进行扶持的专项资金拨款。2021年预算资金5,100.00万元，实际支出1,356.34万元，23家企业通过全年第一批高新技术企业认定，全年新增高企15家，有效高企达到80家。1-11月份，园区发明专利授权量14件，超过2020年发明专利授权量，发明专利年拥有量总数达到132件，完成技术合同成交额10亿元以上。</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(2)信访维稳专项</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信访维稳专项是为了更好地推进特殊疑难信访问题的解决、维护社会和谐稳定，服务地方经济高质量发展而设立。2021年预算资金820.00万元，实际支出620.40万元，今年强化源头治理，推进信访“最多访一次”改革，共接待群众来访约1621人次，其中群访95批次，及时、就地解决好群众的合理合法诉求实现来访总量持续下降；各类信访案件严格规范办理流程，注重与信访人的沟通交流，办理满意度明显提升。</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(3)环保专项</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环保专项2021年度预算收入100.00万元，实际支出74.09万元。今年，加强绿心地区违法违规行为的监管。采取定期和不定期的巡查形式，对生态绿心地区实施动态监管；编制了《长株潭城市群生态绿心地区湘潭易俗河片区规划》；完成辖区内绿心范围内界牌界桩的制定和安装，并通过省里验收。组织申报绿心准入项目2个，其中碧桂园南测洼地生态修复项目正按准入要求实施。原八角村矽砂矿生态修复项目按造林标准进行复绿造林，取得了较好的生态修复效果。</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(4)招商专项</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招商专项2021年度预算收入400.00万元，实际支出222.61万元。今年以来，共引进项目61个，其中包括皇爷二期、汇洋软包装等亿元以上项目10个；百万千瓦智慧能源系统建设项目等10亿元以上项目4个；国电电力和北控水务“三类500强”背景企业2家。围绕食品医药产业链，引进了40多家食品企业入驻佳海食品医药产业园。围绕新材料产业，引进了汇洋包装、飞欧特新材料、创一工业新材料等项目。预计全年，实际利用内资86.96亿元，外资98458万元，进出口额218815万元。三项总量预计都是排全市二类园区第一。</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(5)市政物流园PPP项目</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市政物流园PPP项目是根据《市政工程PPP项目合同》的约定，明确社会资本方在项目中的建设、运营、移交责任，为防止出现政府方支出责任固化的违规行为，经对天易经开区物流园市政工程开展绩效考核后，严格按效付费的财政支出，2021年度预算收入12,681.00万元，实际支出9,873.65万元。项目已列入3+5城市群核心区交通综合建设规划快速路网五纵五横四环中，属于湘潭二环及湘潭二环与株洲环中的一横。同时本项目也是天易经开区物流园项目的一条重要配套专线。目前，项目处于运营期，根据项目公司编制的运营维护方案，经过对道路保洁、排水设施维护、道路绿化维护、路灯维修、道路维护等方面进行绩效考核均达到合同约定标准。对天易经开区经济和社会发展，完善东西交通的通道起到了保障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绩效目标完成情况</w:t>
            </w:r>
          </w:p>
        </w:tc>
        <w:tc>
          <w:tcPr>
            <w:tcW w:w="5670" w:type="dxa"/>
          </w:tcPr>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（一）预算执行绩效分析</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1．预算调整率</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2021年初预算数为344,535.00万元，年中预算内调整政府专项债60,000.00万元（为政府临时交办），年末决算344,535.00万元，预算调整率为0。</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2．基本支出控制率</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2021年度基本支出预算数为1,811.00万元，实际基本支出1,722.74万元。基本支出预算控制率95.13%。</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3．项目支出预算控制率</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202</w:t>
            </w:r>
            <w:r>
              <w:rPr>
                <w:rFonts w:hint="eastAsia" w:ascii="仿宋_GB2312" w:hAnsi="宋体" w:eastAsia="仿宋_GB2312" w:cs="宋体"/>
                <w:szCs w:val="21"/>
                <w:lang w:val="en-US" w:eastAsia="zh-CN"/>
              </w:rPr>
              <w:t>1</w:t>
            </w:r>
            <w:r>
              <w:rPr>
                <w:rFonts w:hint="eastAsia" w:ascii="仿宋_GB2312" w:hAnsi="宋体" w:eastAsia="仿宋_GB2312" w:cs="宋体"/>
                <w:szCs w:val="21"/>
              </w:rPr>
              <w:t>年度项目支出预算数为342,724.00万元，安排项目26个,实际项目支出340,803.71万元，支出项目27个，项目支出预算控制率99.44%。</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4、“三公”经费情况</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2021年度“三公经费”预算数55.4万元，实际支出数48.59万元，“三公经费”控制率87.71%。</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（二）预算管理绩效分析</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2021年天易经开区为贯彻落实好党中央国务院关于全面实施预算绩效管理的意见的决策部署，根据湘潭县财政局预算绩效管理工作安排，开展了年度内预算资金绩效目标管理、绩效跟踪监控和绩效评价工作；对预算绩效管理实行全覆盖，实现预算和绩效管理一体化，着力于提高财政资源配置效率和使用效益，持续推进“全方位、全过程、全覆盖”的绩效管理机制。</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（三）预算产出与效果绩效评价指标分析</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1.主要经济指标完成情况</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2021年，园区经济指标平稳增长。园区技工贸总收入1194亿元，增长10.1%；工业总产值857.1亿元，增长12.1%；规模工业总产值695.7亿元，增长23.2%，总量占全县83.7%，增速高于全县2.9个百分点；规模工业增加值201.1亿元，增长12.5%左右；全年新增规模工业企业18家；固定资产投资大口径215.2亿元，增长12.8%，小口径150亿元，增长28.1%，总量占全县52.7%，增速高于全县14个百分点。园区各项指标为全县乃至全市的经济发展提供了有力支撑。</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2.争项争资成绩斐然。</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2021年，围绕保障性安居工程专项、排水设施建设专项等几个方向进行项目包装。其中保障性安居工程分三批次下达5个项目共计4681万元资金；排水设施建设专项获批资金1401万元；省预算内基本建设投资专项，获批资金760万元；生态环境突出问题整改专项，成功获批资金2030万元。全年，园区项目或企业已获得发改口下达资金1.1233亿元，其中为园区管委会和天易发展集团争取项目资金8712万元。湖南康宁达医疗等21家企业获省工信项目奖补资金1528万元，德天润包装等14家企业获市工信项目奖补资金113万元；伍子醉食品等50家企业获省科技项目奖补资金697.63万元；天顺地铁等33家获市科技项目奖补资金226万元。</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3.项目建设强力推进。</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2021年，园区共铺排重点工程项目55个，年计划投资63.4亿元，至12月底竣工项目19个。其中市重点工程项目31个，年计划投资66.16亿，全年累计完成投资91.41亿，完成年计划138.2%；已开工或续建项目27个，开复工率100%；已竣工项目14个；省重点项目1个，年计划8亿，全年累计完成投资14.4亿，完成年计划180%。牵头开展“奋力奔跑 合力攻坚”项目竞赛活动，出台《天易经开区“迈好第一步项目论英雄”竞赛活动方案》，共梳理了39个竞赛项目，明确了各部门、各企业单位的责任，坚持定期调度，以竞赛活动助推项目建设。全年，园区预计完成产业投资160亿元，占固定资产投资80%。</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4.企业科技创新能力明显提升。</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预计全年研发投入完成14亿元，占GDP比重达2.8，成功组织144家规模企业完成2020年统计年报研发费用的报送工作，达到94%填报率，超额完成90%的填报率目标任务；共组织38家企业开展高新技术企业首次申报和复审，新引进高企2家（湖南盈晟电子科技有限公司、湖南通成机械有限公司），全年新增高企15家，园区有效高企总数达80家；全年完成技术合同交易额8亿元，占全县目标任务的80%；宝峰炉料、信诺颜料、傲派自动化、飞山奇、杰萃生物、特种线缆、傲农生物等6家企业新获评为省级“专精特新”小巨人，市电机车厂、力威液压等2家企业获评为国家级小巨人，园区省级以上“专精特新”小巨人累计16家；可菲生物成功获评湘潭市工程技术研究中心、湘潭市企业技术中心。</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5.行政审批服务优化提速。</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2021年继续推行企业投资项目备案“当场办理”制度，全年共完成106个项目立项，其中政府投资项目29个，社会投资项目备案77个，总投资202.63亿元。</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6.“两型”工作有效开展。</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加强绿心地区违法违规行为的监管。采取定期和不定期的巡查形式，对生态绿心地区实施动态监管；督促自然资源、林业、行政执法局等具有行政执法权的单位落实部门责任；每月15日、30日定期对生态绿心地区进行跟踪航拍，及时掌握绿心动态，及时反馈信息。编制了《长株潭城市群生态绿心地区湘潭易俗河片区规划》；完成辖区内绿心范围内界牌界桩的制定和安装，并通过省里验收。做好绿心违法违规项目（行为）查处及整改工作，完成市省生态环境保护督察“回头看”整改销号工作，同时做好绿心地区县政府督查交办、县生环办交办、环保志愿者巡查交办等事项共计九项。严格绿心项目准入，有序推进生态修复、生态治理项目实施。组织申报绿心准入项目2个，其中碧桂园南测洼地生态修复项目正按准入要求实施。原八角村矽砂矿生态修复项目园区投入423万元，按造林标准进行复绿造林，取得了较好的生态修复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存在的问题分析及改进措施</w:t>
            </w: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存在的问题</w:t>
            </w:r>
          </w:p>
        </w:tc>
        <w:tc>
          <w:tcPr>
            <w:tcW w:w="5670" w:type="dxa"/>
            <w:vAlign w:val="center"/>
          </w:tcPr>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1．预算绩效目标和定量指标的制定不够准确和全面。</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绩效目标申报表和监控表的指标设置科学性不够，未与本年度部门整体资金量相匹配，不能准确全面反映部门整体支出的实际实施效果。</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2．部分预算资金执行有效性不高。</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2021年部门预算部分专项资金支出进度偏低，控制力度不足，特别是项目受阻的情况下，没有根据实际情况对预算进行必要调整，延伸性监管不到位。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改进措施</w:t>
            </w:r>
          </w:p>
        </w:tc>
        <w:tc>
          <w:tcPr>
            <w:tcW w:w="5670" w:type="dxa"/>
          </w:tcPr>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1.不断提高预算管理水平，督促基层部门开展预算绩效管理工作，从具体业务方面入手，制定适合部门支出特点的绩效指标。</w:t>
            </w:r>
          </w:p>
          <w:p>
            <w:pPr>
              <w:spacing w:line="300" w:lineRule="exact"/>
              <w:ind w:firstLine="420" w:firstLineChars="200"/>
              <w:rPr>
                <w:rFonts w:ascii="仿宋_GB2312" w:hAnsi="宋体" w:eastAsia="仿宋_GB2312" w:cs="宋体"/>
                <w:szCs w:val="21"/>
              </w:rPr>
            </w:pPr>
            <w:r>
              <w:rPr>
                <w:rFonts w:hint="eastAsia" w:ascii="仿宋_GB2312" w:hAnsi="宋体" w:eastAsia="仿宋_GB2312" w:cs="宋体"/>
                <w:szCs w:val="21"/>
              </w:rPr>
              <w:t>2．积极主动作为，根据预算分解方案，监控预算执行进度和执行情况，资金使用单位应及时反馈项目实际情况，使主管部门及早对预算安排进行必要调整，避免资金闲置，提高公共预算资金使用效益。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其他需要说明问题</w:t>
            </w:r>
          </w:p>
        </w:tc>
        <w:tc>
          <w:tcPr>
            <w:tcW w:w="5670" w:type="dxa"/>
            <w:vAlign w:val="center"/>
          </w:tcPr>
          <w:p>
            <w:pPr>
              <w:spacing w:line="576" w:lineRule="exact"/>
              <w:ind w:right="880" w:rightChars="419"/>
              <w:jc w:val="center"/>
              <w:rPr>
                <w:rFonts w:ascii="仿宋_GB2312" w:hAnsi="宋体" w:eastAsia="仿宋_GB2312" w:cs="宋体"/>
                <w:szCs w:val="21"/>
              </w:rPr>
            </w:pPr>
            <w:r>
              <w:rPr>
                <w:rFonts w:hint="eastAsia" w:ascii="仿宋_GB2312" w:hAnsi="宋体" w:eastAsia="仿宋_GB2312" w:cs="宋体"/>
                <w:szCs w:val="21"/>
              </w:rPr>
              <w:t>无</w:t>
            </w:r>
          </w:p>
        </w:tc>
      </w:tr>
    </w:tbl>
    <w:p>
      <w:pPr>
        <w:widowControl/>
        <w:jc w:val="left"/>
        <w:rPr>
          <w:rFonts w:ascii="仿宋_GB2312" w:hAnsi="黑体" w:eastAsia="仿宋_GB2312" w:cs="黑体"/>
          <w:color w:val="000000"/>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_GBK">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167A"/>
    <w:rsid w:val="00037730"/>
    <w:rsid w:val="000C2846"/>
    <w:rsid w:val="00104A5A"/>
    <w:rsid w:val="00124D3C"/>
    <w:rsid w:val="001A0611"/>
    <w:rsid w:val="001B6365"/>
    <w:rsid w:val="001F7C66"/>
    <w:rsid w:val="00214C27"/>
    <w:rsid w:val="00232C1B"/>
    <w:rsid w:val="0029114D"/>
    <w:rsid w:val="003A5243"/>
    <w:rsid w:val="003F3966"/>
    <w:rsid w:val="0044384F"/>
    <w:rsid w:val="0058167A"/>
    <w:rsid w:val="005B0226"/>
    <w:rsid w:val="006C581B"/>
    <w:rsid w:val="00760A6C"/>
    <w:rsid w:val="007C13D4"/>
    <w:rsid w:val="008032A6"/>
    <w:rsid w:val="00885FCE"/>
    <w:rsid w:val="00922F1A"/>
    <w:rsid w:val="009668B9"/>
    <w:rsid w:val="00967FED"/>
    <w:rsid w:val="00A12399"/>
    <w:rsid w:val="00B26AF0"/>
    <w:rsid w:val="00B623E0"/>
    <w:rsid w:val="00B81E9A"/>
    <w:rsid w:val="00CE1CB5"/>
    <w:rsid w:val="00CE4F2A"/>
    <w:rsid w:val="00D36EEF"/>
    <w:rsid w:val="00D521B4"/>
    <w:rsid w:val="00DD531E"/>
    <w:rsid w:val="00F37526"/>
    <w:rsid w:val="00F43BB7"/>
    <w:rsid w:val="00F65BCC"/>
    <w:rsid w:val="00FF0491"/>
    <w:rsid w:val="3F5B587E"/>
    <w:rsid w:val="40113F45"/>
    <w:rsid w:val="4B654F99"/>
    <w:rsid w:val="4E914427"/>
    <w:rsid w:val="4F6B5EE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rFonts w:ascii="Times New Roman" w:hAnsi="Times New Roman" w:eastAsia="宋体" w:cs="Times New Roman"/>
      <w:sz w:val="18"/>
      <w:szCs w:val="18"/>
    </w:rPr>
  </w:style>
  <w:style w:type="character" w:customStyle="1" w:styleId="7">
    <w:name w:val="页脚 Char"/>
    <w:basedOn w:val="5"/>
    <w:link w:val="2"/>
    <w:semiHidden/>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5CA973-B0DB-4818-BC6A-68D67649C678}">
  <ds:schemaRefs/>
</ds:datastoreItem>
</file>

<file path=docProps/app.xml><?xml version="1.0" encoding="utf-8"?>
<Properties xmlns="http://schemas.openxmlformats.org/officeDocument/2006/extended-properties" xmlns:vt="http://schemas.openxmlformats.org/officeDocument/2006/docPropsVTypes">
  <Template>Normal.dotm</Template>
  <Pages>5</Pages>
  <Words>4394</Words>
  <Characters>4896</Characters>
  <Lines>35</Lines>
  <Paragraphs>9</Paragraphs>
  <TotalTime>0</TotalTime>
  <ScaleCrop>false</ScaleCrop>
  <LinksUpToDate>false</LinksUpToDate>
  <CharactersWithSpaces>4897</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2021-05-20T03:24:00Z</dcterms:created>
  <dc:creator>XYDN</dc:creator>
  <cp:lastModifiedBy>言西早</cp:lastModifiedBy>
  <dcterms:modified xsi:type="dcterms:W3CDTF">2022-05-31T06:59:11Z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A377D6EA274B468D94EE4807DEA5BC21</vt:lpwstr>
  </property>
</Properties>
</file>