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黑体" w:hAnsi="仿宋" w:eastAsia="黑体" w:cs="方正小标宋简体"/>
          <w:sz w:val="44"/>
          <w:szCs w:val="44"/>
        </w:rPr>
      </w:pPr>
      <w:r>
        <w:rPr>
          <w:rFonts w:hint="eastAsia" w:ascii="黑体" w:hAnsi="仿宋" w:eastAsia="黑体" w:cs="方正小标宋简体"/>
          <w:sz w:val="44"/>
          <w:szCs w:val="44"/>
        </w:rPr>
        <w:t>湘潭县202</w:t>
      </w:r>
      <w:r>
        <w:rPr>
          <w:rFonts w:ascii="黑体" w:hAnsi="仿宋" w:eastAsia="黑体" w:cs="方正小标宋简体"/>
          <w:sz w:val="44"/>
          <w:szCs w:val="44"/>
        </w:rPr>
        <w:t>1</w:t>
      </w:r>
      <w:r>
        <w:rPr>
          <w:rFonts w:hint="eastAsia" w:ascii="黑体" w:hAnsi="仿宋" w:eastAsia="黑体" w:cs="方正小标宋简体"/>
          <w:sz w:val="44"/>
          <w:szCs w:val="44"/>
        </w:rPr>
        <w:t>年度非税执收成本</w:t>
      </w:r>
    </w:p>
    <w:p>
      <w:pPr>
        <w:spacing w:line="576" w:lineRule="exact"/>
        <w:jc w:val="center"/>
        <w:rPr>
          <w:rFonts w:ascii="黑体" w:hAnsi="仿宋" w:eastAsia="黑体" w:cs="方正小标宋简体"/>
          <w:szCs w:val="32"/>
        </w:rPr>
      </w:pPr>
      <w:r>
        <w:rPr>
          <w:rFonts w:hint="eastAsia" w:ascii="黑体" w:hAnsi="仿宋" w:eastAsia="黑体" w:cs="方正小标宋简体"/>
          <w:bCs/>
          <w:sz w:val="44"/>
          <w:szCs w:val="44"/>
        </w:rPr>
        <w:t>项目支出绩效评价报告</w:t>
      </w: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77"/>
        <w:gridCol w:w="6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部门概况</w:t>
            </w:r>
          </w:p>
        </w:tc>
        <w:tc>
          <w:tcPr>
            <w:tcW w:w="1677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项目名称</w:t>
            </w:r>
          </w:p>
        </w:tc>
        <w:tc>
          <w:tcPr>
            <w:tcW w:w="6120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湘潭县非税执收成本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年度预算金额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89万元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项目主管部门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湘潭县住房和城乡建设局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项目立项目的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 w:cs="方正小标宋简体"/>
                <w:sz w:val="24"/>
              </w:rPr>
              <w:t>通过绩效评价有利于科学、合理的本单位的非税执收成本，保障本单位保障我局非税执收工作能正常运转，维护单位的稳定发展、建筑市场秩序。使单位能正常运转，维护单位的稳定发展。充分调动执行单位积极性。规避“以收定支”编制预算的弊端，有利于财政统筹安排非税收入。保障我局非税执收工作能正常运转，维护单位的稳定发展、建筑市场秩序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绩效情况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项目支出管理和使用基本情况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、资金到位情况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湘潭县非税执收经费项目安排的财政资金为89万元，资金已全部由湘潭县财政局拨付至湘潭县住房和城乡建设局，项目资金到位率</w:t>
            </w:r>
            <w:r>
              <w:rPr>
                <w:rFonts w:ascii="仿宋_GB2312" w:hAnsi="仿宋" w:eastAsia="仿宋_GB2312" w:cs="方正小标宋简体"/>
                <w:sz w:val="24"/>
              </w:rPr>
              <w:t>100 %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、资金使用情况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截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至</w:t>
            </w:r>
            <w:r>
              <w:rPr>
                <w:rFonts w:ascii="仿宋_GB2312" w:hAnsi="仿宋" w:eastAsia="仿宋_GB2312" w:cs="方正小标宋简体"/>
                <w:sz w:val="24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21年</w:t>
            </w:r>
            <w:r>
              <w:rPr>
                <w:rFonts w:ascii="仿宋_GB2312" w:hAnsi="仿宋" w:eastAsia="仿宋_GB2312" w:cs="方正小标宋简体"/>
                <w:sz w:val="24"/>
              </w:rPr>
              <w:t>12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31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日，</w:t>
            </w:r>
            <w:r>
              <w:rPr>
                <w:rFonts w:ascii="仿宋_GB2312" w:hAnsi="仿宋" w:eastAsia="仿宋_GB2312" w:cs="方正小标宋简体"/>
                <w:sz w:val="24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21年度非税执收经费专项资金计支出</w:t>
            </w:r>
            <w:r>
              <w:rPr>
                <w:rFonts w:ascii="仿宋_GB2312" w:hAnsi="仿宋" w:eastAsia="仿宋_GB2312" w:cs="方正小标宋简体"/>
                <w:sz w:val="24"/>
              </w:rPr>
              <w:t>281.92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万元。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                                                        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、资金管理情况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了更好地加强对非税执收经费项目管理，我单位严格遵照《湖南省非税收入管理条例》、《湘潭县建设工程项目报建综合收费的暂行改动的通知》、《湘潭县人民政府关于进一步加快小城镇建设发展的若干意见》、《湖南省城乡建设档案利用技术服务收费管理办法》等文件精神和相关制度对资金进行管理使用，没有不合规、虚列项目支出、无截留。挤占。挪用项目资金情况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4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、项目组织和管理情况</w:t>
            </w:r>
          </w:p>
          <w:p>
            <w:pPr>
              <w:spacing w:line="576" w:lineRule="exact"/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为了更好地加强对项目的管理，特地成立了工作领导小组，项目实行了岗位分工责任制，对项目的实施分工明确，各司其职。</w:t>
            </w:r>
            <w: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项目绩效目标完成情况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根据《湘潭县财政局关于做好2022年度财政支出绩效自评工作的通知》（潭财函1号）、《湘潭县2022年度预算绩效管理工作方案》（潭财发〔2022〕9号）以及《湘潭县2022年度预算绩效管理工作考核办法》的通知（潭财发〔2022〕10号）的文件精神要求，我局召开了相关工作会议，对专项资金绩效评价工作进行了专题部署，成立了以分管副局长康健明为组长，局计财股股长贺武阳为副组长，相关工作人员为成员的绩效自评小组，制定了《202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年度非税执行经费项目绩效自评工作方案》，按照其实施步骤开展自评工作。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自评小组对项目实施情况进行了绩效自评，并设定了绩效评价指标，走访了二级机构及各乡镇进行摸底问答。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评价工作完成后，相关业务股室根据绩效评价结果，总结资金管理经验，发现资金管理中存在问题，为提高专项资金的使用效益，加强财政支出的规划性管理，健全和完善支出项目和资金使用办法管理，完善预算编制，为绩效目标管理和绩效考核工作提供重要的参考依据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湘潭县非税收执收经费项目到位资金为89万元，实际支出为</w:t>
            </w:r>
            <w:r>
              <w:rPr>
                <w:rFonts w:ascii="仿宋_GB2312" w:hAnsi="仿宋" w:eastAsia="仿宋_GB2312" w:cs="方正小标宋简体"/>
                <w:sz w:val="24"/>
              </w:rPr>
              <w:t>281.92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万元，本年度预算完成率</w:t>
            </w:r>
            <w:r>
              <w:rPr>
                <w:rFonts w:ascii="仿宋_GB2312" w:hAnsi="仿宋" w:eastAsia="仿宋_GB2312" w:cs="方正小标宋简体"/>
                <w:sz w:val="24"/>
              </w:rPr>
              <w:t>316.76%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项目按照年初计划开展，2021年，我县征收的非税收执收经费全额上缴国库，纳入非税管理。县住建局根据文件政策和乡镇申报的工程项目，对综合报建费基础设施配套及罚没款按乡镇申请返还数据 (实际收入的70%)拨付给所在乡镇。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2021年非税执收经费项目的目标基本已实现，其具体完成情况如下：</w:t>
            </w:r>
          </w:p>
          <w:tbl>
            <w:tblPr>
              <w:tblStyle w:val="4"/>
              <w:tblW w:w="5000" w:type="pct"/>
              <w:tblInd w:w="0" w:type="dxa"/>
              <w:tblBorders>
                <w:top w:val="single" w:color="000000" w:sz="12" w:space="0"/>
                <w:left w:val="single" w:color="000000" w:sz="12" w:space="0"/>
                <w:bottom w:val="single" w:color="000000" w:sz="12" w:space="0"/>
                <w:right w:val="single" w:color="000000" w:sz="12" w:space="0"/>
                <w:insideH w:val="single" w:color="000000" w:sz="6" w:space="0"/>
                <w:insideV w:val="single" w:color="000000" w:sz="6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04"/>
              <w:gridCol w:w="1270"/>
            </w:tblGrid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12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center"/>
                    <w:rPr>
                      <w:rFonts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/>
                      <w:sz w:val="21"/>
                      <w:szCs w:val="21"/>
                    </w:rPr>
                    <w:t>项  目</w:t>
                  </w:r>
                </w:p>
              </w:tc>
              <w:tc>
                <w:tcPr>
                  <w:tcW w:w="1081" w:type="pct"/>
                  <w:tcBorders>
                    <w:top w:val="single" w:color="000000" w:sz="12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center"/>
                    <w:rPr>
                      <w:rFonts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/>
                      <w:sz w:val="21"/>
                      <w:szCs w:val="21"/>
                    </w:rPr>
                    <w:t>金额（万元）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exact"/>
                    <w:ind w:firstLine="0" w:firstLineChars="0"/>
                    <w:rPr>
                      <w:rFonts w:hAnsi="宋体"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sz w:val="21"/>
                      <w:szCs w:val="21"/>
                    </w:rPr>
                    <w:t>河口镇</w:t>
                  </w:r>
                  <w:r>
                    <w:rPr>
                      <w:rFonts w:hAnsi="宋体"/>
                      <w:sz w:val="21"/>
                      <w:szCs w:val="21"/>
                    </w:rPr>
                    <w:t>2020年报建费返还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sz w:val="21"/>
                      <w:szCs w:val="21"/>
                    </w:rPr>
                  </w:pPr>
                  <w:r>
                    <w:rPr>
                      <w:rFonts w:hAnsi="宋体"/>
                      <w:sz w:val="21"/>
                      <w:szCs w:val="21"/>
                    </w:rPr>
                    <w:t>84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exact"/>
                    <w:ind w:firstLine="0" w:firstLineChars="0"/>
                    <w:rPr>
                      <w:rFonts w:hAnsi="宋体"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sz w:val="21"/>
                      <w:szCs w:val="21"/>
                    </w:rPr>
                    <w:t>青山桥镇报建费返还（湖南花之王鞋业公司）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sz w:val="21"/>
                      <w:szCs w:val="21"/>
                    </w:rPr>
                  </w:pPr>
                  <w:r>
                    <w:rPr>
                      <w:rFonts w:hAnsi="宋体"/>
                      <w:sz w:val="21"/>
                      <w:szCs w:val="21"/>
                    </w:rPr>
                    <w:t>2.53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青山桥镇报建费返还（湘潭志高缘鞋业有限公司）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4.58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乌石镇农贸市场报建费返还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46.84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石潭镇报建费返还（湖南省益林竹业有限公司）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2.87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易俗河镇报建费返还（郭志慧、星熠燃气、杨光）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3.52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云湖桥镇报建费返还（彭纯、宋国良、陈玲华）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13.57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石潭镇报建费返还（石潭镇芙蓉学校）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6.57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易俗河镇新时代图文广告经营部打印费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7.39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杨嘉桥镇</w:t>
                  </w:r>
                  <w:r>
                    <w:rPr>
                      <w:rFonts w:hAnsi="宋体"/>
                      <w:bCs/>
                      <w:sz w:val="21"/>
                      <w:szCs w:val="21"/>
                    </w:rPr>
                    <w:t>2021年湖南湘水缘长生陵园公司及湘潭华南电机车有限公司报建费返还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26.33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花石镇谭剑及何敏等</w:t>
                  </w:r>
                  <w:r>
                    <w:rPr>
                      <w:rFonts w:hAnsi="宋体"/>
                      <w:bCs/>
                      <w:sz w:val="21"/>
                      <w:szCs w:val="21"/>
                    </w:rPr>
                    <w:t>21年报建费返还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54.17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lef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Cs/>
                      <w:sz w:val="21"/>
                      <w:szCs w:val="21"/>
                    </w:rPr>
                    <w:t>中路铺镇湘潭东之阳房产公司及立华牧业公司</w:t>
                  </w:r>
                  <w:r>
                    <w:rPr>
                      <w:rFonts w:hAnsi="宋体"/>
                      <w:bCs/>
                      <w:sz w:val="21"/>
                      <w:szCs w:val="21"/>
                    </w:rPr>
                    <w:t>21年报建费返还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Cs/>
                      <w:sz w:val="21"/>
                      <w:szCs w:val="21"/>
                    </w:rPr>
                  </w:pPr>
                  <w:r>
                    <w:rPr>
                      <w:rFonts w:hAnsi="宋体"/>
                      <w:bCs/>
                      <w:sz w:val="21"/>
                      <w:szCs w:val="21"/>
                    </w:rPr>
                    <w:t>29.55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3919" w:type="pct"/>
                  <w:tcBorders>
                    <w:top w:val="single" w:color="000000" w:sz="4" w:space="0"/>
                    <w:bottom w:val="single" w:color="000000" w:sz="12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center"/>
                    <w:rPr>
                      <w:rFonts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hAnsi="宋体"/>
                      <w:b/>
                      <w:sz w:val="21"/>
                      <w:szCs w:val="21"/>
                    </w:rPr>
                    <w:t>合</w:t>
                  </w:r>
                  <w:r>
                    <w:rPr>
                      <w:rFonts w:hAnsi="宋体"/>
                      <w:b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hint="eastAsia" w:hAnsi="宋体"/>
                      <w:b/>
                      <w:sz w:val="21"/>
                      <w:szCs w:val="21"/>
                    </w:rPr>
                    <w:t>计</w:t>
                  </w:r>
                </w:p>
              </w:tc>
              <w:tc>
                <w:tcPr>
                  <w:tcW w:w="108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12" w:space="0"/>
                  </w:tcBorders>
                  <w:vAlign w:val="center"/>
                </w:tcPr>
                <w:p>
                  <w:pPr>
                    <w:pStyle w:val="14"/>
                    <w:spacing w:line="360" w:lineRule="auto"/>
                    <w:ind w:firstLine="0" w:firstLineChars="0"/>
                    <w:jc w:val="right"/>
                    <w:rPr>
                      <w:rFonts w:hAnsi="宋体"/>
                      <w:b/>
                      <w:sz w:val="21"/>
                      <w:szCs w:val="21"/>
                    </w:rPr>
                  </w:pPr>
                  <w:r>
                    <w:rPr>
                      <w:rFonts w:hAnsi="宋体"/>
                      <w:b/>
                      <w:bCs/>
                      <w:sz w:val="21"/>
                      <w:szCs w:val="21"/>
                    </w:rPr>
                    <w:fldChar w:fldCharType="begin"/>
                  </w:r>
                  <w:r>
                    <w:rPr>
                      <w:rFonts w:hAnsi="宋体"/>
                      <w:b/>
                      <w:bCs/>
                      <w:sz w:val="21"/>
                      <w:szCs w:val="21"/>
                    </w:rPr>
                    <w:instrText xml:space="preserve"> =sum(B2:B13) \# "#,##0.00"  \* MERGEFORMAT </w:instrText>
                  </w:r>
                  <w:r>
                    <w:rPr>
                      <w:rFonts w:hAnsi="宋体"/>
                      <w:b/>
                      <w:bCs/>
                      <w:sz w:val="21"/>
                      <w:szCs w:val="21"/>
                    </w:rPr>
                    <w:fldChar w:fldCharType="separate"/>
                  </w:r>
                  <w:r>
                    <w:rPr>
                      <w:rFonts w:hAnsi="宋体"/>
                      <w:b/>
                      <w:bCs/>
                      <w:sz w:val="21"/>
                      <w:szCs w:val="21"/>
                    </w:rPr>
                    <w:t xml:space="preserve"> 281.92</w:t>
                  </w:r>
                  <w:r>
                    <w:rPr>
                      <w:rFonts w:hAnsi="宋体"/>
                      <w:b/>
                      <w:bCs/>
                      <w:sz w:val="21"/>
                      <w:szCs w:val="21"/>
                    </w:rPr>
                    <w:fldChar w:fldCharType="end"/>
                  </w:r>
                </w:p>
              </w:tc>
            </w:tr>
          </w:tbl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经统计，各服务对象对非税收执收经费项目整体满意度为9</w:t>
            </w:r>
            <w:r>
              <w:rPr>
                <w:rFonts w:ascii="仿宋_GB2312" w:hAnsi="仿宋" w:eastAsia="仿宋_GB2312" w:cs="方正小标宋简体"/>
                <w:sz w:val="24"/>
              </w:rPr>
              <w:t>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%。企业对本项目“保障了单位的日常工作顺利进行、职工基本生活得到了保障”的满意度为100%，对项目“调动职工积极性”的满意度为9</w:t>
            </w:r>
            <w:r>
              <w:rPr>
                <w:rFonts w:ascii="仿宋_GB2312" w:hAnsi="仿宋" w:eastAsia="仿宋_GB2312" w:cs="方正小标宋简体"/>
                <w:sz w:val="24"/>
              </w:rPr>
              <w:t>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%。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存在的问题分析及改进措施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本年度非税执收成本超支严重，说明我单位对辖区基建工程基本情况掌握不够，非税执收与预测严重不符。预测与实际情况相差太远必然影响年度工作安排的合理性，影响工作效率，降低服务对象好感度。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改进措施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将情况调查落到实处，必要的时候须现场调查取证，不能坐等情况汇报。应加强工作主动性，想群众所想，急群众所急，对辖区内情况掌握要深入、细化。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242" w:type="dxa"/>
            <w:vMerge w:val="continue"/>
            <w:tcBorders>
              <w:bottom w:val="single" w:color="auto" w:sz="12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其他需要说明问题</w:t>
            </w:r>
          </w:p>
        </w:tc>
        <w:tc>
          <w:tcPr>
            <w:tcW w:w="6120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I4ZTMxYTkyZGMxOTcxYmUwYmIwOGRlZDZmYjE5Y2YifQ=="/>
  </w:docVars>
  <w:rsids>
    <w:rsidRoot w:val="00AE59DC"/>
    <w:rsid w:val="000042B7"/>
    <w:rsid w:val="00010D17"/>
    <w:rsid w:val="000C0153"/>
    <w:rsid w:val="000D7F34"/>
    <w:rsid w:val="00110F7A"/>
    <w:rsid w:val="0012347E"/>
    <w:rsid w:val="001238E7"/>
    <w:rsid w:val="001B6834"/>
    <w:rsid w:val="002274ED"/>
    <w:rsid w:val="00257AC2"/>
    <w:rsid w:val="0031165E"/>
    <w:rsid w:val="003267F3"/>
    <w:rsid w:val="003B03B4"/>
    <w:rsid w:val="003E08C2"/>
    <w:rsid w:val="00417DA3"/>
    <w:rsid w:val="00433519"/>
    <w:rsid w:val="00436138"/>
    <w:rsid w:val="00451722"/>
    <w:rsid w:val="00457565"/>
    <w:rsid w:val="004673BF"/>
    <w:rsid w:val="004B40E3"/>
    <w:rsid w:val="004C1AD0"/>
    <w:rsid w:val="006011F3"/>
    <w:rsid w:val="00617F9F"/>
    <w:rsid w:val="00660967"/>
    <w:rsid w:val="006B1B7D"/>
    <w:rsid w:val="006B7232"/>
    <w:rsid w:val="00764593"/>
    <w:rsid w:val="00894D2B"/>
    <w:rsid w:val="008C5961"/>
    <w:rsid w:val="008F50FF"/>
    <w:rsid w:val="00905C09"/>
    <w:rsid w:val="00962D86"/>
    <w:rsid w:val="0096682C"/>
    <w:rsid w:val="009A3B54"/>
    <w:rsid w:val="009E2D16"/>
    <w:rsid w:val="00A22550"/>
    <w:rsid w:val="00A87580"/>
    <w:rsid w:val="00AC33EF"/>
    <w:rsid w:val="00AE59DC"/>
    <w:rsid w:val="00B01FFE"/>
    <w:rsid w:val="00B23DB8"/>
    <w:rsid w:val="00B27961"/>
    <w:rsid w:val="00C33766"/>
    <w:rsid w:val="00C37CF3"/>
    <w:rsid w:val="00CF3C95"/>
    <w:rsid w:val="00D0598A"/>
    <w:rsid w:val="00D1598E"/>
    <w:rsid w:val="00D37F88"/>
    <w:rsid w:val="00DE1E8F"/>
    <w:rsid w:val="00DE5725"/>
    <w:rsid w:val="00E0370D"/>
    <w:rsid w:val="00E56B08"/>
    <w:rsid w:val="00EE4F0D"/>
    <w:rsid w:val="00F54914"/>
    <w:rsid w:val="00F66026"/>
    <w:rsid w:val="00FA64BC"/>
    <w:rsid w:val="00FD2265"/>
    <w:rsid w:val="1E281E4D"/>
    <w:rsid w:val="1F8C5CCF"/>
    <w:rsid w:val="37CB5577"/>
    <w:rsid w:val="44854B7A"/>
    <w:rsid w:val="5CBF1E6A"/>
    <w:rsid w:val="6DC2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paragraph" w:customStyle="1" w:styleId="8">
    <w:name w:val="样式1"/>
    <w:basedOn w:val="9"/>
    <w:qFormat/>
    <w:uiPriority w:val="99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9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页眉 字符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rFonts w:ascii="仿宋_GB2312" w:hAns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1705</Words>
  <Characters>1824</Characters>
  <Lines>14</Lines>
  <Paragraphs>4</Paragraphs>
  <TotalTime>19</TotalTime>
  <ScaleCrop>false</ScaleCrop>
  <LinksUpToDate>false</LinksUpToDate>
  <CharactersWithSpaces>1888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2018-07-20T13:17:00Z</dcterms:created>
  <dc:creator>微软中国</dc:creator>
  <cp:lastModifiedBy>Administrator</cp:lastModifiedBy>
  <dcterms:modified xsi:type="dcterms:W3CDTF">2022-05-27T07:33:24Z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6D4EE82F7C33401AA3163F1A62B8830D</vt:lpwstr>
  </property>
</Properties>
</file>