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  <w:u w:val="single"/>
        </w:rPr>
      </w:pPr>
      <w:bookmarkStart w:id="0" w:name="_GoBack"/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招商专项项目支出绩效评价报告</w:t>
      </w:r>
      <w:bookmarkEnd w:id="0"/>
    </w:p>
    <w:tbl>
      <w:tblPr>
        <w:tblStyle w:val="4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招商专项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ascii="仿宋_GB2312" w:hAnsi="宋体" w:eastAsia="仿宋_GB2312" w:cs="宋体"/>
                <w:szCs w:val="32"/>
              </w:rPr>
              <w:t>400.00</w:t>
            </w:r>
            <w:r>
              <w:rPr>
                <w:rFonts w:hint="eastAsia" w:ascii="仿宋_GB2312" w:hAnsi="宋体" w:eastAsia="仿宋_GB2312" w:cs="宋体"/>
                <w:szCs w:val="3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湘潭天易经济开发区管理委员会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天易经开区为着力引进一批投资规模大、市场前景好、具有突出带动作用的重大项目，实现招商引资由“重数量”向“重质量”转变，助推招商项目尽快落地，设立专项资金用于保障招商活动的正常开展，促进招商引资目标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一、项目支出管理情况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（一）项目组织情况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湘潭天易经开区管委会是招商专项资金的主管部门，招商和商务局负责项目引进接待、洽谈、签约等相关服务工作；负责具体指导、协调、规范、促进招商引资工作。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（二）专项资金管理文件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针对招商专项资金，我区制定了专项资金相关管理文件，并严格按照文件规定执行，做到了专款专用、专账核算、财务审批流程健全规范、资金拨付手续齐全。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二、项目支出使用情况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2021年度，招商专项资金坚持招商引资“223”的目标导向和“抓大不放小、招商更扶商”的思路、坚持“招优引强、招才引智”的原则、坚持围绕园区主导产业开展“建链、强链、补链、延链”的模式，大力助推招商项目尽快落地。本年度实际使用项目资金222.61万元，预算完成率为55.65%，单位财务制度健全、会计核算规范、资金管理严格，无违规现象的发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一、项目产出完成情况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1、全年共引进招商引资大小项目61个。其中包括皇爷二期、汇洋软包装等亿元以上项目11个；百万千瓦智慧能源系统建设项目等十亿元以上项目4个；国电电力、第二污水厂等500强项目2个；亿元以下项目50个。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今年，市商务局对园区下达的任务指标数为：亿元以上项目12个，其中10亿元以上4个，其他亿元以上工业制造类8个；500强项目1个；总部经济1家。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目前，我区已完成亿元以上项目13个，其中10亿元以上项目4个，工业制造类9个，完成年度任务的108%；在引进500强项目方面，我区已申报认定500强项目2个，认定2个；在引进总部经济方面，认定4个项目。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市商务局对园区下达的任务指标数为：2019年-2020年省签、500强项目三率分别达到90%、80%、20%。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1-12月，我区2019年-2020年省签、500强项目三率分别达到100%、91.67%、56%，已完成年度目标。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2、锁定龙头优质企业。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今年以来，突出龙头企业、500强企业投资项目，重点对接了一批优质企业，目前泰山石膏项目和国电电力已与我县签订意向协议，泰山石膏项目已开始进行项目选址及正式投资协议洽谈。下阶段，将加快徐工集团旗下日牵集团等意向企业的对接，通过“招优引强”，高质量推进招商引资工程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3、紧扣主导产业链条。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围绕智能装备制造和汽车零配件产业链，积极跟进，成功签下数十家亿元以上项目，引进多家高端电机项目、电线电缆项目、铜铸件项目入驻产业园区，力促园区智能装备制造产业集聚效应不断增强。围绕食品医药产业链，除成功签下亿元以上项目外，还引进十余家食品项目入驻佳海产业园，助推园区食品产业进一步做大做强。围绕新材料产业，引进了汇洋包装、飞欧特新材料、创一工业新材料等，进一步壮大了新材料产业，使园区科技附加值逐步提升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4、聚焦新兴配套产业。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新兴优势配套产业在园区已形成较为雄厚的产业基础，聚焦了与中车、三一、中联、北汽等配套的零部件、新材料企业百余家，今年新引进一批新兴配套产业，且形成了一定规模。在此基础上，我局将积极对接其上下游企业，着手制定产业链“全景图、现状图”，积极完善“客商库”“项目库”“人才池”“资金池”，争取打造形成闭环的新兴优势产业配套产业链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二、项目效益完成情况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1、社会效益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2021年我区积极推进“三生（生产、生活、生态）融合、三态（规划形态、园区业态、产业生态）协同”，基础设施建设、产业发展、基本公共服务质效稳步提升。突出规划引领，统筹布局生产、生活、生态空间，构建生产经营和生活服务并举的产业配套体系，强化园区服务企业和项目的能力，建设好学校、医院、公园、电影院、图书馆、商业等生活配套设施和公共服务设施，解决了企业发展和人才成长的“后顾之忧”， 园区发展质量和效益持续提升，食品医药、智能装备智造和新材料三大主导产业保持良好发展态势。全年园区技工贸总收入1194亿元，增长10.1%；工业总产值857.1亿元，增长12.1%；规模工业总产值695.7亿元，增长23.2%，总量占全县83.7%，增速高于全县2.9个百分点；规模工业增加值201.1亿元，增长12.5%左右；全年新增规模工业企业18家；固定资产投资大口径215.2亿元，增长12.8%，小口径150亿元，增长28.1%，总量占全县52.7%，增速高于全县14个百分点。园区各项指标为全县乃至全市的经济发展提供了有力支撑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2、经济效益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1-12月份实际利用省外境内资金86.96亿元，完成全年目标任务的102.3%。1-12月份实际利用境外资金508万美元，完成年度任务254%。1-12月份完成进出口总额25.9亿元，完成全年目标任务的118.44%。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3、公众满意度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针对2021年度招商专项资金绩效自评我们设计了10个问题并随机向园区内企业发放了30份问卷调查表，经统计满意度为97%。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8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1、招商服务难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主要原因是招商队伍力量不足，力量过于单薄，给重点区域招商、重点人脉对接、重点项目跟进方面带来了较大的困难，在一定程度上削弱了招商项目跟进服务能力。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2、项目洽谈难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主要原因是招商过程中，许多项目需要提供熟地，但园区无法保障，客观上给项目洽谈增加了难度，造成项目难以引进。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3、合同履约难</w:t>
            </w:r>
          </w:p>
          <w:p>
            <w:pPr>
              <w:spacing w:line="300" w:lineRule="exact"/>
              <w:ind w:firstLine="200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诸多协议无法按期履约，对园区招商环境和形象造成不同程度的影响，主要原因是土地供给难以保障，造成投资方意见较大。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1.优化投资环境，提高服务水平。树立强烈的亲商意识，努力为客商营造一个高效的服务环境。</w:t>
            </w:r>
          </w:p>
          <w:p>
            <w:pPr>
              <w:spacing w:line="300" w:lineRule="exact"/>
              <w:ind w:firstLine="420" w:firstLineChars="20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2.破解土地瓶颈，保障项目建设用地需要。积极盘活土地存量，用好现在闲置土地、用好荒废土地，确保招商引资项目建设用地。</w:t>
            </w:r>
          </w:p>
          <w:p>
            <w:pPr>
              <w:spacing w:line="300" w:lineRule="exact"/>
              <w:ind w:firstLine="407" w:firstLineChars="194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3、加强项目跟踪，促进签约项目落地投产，强化重点推进项目和已落地项目的跟踪服务，实现以商引商为新一轮发展夯实后劲。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无</w:t>
            </w:r>
          </w:p>
        </w:tc>
      </w:tr>
    </w:tbl>
    <w:p>
      <w:pPr>
        <w:snapToGrid w:val="0"/>
        <w:spacing w:line="540" w:lineRule="exact"/>
        <w:rPr>
          <w:rFonts w:ascii="仿宋_GB2312" w:hAnsi="宋体" w:eastAsia="仿宋_GB2312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999"/>
    <w:rsid w:val="00005132"/>
    <w:rsid w:val="00023A8C"/>
    <w:rsid w:val="00052F75"/>
    <w:rsid w:val="001635EC"/>
    <w:rsid w:val="0039109F"/>
    <w:rsid w:val="00607C95"/>
    <w:rsid w:val="00637999"/>
    <w:rsid w:val="00815876"/>
    <w:rsid w:val="00857BF5"/>
    <w:rsid w:val="0093075D"/>
    <w:rsid w:val="0095362C"/>
    <w:rsid w:val="00956153"/>
    <w:rsid w:val="00A07533"/>
    <w:rsid w:val="00B62B3C"/>
    <w:rsid w:val="00BC29C2"/>
    <w:rsid w:val="00F13557"/>
    <w:rsid w:val="34B7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2338</Words>
  <Characters>2516</Characters>
  <Lines>18</Lines>
  <Paragraphs>5</Paragraphs>
  <TotalTime>176</TotalTime>
  <ScaleCrop>false</ScaleCrop>
  <LinksUpToDate>false</LinksUpToDate>
  <CharactersWithSpaces>2517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2022-05-18T03:25:00Z</dcterms:created>
  <dc:creator>XYDN</dc:creator>
  <cp:lastModifiedBy>言西早</cp:lastModifiedBy>
  <dcterms:modified xsi:type="dcterms:W3CDTF">2022-05-31T06:33:54Z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0593763CD8A747F68016230D7EF21D87</vt:lpwstr>
  </property>
</Properties>
</file>