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center"/>
        <w:rPr>
          <w:rFonts w:ascii="方正小标宋_GBK" w:hAnsi="方正小标宋_GBK" w:eastAsia="方正小标宋_GBK" w:cs="方正小标宋_GBK"/>
          <w:sz w:val="36"/>
          <w:szCs w:val="36"/>
          <w:u w:val="single"/>
        </w:rPr>
      </w:pPr>
      <w:bookmarkStart w:id="0" w:name="_GoBack"/>
      <w:r>
        <w:rPr>
          <w:rFonts w:hint="eastAsia" w:ascii="宋体" w:hAnsi="宋体" w:cs="仿宋_GB2312"/>
          <w:b/>
          <w:bCs/>
          <w:color w:val="000000"/>
          <w:kern w:val="0"/>
          <w:sz w:val="36"/>
          <w:szCs w:val="36"/>
        </w:rPr>
        <w:t>信访维稳专项项目支出绩效评价报告</w:t>
      </w:r>
    </w:p>
    <w:bookmarkEnd w:id="0"/>
    <w:tbl>
      <w:tblPr>
        <w:tblStyle w:val="4"/>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restart"/>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部门概况</w:t>
            </w: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专项名称</w:t>
            </w:r>
          </w:p>
        </w:tc>
        <w:tc>
          <w:tcPr>
            <w:tcW w:w="5670" w:type="dxa"/>
            <w:vAlign w:val="center"/>
          </w:tcPr>
          <w:p>
            <w:pPr>
              <w:spacing w:line="440" w:lineRule="exact"/>
              <w:jc w:val="center"/>
              <w:rPr>
                <w:rFonts w:ascii="仿宋_GB2312" w:hAnsi="宋体" w:eastAsia="仿宋_GB2312" w:cs="宋体"/>
                <w:szCs w:val="32"/>
              </w:rPr>
            </w:pPr>
            <w:r>
              <w:rPr>
                <w:rFonts w:hint="eastAsia" w:ascii="仿宋_GB2312" w:hAnsi="宋体" w:eastAsia="仿宋_GB2312" w:cs="宋体"/>
                <w:szCs w:val="32"/>
              </w:rPr>
              <w:t>信访维稳专项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年度预算金额</w:t>
            </w:r>
          </w:p>
        </w:tc>
        <w:tc>
          <w:tcPr>
            <w:tcW w:w="5670" w:type="dxa"/>
            <w:vAlign w:val="center"/>
          </w:tcPr>
          <w:p>
            <w:pPr>
              <w:spacing w:line="400" w:lineRule="exact"/>
              <w:jc w:val="center"/>
              <w:rPr>
                <w:rFonts w:ascii="仿宋_GB2312" w:hAnsi="宋体" w:eastAsia="仿宋_GB2312" w:cs="宋体"/>
                <w:szCs w:val="32"/>
              </w:rPr>
            </w:pPr>
            <w:r>
              <w:rPr>
                <w:rFonts w:ascii="仿宋_GB2312" w:hAnsi="宋体" w:eastAsia="仿宋_GB2312" w:cs="宋体"/>
                <w:szCs w:val="32"/>
              </w:rPr>
              <w:t>820.00</w:t>
            </w:r>
            <w:r>
              <w:rPr>
                <w:rFonts w:hint="eastAsia" w:ascii="仿宋_GB2312" w:hAnsi="宋体" w:eastAsia="仿宋_GB2312" w:cs="宋体"/>
                <w:szCs w:val="3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项目主管部门</w:t>
            </w:r>
          </w:p>
        </w:tc>
        <w:tc>
          <w:tcPr>
            <w:tcW w:w="5670" w:type="dxa"/>
            <w:vAlign w:val="center"/>
          </w:tcPr>
          <w:p>
            <w:pPr>
              <w:spacing w:line="400" w:lineRule="exact"/>
              <w:jc w:val="center"/>
              <w:rPr>
                <w:rFonts w:ascii="仿宋_GB2312" w:hAnsi="宋体" w:eastAsia="仿宋_GB2312" w:cs="宋体"/>
                <w:szCs w:val="32"/>
              </w:rPr>
            </w:pPr>
            <w:r>
              <w:rPr>
                <w:rFonts w:hint="eastAsia" w:ascii="仿宋_GB2312" w:hAnsi="宋体" w:eastAsia="仿宋_GB2312" w:cs="宋体"/>
                <w:szCs w:val="32"/>
              </w:rPr>
              <w:t>湘潭天易经济开发区管理委员会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项目立项目的</w:t>
            </w:r>
          </w:p>
        </w:tc>
        <w:tc>
          <w:tcPr>
            <w:tcW w:w="5670" w:type="dxa"/>
            <w:vAlign w:val="center"/>
          </w:tcPr>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为依法按照逐级走访规定，进一步压实基层基础，及时就地解决好群众的合理合法诉求，调和经开区园区及企业与周边村民突出的矛盾纠纷，不断提升满意度，切实履行好“为民解难、为党分忧”职责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restart"/>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绩效情况</w:t>
            </w: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项目支出管理和使用基本情况</w:t>
            </w:r>
          </w:p>
        </w:tc>
        <w:tc>
          <w:tcPr>
            <w:tcW w:w="5670" w:type="dxa"/>
            <w:vAlign w:val="center"/>
          </w:tcPr>
          <w:p>
            <w:pPr>
              <w:spacing w:line="300" w:lineRule="exact"/>
              <w:ind w:firstLine="420" w:firstLineChars="200"/>
              <w:rPr>
                <w:rFonts w:ascii="仿宋_GB2312" w:hAnsi="仿宋" w:eastAsia="仿宋_GB2312"/>
                <w:szCs w:val="21"/>
              </w:rPr>
            </w:pPr>
            <w:r>
              <w:rPr>
                <w:rFonts w:hint="eastAsia" w:ascii="仿宋_GB2312" w:hAnsi="仿宋" w:eastAsia="仿宋_GB2312"/>
                <w:szCs w:val="21"/>
              </w:rPr>
              <w:t>一、项目支出管理情况</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（一）项目组织情况</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湘潭天易经开区管委会是信访维稳专项资金的主管部门，群众工作中心负责信访维稳、社会治安综合治理等工作；落实上访案件的处理和办结；群访集访事件的处理。</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（二）专项资金管理文件</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针对信访维稳专项资金，我区制定了专项资金相关管理文件，并严格按照文件规定执行，做到了专款专用、专账核算、财务审批流程健全规范、资金拨付手续齐全。</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二、项目支出使用情况</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2021年度信访维稳专项资金预算820.00万元，项目支付内容包括拨付工作经费、困难补助款、补偿款、协调经费及日常工作经费，根据涉及内容的实际情况进行资金支付。专项资金拨付及时，无多头申报、重复安排的情况。</w:t>
            </w:r>
          </w:p>
          <w:p>
            <w:pPr>
              <w:spacing w:line="300" w:lineRule="exact"/>
              <w:ind w:firstLine="420" w:firstLineChars="200"/>
              <w:rPr>
                <w:rFonts w:ascii="仿宋_GB2312" w:hAnsi="宋体" w:eastAsia="仿宋_GB2312" w:cs="宋体"/>
                <w:szCs w:val="21"/>
              </w:rPr>
            </w:pPr>
            <w:r>
              <w:rPr>
                <w:rFonts w:hint="eastAsia" w:ascii="仿宋_GB2312" w:hAnsi="仿宋" w:eastAsia="仿宋_GB2312"/>
                <w:szCs w:val="21"/>
              </w:rPr>
              <w:t>本年度实际使用项目资金620.40万元，预算完成率为75.66%，主要用于支持易俗河镇信访维稳工作，以及经开区解决群众诉求，化解信访积案等各项工作的经费支出。单位财务制度健全、会计核算规范、资金管理严格，无违规现象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项目绩效目标完成情况</w:t>
            </w:r>
          </w:p>
        </w:tc>
        <w:tc>
          <w:tcPr>
            <w:tcW w:w="5670" w:type="dxa"/>
            <w:vAlign w:val="center"/>
          </w:tcPr>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一、项目产出完成情况</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1、来访总量持续下降。强化源头治理，推进信访“最多访一次”改革，共接待群众来访约1621人次，其中群访95批次，及时、就地解决好群众的合理合法诉求实现来访总量持续下降；果断处置了诸如小区规划、土地租赁、征拆、农田补产、环保问题等各类集访群体事件，全力保障经开区正常办公秩序。</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2、办信质量不断提高。受理湖南省信访信息平台网上信访25件，已办结21件，有4件在办结期内；市县经开区主要领导批示交办信访事项3件，全部按交办要求处理。各类信访案件严格规范办理流程，注重与信访人的沟通交流，办理满意度明显提升。</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3、积案化解成效明显。根据中央集中治理重复信访三年行动及县信访积案化解“百日攻坚”行动交办信访积案，第一批次涉及天易经开区领导包案的11件（其中征拆事务所牵头3件，易俗河镇牵头8件）,都已申报办结。第二批次，在期限内正在办理。同时，积极协调相关部门实体化解了一批有影响力的信访积案，使天易经开区信访积案数量不断减少。</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4、重点时节平安稳定。针对重点时期，制定工作方案，开展风险隐患排查及时掌控情报稳定重点人员群体，把群众上访变为干部主动下访及时就地调处化解矛盾问题，果断处置了一批重大纠纷事故，圆满完成了全国、省、市“两会”及建党100周年等重点时节的信访维稳工作，整体维稳形式好于往年。</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5、依法治访有序有力。组织开展了信访法治宣传活动,通过制作宣传横幅,利用经开区及企业电子显示屏、发放宣传资料、设立集中宣传点等途径宣传信访法律法规，并积极参加县信访局牵头组织在易俗河步步高前坪开展信访法治户外宣传活动。</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二、项目效益完成情况</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1、社会效益</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9月份、11月份牵头组织经开区各部门到晓木塘社区、水竹社区开展两次民情大走访活动。走访活动主要是配合社区做好疫情防控，全面核实基础数据，切实提升创建知晓率，广泛宣传县委、县人民政府各项决策部署、近年来湘潭县推进改革发展稳定的一系列重大决策，并重点排查了矛盾纠纷。</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2、公众满意度</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根据中央省市文件精神，群众满意度调查将是一项长期中心任务，为切实做好综治民调工作，在9月份收集整理考评天易经开区各部门的民调测评样本报县平安建设领导小组，组织召开动员会议培训民调知识做到干部职工人人掌握民调知识内容，并对各部门民调知识掌握情况进行督导，确保天易经开区整体测评情况优秀。</w:t>
            </w:r>
          </w:p>
          <w:p>
            <w:pPr>
              <w:spacing w:line="300" w:lineRule="exact"/>
              <w:ind w:firstLine="420" w:firstLineChars="200"/>
              <w:rPr>
                <w:rFonts w:ascii="仿宋_GB2312" w:hAnsi="宋体" w:eastAsia="仿宋_GB2312" w:cs="宋体"/>
                <w:szCs w:val="32"/>
              </w:rPr>
            </w:pPr>
            <w:r>
              <w:rPr>
                <w:rFonts w:hint="eastAsia" w:ascii="仿宋_GB2312" w:hAnsi="宋体" w:eastAsia="仿宋_GB2312" w:cs="宋体"/>
                <w:szCs w:val="32"/>
              </w:rPr>
              <w:t>针对2021年度信访维稳专项资金绩效自评我们设计了10个问题，并随机在园区内发放了30份问卷调查表，经统计满意度为97%。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restart"/>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存在的问题</w:t>
            </w:r>
          </w:p>
        </w:tc>
        <w:tc>
          <w:tcPr>
            <w:tcW w:w="5670" w:type="dxa"/>
            <w:vAlign w:val="center"/>
          </w:tcPr>
          <w:p>
            <w:pPr>
              <w:spacing w:line="300" w:lineRule="exact"/>
              <w:ind w:firstLine="420" w:firstLineChars="200"/>
              <w:rPr>
                <w:rFonts w:ascii="仿宋_GB2312" w:hAnsi="仿宋" w:eastAsia="仿宋_GB2312"/>
                <w:szCs w:val="21"/>
              </w:rPr>
            </w:pPr>
            <w:r>
              <w:rPr>
                <w:rFonts w:hint="eastAsia" w:ascii="仿宋_GB2312" w:hAnsi="仿宋" w:eastAsia="仿宋_GB2312"/>
                <w:szCs w:val="21"/>
              </w:rPr>
              <w:t>1、项目资金预算完成率低</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全年信访维稳专项预算为820.00万元，实际支付620.40万元,预算完成率为75.66%。</w:t>
            </w:r>
          </w:p>
          <w:p>
            <w:pPr>
              <w:spacing w:line="300" w:lineRule="exact"/>
              <w:ind w:firstLine="420" w:firstLineChars="200"/>
              <w:rPr>
                <w:rFonts w:ascii="仿宋_GB2312" w:hAnsi="仿宋" w:eastAsia="仿宋_GB2312"/>
                <w:szCs w:val="21"/>
              </w:rPr>
            </w:pPr>
            <w:r>
              <w:rPr>
                <w:rFonts w:hint="eastAsia" w:ascii="仿宋_GB2312" w:hAnsi="仿宋" w:eastAsia="仿宋_GB2312"/>
                <w:szCs w:val="21"/>
              </w:rPr>
              <w:t>2、项目绩效目标不够全面、细化</w:t>
            </w:r>
          </w:p>
          <w:p>
            <w:pPr>
              <w:spacing w:line="300" w:lineRule="exact"/>
              <w:ind w:firstLine="200"/>
              <w:rPr>
                <w:rFonts w:ascii="仿宋_GB2312" w:hAnsi="宋体" w:eastAsia="仿宋_GB2312" w:cs="宋体"/>
                <w:szCs w:val="32"/>
              </w:rPr>
            </w:pPr>
            <w:r>
              <w:rPr>
                <w:rFonts w:hint="eastAsia" w:ascii="仿宋_GB2312" w:hAnsi="仿宋" w:eastAsia="仿宋_GB2312"/>
                <w:szCs w:val="21"/>
              </w:rPr>
              <w:t>按绩效管理要求，我区年初进行了项目绩效目标申报，但设置的绩效指标，缺少长期绩效指标，涉及项目范围不全面，内容不够细化，没有体现出资金使用或发展的应有水平。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改进措施</w:t>
            </w:r>
          </w:p>
        </w:tc>
        <w:tc>
          <w:tcPr>
            <w:tcW w:w="5670" w:type="dxa"/>
            <w:vAlign w:val="center"/>
          </w:tcPr>
          <w:p>
            <w:pPr>
              <w:spacing w:line="300" w:lineRule="exact"/>
              <w:ind w:firstLine="420" w:firstLineChars="200"/>
              <w:rPr>
                <w:rFonts w:ascii="仿宋_GB2312" w:hAnsi="仿宋" w:eastAsia="仿宋_GB2312"/>
                <w:szCs w:val="21"/>
              </w:rPr>
            </w:pPr>
            <w:r>
              <w:rPr>
                <w:rFonts w:hint="eastAsia" w:ascii="仿宋_GB2312" w:hAnsi="仿宋" w:eastAsia="仿宋_GB2312"/>
                <w:szCs w:val="21"/>
              </w:rPr>
              <w:t>1、加强财政资金管理，加大投入，同时督促相关业务部门及时调整相关计划，完成年度预算，确保实施的项目与资金内容、对象及需求相一致、与统筹整合资金规模相匹配。</w:t>
            </w:r>
          </w:p>
          <w:p>
            <w:pPr>
              <w:spacing w:line="300" w:lineRule="exact"/>
              <w:ind w:firstLine="407" w:firstLineChars="194"/>
              <w:rPr>
                <w:rFonts w:ascii="仿宋_GB2312" w:hAnsi="宋体" w:eastAsia="仿宋_GB2312" w:cs="宋体"/>
                <w:szCs w:val="32"/>
              </w:rPr>
            </w:pPr>
            <w:r>
              <w:rPr>
                <w:rFonts w:hint="eastAsia" w:ascii="仿宋_GB2312" w:hAnsi="仿宋" w:eastAsia="仿宋_GB2312"/>
                <w:szCs w:val="21"/>
              </w:rPr>
              <w:t>2、加强与项目资金使用局室的沟通，对年度预算执行情况进行分析，以问题为导向，发挥财政对专项资金项目监督管理的主体职能作用，在编制下一年度预算时，提前进行业务量分析，优化资源配置，尽早规划资金需求量，从源头提高预算的科学化和精细化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67" w:type="dxa"/>
            <w:vMerge w:val="continue"/>
            <w:vAlign w:val="center"/>
          </w:tcPr>
          <w:p>
            <w:pPr>
              <w:spacing w:line="576" w:lineRule="exact"/>
              <w:jc w:val="center"/>
              <w:rPr>
                <w:rFonts w:ascii="仿宋_GB2312" w:hAnsi="宋体" w:eastAsia="仿宋_GB2312" w:cs="宋体"/>
                <w:szCs w:val="32"/>
              </w:rPr>
            </w:pPr>
          </w:p>
        </w:tc>
        <w:tc>
          <w:tcPr>
            <w:tcW w:w="1985"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其他需要说明问题</w:t>
            </w:r>
          </w:p>
        </w:tc>
        <w:tc>
          <w:tcPr>
            <w:tcW w:w="5670" w:type="dxa"/>
            <w:vAlign w:val="center"/>
          </w:tcPr>
          <w:p>
            <w:pPr>
              <w:spacing w:line="576" w:lineRule="exact"/>
              <w:jc w:val="center"/>
              <w:rPr>
                <w:rFonts w:ascii="仿宋_GB2312" w:hAnsi="宋体" w:eastAsia="仿宋_GB2312" w:cs="宋体"/>
                <w:szCs w:val="32"/>
              </w:rPr>
            </w:pPr>
            <w:r>
              <w:rPr>
                <w:rFonts w:hint="eastAsia" w:ascii="仿宋_GB2312" w:hAnsi="宋体" w:eastAsia="仿宋_GB2312" w:cs="宋体"/>
                <w:szCs w:val="32"/>
              </w:rPr>
              <w:t>无</w:t>
            </w:r>
          </w:p>
        </w:tc>
      </w:tr>
    </w:tbl>
    <w:p/>
    <w:sectPr>
      <w:pgSz w:w="11906" w:h="16838"/>
      <w:pgMar w:top="1134" w:right="1797" w:bottom="680" w:left="1797" w:header="28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999"/>
    <w:rsid w:val="000108AC"/>
    <w:rsid w:val="00023A8C"/>
    <w:rsid w:val="00052F75"/>
    <w:rsid w:val="001D12D3"/>
    <w:rsid w:val="0039109F"/>
    <w:rsid w:val="00530415"/>
    <w:rsid w:val="00576F75"/>
    <w:rsid w:val="00607C95"/>
    <w:rsid w:val="00637999"/>
    <w:rsid w:val="0067105D"/>
    <w:rsid w:val="00815876"/>
    <w:rsid w:val="00851BC5"/>
    <w:rsid w:val="0093075D"/>
    <w:rsid w:val="0093751B"/>
    <w:rsid w:val="0095362C"/>
    <w:rsid w:val="009A06D7"/>
    <w:rsid w:val="00A07533"/>
    <w:rsid w:val="00BC29C2"/>
    <w:rsid w:val="00C77203"/>
    <w:rsid w:val="00E13F75"/>
    <w:rsid w:val="00E4255D"/>
    <w:rsid w:val="00E470C2"/>
    <w:rsid w:val="00E63466"/>
    <w:rsid w:val="00F80176"/>
    <w:rsid w:val="29896926"/>
    <w:rsid w:val="35094485"/>
    <w:rsid w:val="55474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Times New Roman" w:hAnsi="Times New Roman" w:eastAsia="宋体" w:cs="Times New Roman"/>
      <w:sz w:val="18"/>
      <w:szCs w:val="18"/>
    </w:rPr>
  </w:style>
  <w:style w:type="character" w:customStyle="1" w:styleId="7">
    <w:name w:val="页脚 Char"/>
    <w:basedOn w:val="5"/>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1922</Words>
  <Characters>1977</Characters>
  <Lines>14</Lines>
  <Paragraphs>4</Paragraphs>
  <TotalTime>188</TotalTime>
  <ScaleCrop>false</ScaleCrop>
  <LinksUpToDate>false</LinksUpToDate>
  <CharactersWithSpaces>1977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2022-05-18T03:25:00Z</dcterms:created>
  <dc:creator>XYDN</dc:creator>
  <cp:lastModifiedBy>言西早</cp:lastModifiedBy>
  <dcterms:modified xsi:type="dcterms:W3CDTF">2022-05-31T06:32:07Z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1C29B958DB32451CA00CF92C736ED219</vt:lpwstr>
  </property>
</Properties>
</file>