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600" w:lineRule="exact"/>
        <w:jc w:val="center"/>
        <w:rPr>
          <w:rFonts w:hint="eastAsia" w:ascii="方正小标宋_GBK" w:hAnsi="方正小标宋_GBK" w:eastAsia="方正小标宋_GBK" w:cs="方正小标宋_GBK"/>
          <w:b/>
          <w:bCs/>
          <w:sz w:val="44"/>
          <w:szCs w:val="44"/>
          <w:lang w:eastAsia="zh-CN"/>
        </w:rPr>
      </w:pPr>
      <w:bookmarkStart w:id="0" w:name="_GoBack"/>
      <w:r>
        <w:rPr>
          <w:rFonts w:hint="eastAsia" w:ascii="方正小标宋_GBK" w:hAnsi="方正小标宋_GBK" w:eastAsia="方正小标宋_GBK" w:cs="方正小标宋_GBK"/>
          <w:b/>
          <w:bCs/>
          <w:sz w:val="44"/>
          <w:szCs w:val="44"/>
          <w:lang w:eastAsia="zh-CN"/>
        </w:rPr>
        <w:t>湘潭县科技和工业信息化局</w:t>
      </w:r>
    </w:p>
    <w:p>
      <w:pPr>
        <w:tabs>
          <w:tab w:val="left" w:pos="6480"/>
        </w:tabs>
        <w:spacing w:line="600" w:lineRule="exact"/>
        <w:jc w:val="center"/>
        <w:rPr>
          <w:rFonts w:hint="eastAsia" w:ascii="方正小标宋_GBK" w:hAnsi="方正小标宋_GBK" w:eastAsia="方正小标宋_GBK" w:cs="方正小标宋_GBK"/>
          <w:b/>
          <w:sz w:val="44"/>
          <w:szCs w:val="44"/>
        </w:rPr>
      </w:pPr>
      <w:r>
        <w:rPr>
          <w:rFonts w:hint="eastAsia" w:ascii="方正小标宋_GBK" w:hAnsi="方正小标宋_GBK" w:eastAsia="方正小标宋_GBK" w:cs="方正小标宋_GBK"/>
          <w:b/>
          <w:bCs/>
          <w:sz w:val="44"/>
          <w:szCs w:val="44"/>
          <w:lang w:val="en-US" w:eastAsia="zh-CN"/>
        </w:rPr>
        <w:t>2021年</w:t>
      </w:r>
      <w:r>
        <w:rPr>
          <w:rFonts w:hint="eastAsia" w:ascii="方正小标宋_GBK" w:hAnsi="方正小标宋_GBK" w:eastAsia="方正小标宋_GBK" w:cs="方正小标宋_GBK"/>
          <w:b/>
          <w:bCs/>
          <w:sz w:val="44"/>
          <w:szCs w:val="44"/>
        </w:rPr>
        <w:t>部门整体支出绩效评价报告</w:t>
      </w:r>
    </w:p>
    <w:bookmarkEnd w:id="0"/>
    <w:tbl>
      <w:tblPr>
        <w:tblStyle w:val="4"/>
        <w:tblW w:w="8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1542"/>
        <w:gridCol w:w="5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16"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部门概况</w:t>
            </w: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单位名称</w:t>
            </w:r>
          </w:p>
        </w:tc>
        <w:tc>
          <w:tcPr>
            <w:tcW w:w="5682" w:type="dxa"/>
            <w:noWrap w:val="0"/>
            <w:vAlign w:val="center"/>
          </w:tcPr>
          <w:p>
            <w:pPr>
              <w:spacing w:line="576" w:lineRule="exact"/>
              <w:ind w:right="880" w:rightChars="419"/>
              <w:jc w:val="center"/>
              <w:rPr>
                <w:rFonts w:hint="eastAsia" w:ascii="仿宋_GB2312" w:hAnsi="宋体" w:eastAsia="仿宋_GB2312" w:cs="宋体"/>
                <w:szCs w:val="21"/>
                <w:lang w:eastAsia="zh-CN"/>
              </w:rPr>
            </w:pPr>
            <w:r>
              <w:rPr>
                <w:rFonts w:hint="eastAsia" w:ascii="仿宋_GB2312" w:hAnsi="宋体" w:eastAsia="仿宋_GB2312" w:cs="宋体"/>
                <w:szCs w:val="21"/>
                <w:lang w:eastAsia="zh-CN"/>
              </w:rPr>
              <w:t>湘潭县科技和工业信息化局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16" w:type="dxa"/>
            <w:vMerge w:val="continue"/>
            <w:noWrap w:val="0"/>
            <w:vAlign w:val="top"/>
          </w:tcPr>
          <w:p>
            <w:pPr>
              <w:spacing w:line="576" w:lineRule="exact"/>
              <w:jc w:val="center"/>
              <w:rPr>
                <w:rFonts w:hint="eastAsia" w:ascii="仿宋_GB2312" w:hAnsi="宋体" w:eastAsia="仿宋_GB2312" w:cs="宋体"/>
                <w:szCs w:val="21"/>
              </w:rPr>
            </w:pP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年度预算金额</w:t>
            </w:r>
          </w:p>
        </w:tc>
        <w:tc>
          <w:tcPr>
            <w:tcW w:w="5682" w:type="dxa"/>
            <w:noWrap w:val="0"/>
            <w:vAlign w:val="center"/>
          </w:tcPr>
          <w:p>
            <w:pPr>
              <w:tabs>
                <w:tab w:val="left" w:pos="5460"/>
              </w:tabs>
              <w:spacing w:line="576" w:lineRule="exact"/>
              <w:ind w:right="6" w:rightChars="0"/>
              <w:jc w:val="left"/>
              <w:rPr>
                <w:rFonts w:hint="default" w:ascii="仿宋_GB2312" w:hAnsi="宋体" w:eastAsia="仿宋_GB2312" w:cs="宋体"/>
                <w:szCs w:val="21"/>
                <w:lang w:val="en-US" w:eastAsia="zh-CN"/>
              </w:rPr>
            </w:pPr>
            <w:r>
              <w:rPr>
                <w:rFonts w:hint="eastAsia" w:ascii="仿宋_GB2312" w:hAnsi="宋体" w:eastAsia="仿宋_GB2312" w:cs="宋体"/>
                <w:szCs w:val="21"/>
                <w:lang w:val="en-US" w:eastAsia="zh-CN"/>
              </w:rPr>
              <w:t xml:space="preserve">   2021年度预算金额3356.59万元。其中：基本支出598.65万元；项目支出2757.94万元。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16" w:type="dxa"/>
            <w:vMerge w:val="continue"/>
            <w:noWrap w:val="0"/>
            <w:vAlign w:val="top"/>
          </w:tcPr>
          <w:p>
            <w:pPr>
              <w:spacing w:line="576" w:lineRule="exact"/>
              <w:jc w:val="center"/>
              <w:rPr>
                <w:rFonts w:hint="eastAsia" w:ascii="仿宋_GB2312" w:hAnsi="宋体" w:eastAsia="仿宋_GB2312" w:cs="宋体"/>
                <w:szCs w:val="21"/>
              </w:rPr>
            </w:pP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主管部门</w:t>
            </w:r>
          </w:p>
        </w:tc>
        <w:tc>
          <w:tcPr>
            <w:tcW w:w="5682" w:type="dxa"/>
            <w:noWrap w:val="0"/>
            <w:vAlign w:val="center"/>
          </w:tcPr>
          <w:p>
            <w:pPr>
              <w:spacing w:line="576" w:lineRule="exact"/>
              <w:ind w:right="880" w:rightChars="419"/>
              <w:jc w:val="center"/>
              <w:rPr>
                <w:rFonts w:hint="eastAsia" w:ascii="仿宋_GB2312" w:hAnsi="宋体" w:eastAsia="仿宋_GB2312" w:cs="宋体"/>
                <w:szCs w:val="21"/>
                <w:lang w:eastAsia="zh-CN"/>
              </w:rPr>
            </w:pPr>
            <w:r>
              <w:rPr>
                <w:rFonts w:hint="eastAsia" w:ascii="仿宋_GB2312" w:hAnsi="宋体" w:eastAsia="仿宋_GB2312" w:cs="宋体"/>
                <w:szCs w:val="21"/>
                <w:lang w:eastAsia="zh-CN"/>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16" w:type="dxa"/>
            <w:vMerge w:val="continue"/>
            <w:noWrap w:val="0"/>
            <w:vAlign w:val="top"/>
          </w:tcPr>
          <w:p>
            <w:pPr>
              <w:spacing w:line="576" w:lineRule="exact"/>
              <w:jc w:val="center"/>
              <w:rPr>
                <w:rFonts w:hint="eastAsia" w:ascii="仿宋_GB2312" w:hAnsi="宋体" w:eastAsia="仿宋_GB2312" w:cs="宋体"/>
                <w:szCs w:val="21"/>
              </w:rPr>
            </w:pPr>
          </w:p>
        </w:tc>
        <w:tc>
          <w:tcPr>
            <w:tcW w:w="1542" w:type="dxa"/>
            <w:noWrap w:val="0"/>
            <w:vAlign w:val="center"/>
          </w:tcPr>
          <w:p>
            <w:pPr>
              <w:spacing w:line="576" w:lineRule="exact"/>
              <w:ind w:right="65" w:rightChars="31"/>
              <w:jc w:val="center"/>
              <w:rPr>
                <w:rFonts w:hint="eastAsia" w:ascii="仿宋_GB2312" w:hAnsi="宋体" w:eastAsia="仿宋_GB2312" w:cs="宋体"/>
                <w:szCs w:val="21"/>
              </w:rPr>
            </w:pPr>
            <w:r>
              <w:rPr>
                <w:rFonts w:hint="eastAsia" w:ascii="仿宋_GB2312" w:hAnsi="宋体" w:eastAsia="仿宋_GB2312" w:cs="宋体"/>
                <w:szCs w:val="21"/>
              </w:rPr>
              <w:t>单位基本职能</w:t>
            </w:r>
          </w:p>
        </w:tc>
        <w:tc>
          <w:tcPr>
            <w:tcW w:w="5682" w:type="dxa"/>
            <w:noWrap w:val="0"/>
            <w:vAlign w:val="center"/>
          </w:tcPr>
          <w:p>
            <w:pPr>
              <w:spacing w:line="576" w:lineRule="exact"/>
              <w:ind w:right="6" w:rightChars="0"/>
              <w:jc w:val="both"/>
              <w:rPr>
                <w:rFonts w:hint="eastAsia" w:ascii="仿宋_GB2312" w:hAnsi="宋体" w:eastAsia="仿宋_GB2312" w:cs="宋体"/>
                <w:szCs w:val="21"/>
              </w:rPr>
            </w:pPr>
            <w:r>
              <w:rPr>
                <w:rFonts w:hint="eastAsia" w:ascii="仿宋_GB2312" w:hAnsi="宋体" w:eastAsia="仿宋_GB2312" w:cs="宋体"/>
                <w:szCs w:val="21"/>
                <w:lang w:val="en-US" w:eastAsia="zh-CN"/>
              </w:rPr>
              <w:t xml:space="preserve">    我局是县政府工作部门，是落实“强工壮县”战略、加速推进新型工业化的主阵地。主要承担工业经济综合管理职能，肩负工业经济的指导、服务、发展、改革、稳定、电力执法以及信息化建设的重任。负责制定全县科技发展战略、高新技术及产业发展、科技促进农村和社会发展、新型工业化发展战略、信息化发展，信息安全、能源节约和资源综合利用、工业和信息化领域的技术改造等相关发展规划和政策。主管全县高新技术产业发展工作，牵头组织协调全县产学研结合、成果转化、技术贸易、对外科技合作与交流等工作。负责全县专利工作的联络及业务指导，开展专利行政执法工作。同时，负责工交系统武装、计生和工会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16"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绩效完成情况</w:t>
            </w: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82" w:type="dxa"/>
            <w:noWrap w:val="0"/>
            <w:vAlign w:val="top"/>
          </w:tcPr>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1、整体支出管理情况</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2021年，我局严格按照年初预算加强支出管理，所有资金按照用途进行管理使用，无截留挪用等现象，加强事前审批程序，增收节支方面成效显著。进一步提高了资金和资产的使用效益，强化了财务精细化管理水平，在整体支出管理方面开展了以下工作：</w:t>
            </w:r>
          </w:p>
          <w:p>
            <w:pPr>
              <w:tabs>
                <w:tab w:val="left" w:pos="5460"/>
              </w:tabs>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加强预算支出管理。在支出预算编制上，人员经费按照配置定额，逐人核定编制，公用经费分类分档，按定额编制；根据“总量控制、计划管理”的要求从严控制行政经费，压缩公务消费开支，严格控制“三公”经费，资产的配置严格政府采购，按照预算科目和项目资金的规定使用财政资金，保证部门整体支出的规范化、制度化。</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加强财务管理制度。制定了《湘潭县科技和工业信息化局财务管理制度》、《湘潭县科技和工业信息化局公用经费支出管理办法》、《湘潭县科技和工业信息化局国有资产管理办法》、《湘潭县科技和工业信息化局内部审计工作管理办法》等管理制度，并严格按照制度管理和执行，防范风险，保证财政资金的安全和高效运行。</w:t>
            </w:r>
          </w:p>
          <w:p>
            <w:pPr>
              <w:tabs>
                <w:tab w:val="left" w:pos="5460"/>
              </w:tabs>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（3）加强固定资产管理：在全面清理固定资产后，要求资产的配置、使用、保管、处置严格执行相关规定，确保资产的安全使用，杜绝国有资产流失。</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2、整体支出使用情况</w:t>
            </w:r>
          </w:p>
          <w:p>
            <w:pPr>
              <w:tabs>
                <w:tab w:val="left" w:pos="5460"/>
              </w:tabs>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（1）2021年支出合计3356.59万元，其中：基本支出598.65万元，占17.84%；项目支出2757.94万元，占82.16%。</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（2）“三公经费”支出情况：公用经费实际支出1.10万元，其中：公用接待费0.61万元，公务用车运维费0.49万元，公务用车购置费0万元，因公出国费0万元。</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3、项目资金来源及使用情况</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2021年初预算安排项目资金284.32万元。包括业务性专项资金122.32万元（其中工信指导服务费16.32万元、县属改制国企党政主要责任人社会保障费13万元、2021年湖南省创客中国决赛湘潭县分赛区工作经费10万元、砖厂整治专项20万元、工业行业安全生产监管经费10万元、改制企业遗留问题信访维稳经费45万元、公交系统武装经费8万元）、项目性专项资金162万元（其中科技特派员项目经费112万元、湘潭县中小企业服务体系经费50万元）。其他项目资金为年中调整预算的省级专项资金。</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4、项目资金管理情况分析</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在项目资金管理中，严格执行项目资金管理制度和规定，每笔项目开支都做到按照程序进行审批，对于项目的重大资金安排或重要事项，能及时召开局务会议或者局党组会的方式作出决定，实行集体决策确定，分管财务工作的领导审批。</w:t>
            </w:r>
          </w:p>
          <w:p>
            <w:pPr>
              <w:spacing w:line="576" w:lineRule="exact"/>
              <w:ind w:right="6" w:rightChars="0"/>
              <w:jc w:val="both"/>
              <w:rPr>
                <w:rFonts w:hint="eastAsia" w:ascii="仿宋_GB2312" w:hAnsi="宋体" w:eastAsia="仿宋_GB2312"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16" w:type="dxa"/>
            <w:vMerge w:val="continue"/>
            <w:noWrap w:val="0"/>
            <w:vAlign w:val="top"/>
          </w:tcPr>
          <w:p>
            <w:pPr>
              <w:spacing w:line="576" w:lineRule="exact"/>
              <w:jc w:val="center"/>
              <w:rPr>
                <w:rFonts w:hint="eastAsia" w:ascii="仿宋_GB2312" w:hAnsi="宋体" w:eastAsia="仿宋_GB2312" w:cs="宋体"/>
                <w:szCs w:val="21"/>
              </w:rPr>
            </w:pP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绩效目标完成情况</w:t>
            </w:r>
          </w:p>
        </w:tc>
        <w:tc>
          <w:tcPr>
            <w:tcW w:w="5682" w:type="dxa"/>
            <w:noWrap w:val="0"/>
            <w:vAlign w:val="top"/>
          </w:tcPr>
          <w:p>
            <w:pPr>
              <w:spacing w:line="576" w:lineRule="exact"/>
              <w:ind w:right="6" w:rightChars="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 xml:space="preserve">    2021年，湘潭县科技和工业信息化局以习近平新时代中国特色社会主义思想为指引，以高质量发展为主线，以贯彻落实“三高四新”战略和“创新驱动”发展战略为抓手，加强工业经济运行监测、工业项目建设和科技创新力度，大力促进工业转型升级，积极推进产业链发展和信息化建设，为企业争资争项、排忧解难、做好服务，圆满完成各项工作任务，实现了全县科技和工业信息化工作的平稳发展，荣获省政府2021年度制造业高质量发展“真抓实干”表彰激励。按照要求，现将一年来的工作总结汇报如下：</w:t>
            </w:r>
          </w:p>
          <w:p>
            <w:pPr>
              <w:spacing w:line="576" w:lineRule="exact"/>
              <w:ind w:right="6" w:rightChars="0" w:firstLine="420" w:firstLineChars="200"/>
              <w:jc w:val="both"/>
              <w:rPr>
                <w:rFonts w:hint="eastAsia" w:ascii="仿宋_GB2312" w:hAnsi="宋体" w:eastAsia="仿宋_GB2312" w:cs="宋体"/>
                <w:szCs w:val="21"/>
              </w:rPr>
            </w:pPr>
            <w:r>
              <w:rPr>
                <w:rFonts w:hint="eastAsia" w:ascii="仿宋_GB2312" w:hAnsi="宋体" w:eastAsia="仿宋_GB2312" w:cs="宋体"/>
                <w:szCs w:val="21"/>
              </w:rPr>
              <w:t>一是经济发展平稳高效。全年，全县311家规模工业企业完成总产值</w:t>
            </w:r>
            <w:r>
              <w:rPr>
                <w:rFonts w:hint="eastAsia" w:ascii="仿宋_GB2312" w:hAnsi="宋体" w:eastAsia="仿宋_GB2312" w:cs="宋体"/>
                <w:szCs w:val="21"/>
                <w:lang w:val="en-US"/>
              </w:rPr>
              <w:t>831</w:t>
            </w:r>
            <w:r>
              <w:rPr>
                <w:rFonts w:hint="eastAsia" w:ascii="仿宋_GB2312" w:hAnsi="宋体" w:eastAsia="仿宋_GB2312" w:cs="宋体"/>
                <w:szCs w:val="21"/>
              </w:rPr>
              <w:t>亿元，同比增</w:t>
            </w:r>
            <w:r>
              <w:rPr>
                <w:rFonts w:hint="eastAsia" w:ascii="仿宋_GB2312" w:hAnsi="宋体" w:eastAsia="仿宋_GB2312" w:cs="宋体"/>
                <w:szCs w:val="21"/>
                <w:lang w:eastAsia="zh-CN"/>
              </w:rPr>
              <w:t>长2</w:t>
            </w:r>
            <w:r>
              <w:rPr>
                <w:rFonts w:hint="eastAsia" w:ascii="仿宋_GB2312" w:hAnsi="宋体" w:eastAsia="仿宋_GB2312" w:cs="宋体"/>
                <w:szCs w:val="21"/>
                <w:lang w:val="en-US" w:eastAsia="zh-CN"/>
              </w:rPr>
              <w:t>0</w:t>
            </w:r>
            <w:r>
              <w:rPr>
                <w:rFonts w:hint="eastAsia" w:ascii="仿宋_GB2312" w:hAnsi="宋体" w:eastAsia="仿宋_GB2312" w:cs="宋体"/>
                <w:szCs w:val="21"/>
                <w:lang w:eastAsia="zh-CN"/>
              </w:rPr>
              <w:t>.3</w:t>
            </w:r>
            <w:r>
              <w:rPr>
                <w:rFonts w:hint="eastAsia" w:ascii="仿宋_GB2312" w:hAnsi="宋体" w:eastAsia="仿宋_GB2312" w:cs="宋体"/>
                <w:szCs w:val="21"/>
              </w:rPr>
              <w:t>%</w:t>
            </w:r>
            <w:r>
              <w:rPr>
                <w:rFonts w:hint="eastAsia" w:ascii="仿宋_GB2312" w:hAnsi="宋体" w:eastAsia="仿宋_GB2312" w:cs="宋体"/>
                <w:szCs w:val="21"/>
                <w:lang w:eastAsia="zh-CN"/>
              </w:rPr>
              <w:t>，</w:t>
            </w:r>
            <w:r>
              <w:rPr>
                <w:rFonts w:hint="eastAsia" w:ascii="仿宋_GB2312" w:hAnsi="宋体" w:eastAsia="仿宋_GB2312" w:cs="宋体"/>
                <w:szCs w:val="21"/>
              </w:rPr>
              <w:t>规模工业增加值同比增长11.</w:t>
            </w:r>
            <w:r>
              <w:rPr>
                <w:rFonts w:hint="eastAsia" w:ascii="仿宋_GB2312" w:hAnsi="宋体" w:eastAsia="仿宋_GB2312" w:cs="宋体"/>
                <w:szCs w:val="21"/>
                <w:lang w:val="en-US"/>
              </w:rPr>
              <w:t>2</w:t>
            </w:r>
            <w:r>
              <w:rPr>
                <w:rFonts w:hint="eastAsia" w:ascii="仿宋_GB2312" w:hAnsi="宋体" w:eastAsia="仿宋_GB2312" w:cs="宋体"/>
                <w:szCs w:val="21"/>
              </w:rPr>
              <w:t>%，排名全市第一。完成工业投资217.6亿元（超额完成年度任务的36%），同比增长57%，高于全市平均增速39.2个百分点，全市排名第一；完成工业技改153.3亿元（超额完成年度任务的32.2%），同比增长57.6%，高于全市平均增速37.3个百分点，全市排名第一。技改投资占工业投资的比重为70.5%。全年新增规模企业</w:t>
            </w:r>
            <w:r>
              <w:rPr>
                <w:rFonts w:hint="eastAsia" w:ascii="仿宋_GB2312" w:hAnsi="宋体" w:eastAsia="仿宋_GB2312" w:cs="宋体"/>
                <w:szCs w:val="21"/>
                <w:lang w:val="en-US"/>
              </w:rPr>
              <w:t>39</w:t>
            </w:r>
            <w:r>
              <w:rPr>
                <w:rFonts w:hint="eastAsia" w:ascii="仿宋_GB2312" w:hAnsi="宋体" w:eastAsia="仿宋_GB2312" w:cs="宋体"/>
                <w:szCs w:val="21"/>
              </w:rPr>
              <w:t>家，数量居全市第一。</w:t>
            </w:r>
            <w:r>
              <w:rPr>
                <w:rFonts w:hint="eastAsia" w:ascii="仿宋_GB2312" w:hAnsi="宋体" w:eastAsia="仿宋_GB2312" w:cs="宋体"/>
                <w:szCs w:val="21"/>
                <w:lang w:eastAsia="zh-CN"/>
              </w:rPr>
              <w:t>全</w:t>
            </w:r>
            <w:r>
              <w:rPr>
                <w:rFonts w:hint="eastAsia" w:ascii="仿宋_GB2312" w:hAnsi="宋体" w:eastAsia="仿宋_GB2312" w:cs="宋体"/>
                <w:szCs w:val="21"/>
              </w:rPr>
              <w:t>县计划重点工业投资项目50个，年度计划投资61.23亿元。已完成投资</w:t>
            </w:r>
            <w:r>
              <w:rPr>
                <w:rFonts w:hint="eastAsia" w:ascii="仿宋_GB2312" w:hAnsi="宋体" w:eastAsia="仿宋_GB2312" w:cs="宋体"/>
                <w:szCs w:val="21"/>
                <w:lang w:val="en-US" w:eastAsia="zh-CN"/>
              </w:rPr>
              <w:t>60.1</w:t>
            </w:r>
            <w:r>
              <w:rPr>
                <w:rFonts w:hint="eastAsia" w:ascii="仿宋_GB2312" w:hAnsi="宋体" w:eastAsia="仿宋_GB2312" w:cs="宋体"/>
                <w:szCs w:val="21"/>
              </w:rPr>
              <w:t>亿元，投资率为</w:t>
            </w:r>
            <w:r>
              <w:rPr>
                <w:rFonts w:hint="eastAsia" w:ascii="仿宋_GB2312" w:hAnsi="宋体" w:eastAsia="仿宋_GB2312" w:cs="宋体"/>
                <w:szCs w:val="21"/>
                <w:lang w:val="en-US" w:eastAsia="zh-CN"/>
              </w:rPr>
              <w:t>98.2</w:t>
            </w:r>
            <w:r>
              <w:rPr>
                <w:rFonts w:hint="eastAsia" w:ascii="仿宋_GB2312" w:hAnsi="宋体" w:eastAsia="仿宋_GB2312" w:cs="宋体"/>
                <w:szCs w:val="21"/>
              </w:rPr>
              <w:t>%。已开工项目4</w:t>
            </w:r>
            <w:r>
              <w:rPr>
                <w:rFonts w:hint="eastAsia" w:ascii="仿宋_GB2312" w:hAnsi="宋体" w:eastAsia="仿宋_GB2312" w:cs="宋体"/>
                <w:szCs w:val="21"/>
                <w:lang w:val="en-US" w:eastAsia="zh-CN"/>
              </w:rPr>
              <w:t>6</w:t>
            </w:r>
            <w:r>
              <w:rPr>
                <w:rFonts w:hint="eastAsia" w:ascii="仿宋_GB2312" w:hAnsi="宋体" w:eastAsia="仿宋_GB2312" w:cs="宋体"/>
                <w:szCs w:val="21"/>
              </w:rPr>
              <w:t>个，开工率为</w:t>
            </w:r>
            <w:r>
              <w:rPr>
                <w:rFonts w:hint="eastAsia" w:ascii="仿宋_GB2312" w:hAnsi="宋体" w:eastAsia="仿宋_GB2312" w:cs="宋体"/>
                <w:szCs w:val="21"/>
                <w:lang w:val="en-US" w:eastAsia="zh-CN"/>
              </w:rPr>
              <w:t>92</w:t>
            </w:r>
            <w:r>
              <w:rPr>
                <w:rFonts w:hint="eastAsia" w:ascii="仿宋_GB2312" w:hAnsi="宋体" w:eastAsia="仿宋_GB2312" w:cs="宋体"/>
                <w:szCs w:val="21"/>
              </w:rPr>
              <w:t>%，已完工项目</w:t>
            </w:r>
            <w:r>
              <w:rPr>
                <w:rFonts w:hint="eastAsia" w:ascii="仿宋_GB2312" w:hAnsi="宋体" w:eastAsia="仿宋_GB2312" w:cs="宋体"/>
                <w:szCs w:val="21"/>
                <w:lang w:val="en-US" w:eastAsia="zh-CN"/>
              </w:rPr>
              <w:t>20</w:t>
            </w:r>
            <w:r>
              <w:rPr>
                <w:rFonts w:hint="eastAsia" w:ascii="仿宋_GB2312" w:hAnsi="宋体" w:eastAsia="仿宋_GB2312" w:cs="宋体"/>
                <w:szCs w:val="21"/>
              </w:rPr>
              <w:t>个，完工率为</w:t>
            </w:r>
            <w:r>
              <w:rPr>
                <w:rFonts w:hint="eastAsia" w:ascii="仿宋_GB2312" w:hAnsi="宋体" w:eastAsia="仿宋_GB2312" w:cs="宋体"/>
                <w:szCs w:val="21"/>
                <w:lang w:val="en-US" w:eastAsia="zh-CN"/>
              </w:rPr>
              <w:t>40</w:t>
            </w:r>
            <w:r>
              <w:rPr>
                <w:rFonts w:hint="eastAsia" w:ascii="仿宋_GB2312" w:hAnsi="宋体" w:eastAsia="仿宋_GB2312" w:cs="宋体"/>
                <w:szCs w:val="21"/>
              </w:rPr>
              <w:t>%。乡镇园区工业经济呈现出良好的发展态势。茶恩、青山、杨河三个乡镇工业园，全年分别完成产值</w:t>
            </w:r>
            <w:r>
              <w:rPr>
                <w:rFonts w:hint="eastAsia" w:ascii="仿宋_GB2312" w:hAnsi="宋体" w:eastAsia="仿宋_GB2312" w:cs="宋体"/>
                <w:szCs w:val="21"/>
                <w:lang w:val="en-US" w:eastAsia="zh-CN"/>
              </w:rPr>
              <w:t>1.37</w:t>
            </w:r>
            <w:r>
              <w:rPr>
                <w:rFonts w:hint="eastAsia" w:ascii="仿宋_GB2312" w:hAnsi="宋体" w:eastAsia="仿宋_GB2312" w:cs="宋体"/>
                <w:szCs w:val="21"/>
              </w:rPr>
              <w:t>亿</w:t>
            </w:r>
            <w:r>
              <w:rPr>
                <w:rFonts w:hint="eastAsia" w:ascii="仿宋_GB2312" w:hAnsi="宋体" w:eastAsia="仿宋_GB2312" w:cs="宋体"/>
                <w:szCs w:val="21"/>
                <w:lang w:eastAsia="zh-CN"/>
              </w:rPr>
              <w:t>元</w:t>
            </w:r>
            <w:r>
              <w:rPr>
                <w:rFonts w:hint="eastAsia" w:ascii="仿宋_GB2312" w:hAnsi="宋体" w:eastAsia="仿宋_GB2312" w:cs="宋体"/>
                <w:szCs w:val="21"/>
              </w:rPr>
              <w:t>、</w:t>
            </w:r>
            <w:r>
              <w:rPr>
                <w:rFonts w:hint="eastAsia" w:ascii="仿宋_GB2312" w:hAnsi="宋体" w:eastAsia="仿宋_GB2312" w:cs="宋体"/>
                <w:szCs w:val="21"/>
                <w:lang w:val="en-US" w:eastAsia="zh-CN"/>
              </w:rPr>
              <w:t>19.7</w:t>
            </w:r>
            <w:r>
              <w:rPr>
                <w:rFonts w:hint="eastAsia" w:ascii="仿宋_GB2312" w:hAnsi="宋体" w:eastAsia="仿宋_GB2312" w:cs="宋体"/>
                <w:szCs w:val="21"/>
              </w:rPr>
              <w:t>亿</w:t>
            </w:r>
            <w:r>
              <w:rPr>
                <w:rFonts w:hint="eastAsia" w:ascii="仿宋_GB2312" w:hAnsi="宋体" w:eastAsia="仿宋_GB2312" w:cs="宋体"/>
                <w:szCs w:val="21"/>
                <w:lang w:eastAsia="zh-CN"/>
              </w:rPr>
              <w:t>元</w:t>
            </w:r>
            <w:r>
              <w:rPr>
                <w:rFonts w:hint="eastAsia" w:ascii="仿宋_GB2312" w:hAnsi="宋体" w:eastAsia="仿宋_GB2312" w:cs="宋体"/>
                <w:szCs w:val="21"/>
              </w:rPr>
              <w:t>、</w:t>
            </w:r>
            <w:r>
              <w:rPr>
                <w:rFonts w:hint="eastAsia" w:ascii="仿宋_GB2312" w:hAnsi="宋体" w:eastAsia="仿宋_GB2312" w:cs="宋体"/>
                <w:szCs w:val="21"/>
                <w:lang w:val="en-US" w:eastAsia="zh-CN"/>
              </w:rPr>
              <w:t>54.5</w:t>
            </w:r>
            <w:r>
              <w:rPr>
                <w:rFonts w:hint="eastAsia" w:ascii="仿宋_GB2312" w:hAnsi="宋体" w:eastAsia="仿宋_GB2312" w:cs="宋体"/>
                <w:szCs w:val="21"/>
              </w:rPr>
              <w:t>亿</w:t>
            </w:r>
            <w:r>
              <w:rPr>
                <w:rFonts w:hint="eastAsia" w:ascii="仿宋_GB2312" w:hAnsi="宋体" w:eastAsia="仿宋_GB2312" w:cs="宋体"/>
                <w:szCs w:val="21"/>
                <w:lang w:eastAsia="zh-CN"/>
              </w:rPr>
              <w:t>元</w:t>
            </w:r>
            <w:r>
              <w:rPr>
                <w:rFonts w:hint="eastAsia" w:ascii="仿宋_GB2312" w:hAnsi="宋体" w:eastAsia="仿宋_GB2312" w:cs="宋体"/>
                <w:szCs w:val="21"/>
              </w:rPr>
              <w:t>。</w:t>
            </w:r>
          </w:p>
          <w:p>
            <w:pPr>
              <w:spacing w:line="576" w:lineRule="exact"/>
              <w:ind w:right="6" w:rightChars="0" w:firstLine="420" w:firstLineChars="200"/>
              <w:jc w:val="both"/>
              <w:rPr>
                <w:rFonts w:hint="eastAsia" w:ascii="仿宋_GB2312" w:hAnsi="宋体" w:eastAsia="仿宋_GB2312" w:cs="宋体"/>
                <w:szCs w:val="21"/>
              </w:rPr>
            </w:pPr>
            <w:r>
              <w:rPr>
                <w:rFonts w:hint="eastAsia" w:ascii="仿宋_GB2312" w:hAnsi="宋体" w:eastAsia="仿宋_GB2312" w:cs="宋体"/>
                <w:szCs w:val="21"/>
              </w:rPr>
              <w:t>二是产业结构不断优化。产业链建设不断推进。链上规模企业23</w:t>
            </w:r>
            <w:r>
              <w:rPr>
                <w:rFonts w:hint="eastAsia" w:ascii="仿宋_GB2312" w:hAnsi="宋体" w:eastAsia="仿宋_GB2312" w:cs="宋体"/>
                <w:szCs w:val="21"/>
                <w:lang w:val="en-US"/>
              </w:rPr>
              <w:t>0</w:t>
            </w:r>
            <w:r>
              <w:rPr>
                <w:rFonts w:hint="eastAsia" w:ascii="仿宋_GB2312" w:hAnsi="宋体" w:eastAsia="仿宋_GB2312" w:cs="宋体"/>
                <w:szCs w:val="21"/>
              </w:rPr>
              <w:t>家，完成产值</w:t>
            </w:r>
            <w:r>
              <w:rPr>
                <w:rFonts w:hint="eastAsia" w:ascii="仿宋_GB2312" w:hAnsi="宋体" w:eastAsia="仿宋_GB2312" w:cs="宋体"/>
                <w:szCs w:val="21"/>
                <w:lang w:val="en-US"/>
              </w:rPr>
              <w:t>740.1</w:t>
            </w:r>
            <w:r>
              <w:rPr>
                <w:rFonts w:hint="eastAsia" w:ascii="仿宋_GB2312" w:hAnsi="宋体" w:eastAsia="仿宋_GB2312" w:cs="宋体"/>
                <w:szCs w:val="21"/>
              </w:rPr>
              <w:t>亿元，占全县规模企业产值的89%。食品医药行业规模企业完成产值</w:t>
            </w:r>
            <w:r>
              <w:rPr>
                <w:rFonts w:hint="eastAsia" w:ascii="仿宋_GB2312" w:hAnsi="宋体" w:eastAsia="仿宋_GB2312" w:cs="宋体"/>
                <w:szCs w:val="21"/>
                <w:lang w:val="en-US"/>
              </w:rPr>
              <w:t>454.9</w:t>
            </w:r>
            <w:r>
              <w:rPr>
                <w:rFonts w:hint="eastAsia" w:ascii="仿宋_GB2312" w:hAnsi="宋体" w:eastAsia="仿宋_GB2312" w:cs="宋体"/>
                <w:szCs w:val="21"/>
              </w:rPr>
              <w:t>亿元，同比增长3</w:t>
            </w:r>
            <w:r>
              <w:rPr>
                <w:rFonts w:hint="eastAsia" w:ascii="仿宋_GB2312" w:hAnsi="宋体" w:eastAsia="仿宋_GB2312" w:cs="宋体"/>
                <w:szCs w:val="21"/>
                <w:lang w:val="en-US"/>
              </w:rPr>
              <w:t>1</w:t>
            </w:r>
            <w:r>
              <w:rPr>
                <w:rFonts w:hint="eastAsia" w:ascii="仿宋_GB2312" w:hAnsi="宋体" w:eastAsia="仿宋_GB2312" w:cs="宋体"/>
                <w:szCs w:val="21"/>
              </w:rPr>
              <w:t>%（其中食品和槟榔产业完成产值</w:t>
            </w:r>
            <w:r>
              <w:rPr>
                <w:rFonts w:hint="eastAsia" w:ascii="仿宋_GB2312" w:hAnsi="宋体" w:eastAsia="仿宋_GB2312" w:cs="宋体"/>
                <w:szCs w:val="21"/>
                <w:lang w:val="en-US"/>
              </w:rPr>
              <w:t>440.2</w:t>
            </w:r>
            <w:r>
              <w:rPr>
                <w:rFonts w:hint="eastAsia" w:ascii="仿宋_GB2312" w:hAnsi="宋体" w:eastAsia="仿宋_GB2312" w:cs="宋体"/>
                <w:szCs w:val="21"/>
              </w:rPr>
              <w:t>亿元，同比增长3</w:t>
            </w:r>
            <w:r>
              <w:rPr>
                <w:rFonts w:hint="eastAsia" w:ascii="仿宋_GB2312" w:hAnsi="宋体" w:eastAsia="仿宋_GB2312" w:cs="宋体"/>
                <w:szCs w:val="21"/>
                <w:lang w:val="en-US"/>
              </w:rPr>
              <w:t>1</w:t>
            </w:r>
            <w:r>
              <w:rPr>
                <w:rFonts w:hint="eastAsia" w:ascii="仿宋_GB2312" w:hAnsi="宋体" w:eastAsia="仿宋_GB2312" w:cs="宋体"/>
                <w:szCs w:val="21"/>
              </w:rPr>
              <w:t>%），五洲通药业在湖南股权交易所科技创新专板挂牌。新材料行业规模企业产值</w:t>
            </w:r>
            <w:r>
              <w:rPr>
                <w:rFonts w:hint="eastAsia" w:ascii="仿宋_GB2312" w:hAnsi="宋体" w:eastAsia="仿宋_GB2312" w:cs="宋体"/>
                <w:szCs w:val="21"/>
                <w:lang w:val="en-US"/>
              </w:rPr>
              <w:t>98.4</w:t>
            </w:r>
            <w:r>
              <w:rPr>
                <w:rFonts w:hint="eastAsia" w:ascii="仿宋_GB2312" w:hAnsi="宋体" w:eastAsia="仿宋_GB2312" w:cs="宋体"/>
                <w:szCs w:val="21"/>
              </w:rPr>
              <w:t>亿元。智能制造持续深化，完成产值</w:t>
            </w:r>
            <w:r>
              <w:rPr>
                <w:rFonts w:hint="eastAsia" w:ascii="仿宋_GB2312" w:hAnsi="宋体" w:eastAsia="仿宋_GB2312" w:cs="宋体"/>
                <w:szCs w:val="21"/>
                <w:lang w:val="en-US"/>
              </w:rPr>
              <w:t>235</w:t>
            </w:r>
            <w:r>
              <w:rPr>
                <w:rFonts w:hint="eastAsia" w:ascii="仿宋_GB2312" w:hAnsi="宋体" w:eastAsia="仿宋_GB2312" w:cs="宋体"/>
                <w:szCs w:val="21"/>
              </w:rPr>
              <w:t>亿元，同比增长13%，新向维包装等2家规模企业认定为省级智能制造示范车间。市离心机等5家企业被认定为湖南省首台（套）重大装备企业。南方电机车等6家企业的产品认定为市级智能产品。海泡石产业链上规模企业完成产值2.</w:t>
            </w:r>
            <w:r>
              <w:rPr>
                <w:rFonts w:hint="eastAsia" w:ascii="仿宋_GB2312" w:hAnsi="宋体" w:eastAsia="仿宋_GB2312" w:cs="宋体"/>
                <w:szCs w:val="21"/>
                <w:lang w:val="en-US"/>
              </w:rPr>
              <w:t>7</w:t>
            </w:r>
            <w:r>
              <w:rPr>
                <w:rFonts w:hint="eastAsia" w:ascii="仿宋_GB2312" w:hAnsi="宋体" w:eastAsia="仿宋_GB2312" w:cs="宋体"/>
                <w:szCs w:val="21"/>
              </w:rPr>
              <w:t>亿元。推进防腐保温产业发展，县长段伟长亲自调研行业发展现状，全年完成产值20亿左右。推动湖南拓环年循环利用55万吨固废建设项目规划选址并与县人民政府签订框架协议。天易杨河工业园工业固废资源综合利用示范基地通过省工信厅验收。11家轮窑工艺烧结制砖企业全部关闭停产。军民融合产业发展势头良好，军民融合省交办问题全部按期销号，“民参军”企业主营业务收入3</w:t>
            </w:r>
            <w:r>
              <w:rPr>
                <w:rFonts w:hint="eastAsia" w:ascii="仿宋_GB2312" w:hAnsi="宋体" w:eastAsia="仿宋_GB2312" w:cs="宋体"/>
                <w:szCs w:val="21"/>
                <w:lang w:val="en-US" w:eastAsia="zh-CN"/>
              </w:rPr>
              <w:t>.</w:t>
            </w:r>
            <w:r>
              <w:rPr>
                <w:rFonts w:hint="eastAsia" w:ascii="仿宋_GB2312" w:hAnsi="宋体" w:eastAsia="仿宋_GB2312" w:cs="宋体"/>
                <w:szCs w:val="21"/>
              </w:rPr>
              <w:t>2</w:t>
            </w:r>
            <w:r>
              <w:rPr>
                <w:rFonts w:hint="eastAsia" w:ascii="仿宋_GB2312" w:hAnsi="宋体" w:eastAsia="仿宋_GB2312" w:cs="宋体"/>
                <w:szCs w:val="21"/>
                <w:lang w:val="en-US" w:eastAsia="zh-CN"/>
              </w:rPr>
              <w:t>7</w:t>
            </w:r>
            <w:r>
              <w:rPr>
                <w:rFonts w:hint="eastAsia" w:ascii="仿宋_GB2312" w:hAnsi="宋体" w:eastAsia="仿宋_GB2312" w:cs="宋体"/>
                <w:szCs w:val="21"/>
                <w:lang w:eastAsia="zh-CN"/>
              </w:rPr>
              <w:t>亿</w:t>
            </w:r>
            <w:r>
              <w:rPr>
                <w:rFonts w:hint="eastAsia" w:ascii="仿宋_GB2312" w:hAnsi="宋体" w:eastAsia="仿宋_GB2312" w:cs="宋体"/>
                <w:szCs w:val="21"/>
              </w:rPr>
              <w:t>元，同比增长19.6%</w:t>
            </w:r>
            <w:r>
              <w:rPr>
                <w:rFonts w:hint="eastAsia" w:ascii="仿宋_GB2312" w:hAnsi="宋体" w:eastAsia="仿宋_GB2312" w:cs="宋体"/>
                <w:szCs w:val="21"/>
                <w:lang w:eastAsia="zh-CN"/>
              </w:rPr>
              <w:t>，</w:t>
            </w:r>
            <w:r>
              <w:rPr>
                <w:rFonts w:hint="eastAsia" w:ascii="仿宋_GB2312" w:hAnsi="宋体" w:eastAsia="仿宋_GB2312" w:cs="宋体"/>
                <w:szCs w:val="21"/>
              </w:rPr>
              <w:t>其中军品销售收入1</w:t>
            </w:r>
            <w:r>
              <w:rPr>
                <w:rFonts w:hint="eastAsia" w:ascii="仿宋_GB2312" w:hAnsi="宋体" w:eastAsia="仿宋_GB2312" w:cs="宋体"/>
                <w:szCs w:val="21"/>
                <w:lang w:val="en-US" w:eastAsia="zh-CN"/>
              </w:rPr>
              <w:t>.</w:t>
            </w:r>
            <w:r>
              <w:rPr>
                <w:rFonts w:hint="eastAsia" w:ascii="仿宋_GB2312" w:hAnsi="宋体" w:eastAsia="仿宋_GB2312" w:cs="宋体"/>
                <w:szCs w:val="21"/>
              </w:rPr>
              <w:t>0</w:t>
            </w:r>
            <w:r>
              <w:rPr>
                <w:rFonts w:hint="eastAsia" w:ascii="仿宋_GB2312" w:hAnsi="宋体" w:eastAsia="仿宋_GB2312" w:cs="宋体"/>
                <w:szCs w:val="21"/>
                <w:lang w:val="en-US" w:eastAsia="zh-CN"/>
              </w:rPr>
              <w:t>4</w:t>
            </w:r>
            <w:r>
              <w:rPr>
                <w:rFonts w:hint="eastAsia" w:ascii="仿宋_GB2312" w:hAnsi="宋体" w:eastAsia="仿宋_GB2312" w:cs="宋体"/>
                <w:szCs w:val="21"/>
                <w:lang w:eastAsia="zh-CN"/>
              </w:rPr>
              <w:t>亿</w:t>
            </w:r>
            <w:r>
              <w:rPr>
                <w:rFonts w:hint="eastAsia" w:ascii="仿宋_GB2312" w:hAnsi="宋体" w:eastAsia="仿宋_GB2312" w:cs="宋体"/>
                <w:szCs w:val="21"/>
              </w:rPr>
              <w:t>元</w:t>
            </w:r>
            <w:r>
              <w:rPr>
                <w:rFonts w:hint="eastAsia" w:ascii="仿宋_GB2312" w:hAnsi="宋体" w:eastAsia="仿宋_GB2312" w:cs="宋体"/>
                <w:szCs w:val="21"/>
                <w:lang w:eastAsia="zh-CN"/>
              </w:rPr>
              <w:t>，</w:t>
            </w:r>
            <w:r>
              <w:rPr>
                <w:rFonts w:hint="eastAsia" w:ascii="仿宋_GB2312" w:hAnsi="宋体" w:eastAsia="仿宋_GB2312" w:cs="宋体"/>
                <w:szCs w:val="21"/>
              </w:rPr>
              <w:t>同比增长18.4%。</w:t>
            </w:r>
          </w:p>
          <w:p>
            <w:pPr>
              <w:spacing w:line="576" w:lineRule="exact"/>
              <w:ind w:right="6" w:rightChars="0" w:firstLine="420" w:firstLineChars="200"/>
              <w:jc w:val="both"/>
              <w:rPr>
                <w:rFonts w:hint="eastAsia" w:ascii="仿宋_GB2312" w:hAnsi="宋体" w:eastAsia="仿宋_GB2312" w:cs="宋体"/>
                <w:szCs w:val="21"/>
                <w:lang w:val="en-US"/>
              </w:rPr>
            </w:pPr>
            <w:r>
              <w:rPr>
                <w:rFonts w:hint="eastAsia" w:ascii="仿宋_GB2312" w:hAnsi="宋体" w:eastAsia="仿宋_GB2312" w:cs="宋体"/>
                <w:szCs w:val="21"/>
              </w:rPr>
              <w:t>三是科技创新持续深化。全县有效高新技术企业11</w:t>
            </w:r>
            <w:r>
              <w:rPr>
                <w:rFonts w:hint="eastAsia" w:ascii="仿宋_GB2312" w:hAnsi="宋体" w:eastAsia="仿宋_GB2312" w:cs="宋体"/>
                <w:szCs w:val="21"/>
                <w:lang w:val="en-US"/>
              </w:rPr>
              <w:t>3</w:t>
            </w:r>
            <w:r>
              <w:rPr>
                <w:rFonts w:hint="eastAsia" w:ascii="仿宋_GB2312" w:hAnsi="宋体" w:eastAsia="仿宋_GB2312" w:cs="宋体"/>
                <w:szCs w:val="21"/>
              </w:rPr>
              <w:t>家，同比增长26%，高企申报数量、新认定数量以及有效高企总量均在全市同类地区排名第一。全县117家企业取得2021年度科技型中小企业入库编号，同比增长17%。全年完成高新技术产值</w:t>
            </w:r>
            <w:r>
              <w:rPr>
                <w:rFonts w:hint="eastAsia" w:ascii="仿宋_GB2312" w:hAnsi="宋体" w:eastAsia="仿宋_GB2312" w:cs="宋体"/>
                <w:szCs w:val="21"/>
                <w:lang w:val="en-US"/>
              </w:rPr>
              <w:t>557</w:t>
            </w:r>
            <w:r>
              <w:rPr>
                <w:rFonts w:hint="eastAsia" w:ascii="仿宋_GB2312" w:hAnsi="宋体" w:eastAsia="仿宋_GB2312" w:cs="宋体"/>
                <w:szCs w:val="21"/>
              </w:rPr>
              <w:t>亿元，同比增长2</w:t>
            </w:r>
            <w:r>
              <w:rPr>
                <w:rFonts w:hint="eastAsia" w:ascii="仿宋_GB2312" w:hAnsi="宋体" w:eastAsia="仿宋_GB2312" w:cs="宋体"/>
                <w:szCs w:val="21"/>
                <w:lang w:val="en-US"/>
              </w:rPr>
              <w:t>2</w:t>
            </w:r>
            <w:r>
              <w:rPr>
                <w:rFonts w:hint="eastAsia" w:ascii="仿宋_GB2312" w:hAnsi="宋体" w:eastAsia="仿宋_GB2312" w:cs="宋体"/>
                <w:szCs w:val="21"/>
              </w:rPr>
              <w:t>%，实现高新技术产业增加值1</w:t>
            </w:r>
            <w:r>
              <w:rPr>
                <w:rFonts w:hint="eastAsia" w:ascii="仿宋_GB2312" w:hAnsi="宋体" w:eastAsia="仿宋_GB2312" w:cs="宋体"/>
                <w:szCs w:val="21"/>
                <w:lang w:val="en-US"/>
              </w:rPr>
              <w:t>76.5</w:t>
            </w:r>
            <w:r>
              <w:rPr>
                <w:rFonts w:hint="eastAsia" w:ascii="仿宋_GB2312" w:hAnsi="宋体" w:eastAsia="仿宋_GB2312" w:cs="宋体"/>
                <w:szCs w:val="21"/>
              </w:rPr>
              <w:t>亿元，同比增长24%。全县研发经费（R&amp;D）投入快报数据</w:t>
            </w:r>
            <w:r>
              <w:rPr>
                <w:rFonts w:hint="eastAsia" w:ascii="仿宋_GB2312" w:hAnsi="宋体" w:eastAsia="仿宋_GB2312" w:cs="宋体"/>
                <w:szCs w:val="21"/>
                <w:lang w:val="en-US"/>
              </w:rPr>
              <w:t>16.9</w:t>
            </w:r>
            <w:r>
              <w:rPr>
                <w:rFonts w:hint="eastAsia" w:ascii="仿宋_GB2312" w:hAnsi="宋体" w:eastAsia="仿宋_GB2312" w:cs="宋体"/>
                <w:szCs w:val="21"/>
              </w:rPr>
              <w:t>亿元。240家企业完成了研发准备金备案，比去年增加40家，17个乡镇备案企业研发准备金制度实现全覆盖。参加“揭榜挂帅”项目技术供需及金融服务对接专场活动</w:t>
            </w:r>
            <w:r>
              <w:rPr>
                <w:rFonts w:hint="eastAsia" w:ascii="仿宋_GB2312" w:hAnsi="宋体" w:eastAsia="仿宋_GB2312" w:cs="宋体"/>
                <w:szCs w:val="21"/>
                <w:lang w:val="en-US" w:eastAsia="zh-CN"/>
              </w:rPr>
              <w:t>3次，征集省三高四新科技创新攻关项目和市“揭榜挂帅”项目19项。组织20家企业参加湖南省创新创业大赛，湖南金铠新材料科技股份有限公司作为全市两家获奖企业之一，获得大赛优秀奖。</w:t>
            </w:r>
            <w:r>
              <w:rPr>
                <w:rFonts w:hint="eastAsia" w:ascii="仿宋_GB2312" w:hAnsi="宋体" w:eastAsia="仿宋_GB2312" w:cs="宋体"/>
                <w:szCs w:val="21"/>
              </w:rPr>
              <w:t>收集技术合同4</w:t>
            </w:r>
            <w:r>
              <w:rPr>
                <w:rFonts w:hint="eastAsia" w:ascii="仿宋_GB2312" w:hAnsi="宋体" w:eastAsia="仿宋_GB2312" w:cs="宋体"/>
                <w:szCs w:val="21"/>
                <w:lang w:val="en-US"/>
              </w:rPr>
              <w:t>5</w:t>
            </w:r>
            <w:r>
              <w:rPr>
                <w:rFonts w:hint="eastAsia" w:ascii="仿宋_GB2312" w:hAnsi="宋体" w:eastAsia="仿宋_GB2312" w:cs="宋体"/>
                <w:szCs w:val="21"/>
              </w:rPr>
              <w:t>份，完成技术合同登记额15.6亿元，同比增长214.5%。全县有省级工程技术研究中心3家、市级工程技术研究中心14家、</w:t>
            </w:r>
            <w:r>
              <w:rPr>
                <w:rFonts w:hint="eastAsia" w:ascii="仿宋_GB2312" w:hAnsi="宋体" w:eastAsia="仿宋_GB2312" w:cs="宋体"/>
                <w:szCs w:val="21"/>
                <w:lang w:eastAsia="zh-CN"/>
              </w:rPr>
              <w:t>省级企业技术中心</w:t>
            </w:r>
            <w:r>
              <w:rPr>
                <w:rFonts w:hint="eastAsia" w:ascii="仿宋_GB2312" w:hAnsi="宋体" w:eastAsia="仿宋_GB2312" w:cs="宋体"/>
                <w:szCs w:val="21"/>
                <w:lang w:val="en-US" w:eastAsia="zh-CN"/>
              </w:rPr>
              <w:t>4家、</w:t>
            </w:r>
            <w:r>
              <w:rPr>
                <w:rFonts w:hint="eastAsia" w:ascii="仿宋_GB2312" w:hAnsi="宋体" w:eastAsia="仿宋_GB2312" w:cs="宋体"/>
                <w:szCs w:val="21"/>
                <w:lang w:eastAsia="zh-CN"/>
              </w:rPr>
              <w:t>市级企业技术中心7家、</w:t>
            </w:r>
            <w:r>
              <w:rPr>
                <w:rFonts w:hint="eastAsia" w:ascii="仿宋_GB2312" w:hAnsi="宋体" w:eastAsia="仿宋_GB2312" w:cs="宋体"/>
                <w:szCs w:val="21"/>
              </w:rPr>
              <w:t>市级以上星创天地</w:t>
            </w:r>
            <w:r>
              <w:rPr>
                <w:rFonts w:hint="eastAsia" w:ascii="仿宋_GB2312" w:hAnsi="宋体" w:eastAsia="仿宋_GB2312" w:cs="宋体"/>
                <w:szCs w:val="21"/>
                <w:lang w:val="en-US"/>
              </w:rPr>
              <w:t>14家。</w:t>
            </w:r>
          </w:p>
          <w:p>
            <w:pPr>
              <w:spacing w:line="576" w:lineRule="exact"/>
              <w:ind w:right="6" w:rightChars="0" w:firstLine="420" w:firstLineChars="200"/>
              <w:jc w:val="both"/>
              <w:rPr>
                <w:rFonts w:hint="eastAsia" w:ascii="仿宋_GB2312" w:hAnsi="宋体" w:eastAsia="仿宋_GB2312" w:cs="宋体"/>
                <w:szCs w:val="21"/>
              </w:rPr>
            </w:pPr>
            <w:r>
              <w:rPr>
                <w:rFonts w:hint="eastAsia" w:ascii="仿宋_GB2312" w:hAnsi="宋体" w:eastAsia="仿宋_GB2312" w:cs="宋体"/>
                <w:szCs w:val="21"/>
              </w:rPr>
              <w:t>四是科技服务暖心惠民。选聘科技特派员124名，举办各类科技知识培训班30余次，培训2000余人次，下田间指导40余次，组团赴村服务10余次，组织科技宣传10余次，引导申报国家、省、市、县项目10余项。开展开展“双线式”科技专家服务团服务，开展技术巡诊5余次，举办专题培训会10余次，发放各类种养殖技术科普读物1500余份，解决技术难题5个，着手打造新的地理标志产品，“黄荆平竹根椒”已申请了4项商标，“乌石情腊肉”成功申请1项商标和1项专利。组织</w:t>
            </w:r>
            <w:r>
              <w:rPr>
                <w:rFonts w:hint="eastAsia" w:ascii="仿宋_GB2312" w:hAnsi="宋体" w:eastAsia="仿宋_GB2312" w:cs="宋体"/>
                <w:szCs w:val="21"/>
                <w:lang w:val="en-US"/>
              </w:rPr>
              <w:t>6家企业举办</w:t>
            </w:r>
            <w:r>
              <w:rPr>
                <w:rFonts w:hint="eastAsia" w:ascii="仿宋_GB2312" w:hAnsi="宋体" w:eastAsia="仿宋_GB2312" w:cs="宋体"/>
                <w:szCs w:val="21"/>
                <w:lang w:val="en-US" w:eastAsia="zh-CN"/>
              </w:rPr>
              <w:t>“生态绿色食品产业双需双供对接”专场项目路演， 4.46万人线上观看路演，促成3项技术签约，22组投资签约，涉及总投资意向1.69亿元。</w:t>
            </w:r>
            <w:r>
              <w:rPr>
                <w:rFonts w:hint="eastAsia" w:ascii="仿宋_GB2312" w:hAnsi="宋体" w:eastAsia="仿宋_GB2312" w:cs="宋体"/>
                <w:szCs w:val="21"/>
              </w:rPr>
              <w:t>科技宣传周活动丰富多彩，采用现场培训、科技宣传、科技专家服务团专题讲座等多种形式，累计培训1800人次，现场咨询800人次，解答技术问题300人次，发放宣传资料万余份，小礼品2000余份。</w:t>
            </w:r>
          </w:p>
          <w:p>
            <w:pPr>
              <w:spacing w:line="576" w:lineRule="exact"/>
              <w:ind w:right="6" w:rightChars="0" w:firstLine="420" w:firstLineChars="200"/>
              <w:jc w:val="both"/>
              <w:rPr>
                <w:rFonts w:hint="eastAsia" w:ascii="仿宋_GB2312" w:hAnsi="宋体" w:eastAsia="仿宋_GB2312" w:cs="宋体"/>
                <w:szCs w:val="21"/>
              </w:rPr>
            </w:pPr>
            <w:r>
              <w:rPr>
                <w:rFonts w:hint="eastAsia" w:ascii="仿宋_GB2312" w:hAnsi="宋体" w:eastAsia="仿宋_GB2312" w:cs="宋体"/>
                <w:szCs w:val="21"/>
              </w:rPr>
              <w:t>五是专精特新势头强劲。</w:t>
            </w:r>
            <w:r>
              <w:rPr>
                <w:rFonts w:hint="eastAsia" w:ascii="仿宋_GB2312" w:hAnsi="宋体" w:eastAsia="仿宋_GB2312" w:cs="宋体"/>
                <w:szCs w:val="21"/>
                <w:lang w:eastAsia="zh-CN"/>
              </w:rPr>
              <w:t>精心组织培育，先后组织相关服务机构面向全县中小企业开展送服务上门服务活动，加强对我县“专精特新”中小企业创新创业等方面的服务支撑，营造全社会关心、支持中小企业发展的良好氛围。积极组织企业参加省、市、县2021“创客中国”中小微企业创新创业大赛，展示企业形象。开展湘潭县2021年全社会研发经费投入及高企认定暨技术创新“破零倍增”培训会、湘潭县专精特新“小巨人”企业跨境电商培训活动、湘潭县专精特新“小巨人”企业项目申报及政策解读培训会等各类宣传培训。同时，通过企业技术中心培育、重大装备和智能化产品认定等研发载体，推动企业技术创新。全县共有</w:t>
            </w:r>
            <w:r>
              <w:rPr>
                <w:rFonts w:hint="eastAsia" w:ascii="仿宋_GB2312" w:hAnsi="宋体" w:eastAsia="仿宋_GB2312" w:cs="宋体"/>
                <w:szCs w:val="21"/>
              </w:rPr>
              <w:t>市级专精特新“小巨人”企业19家，省级专精特新“小巨人”企业16家，国家级专精特新“小巨人”企业2家，企业数量位居全市第一。</w:t>
            </w:r>
          </w:p>
          <w:p>
            <w:pPr>
              <w:spacing w:line="576" w:lineRule="exact"/>
              <w:ind w:right="6" w:rightChars="0" w:firstLine="420" w:firstLineChars="200"/>
              <w:jc w:val="both"/>
              <w:rPr>
                <w:rFonts w:hint="eastAsia" w:ascii="仿宋_GB2312" w:hAnsi="宋体" w:eastAsia="仿宋_GB2312" w:cs="宋体"/>
                <w:szCs w:val="21"/>
              </w:rPr>
            </w:pPr>
            <w:r>
              <w:rPr>
                <w:rFonts w:hint="eastAsia" w:ascii="仿宋_GB2312" w:hAnsi="宋体" w:eastAsia="仿宋_GB2312" w:cs="宋体"/>
                <w:szCs w:val="21"/>
              </w:rPr>
              <w:t>六是争资争项成效明显。今年以来，为提振我县企业发展信心，推动中小企业专精特新发展，加快企业智能化改造，技术创新，促进产业转型升级，县科工局</w:t>
            </w:r>
            <w:r>
              <w:rPr>
                <w:rFonts w:hint="eastAsia" w:ascii="仿宋_GB2312" w:hAnsi="宋体" w:eastAsia="仿宋_GB2312" w:cs="宋体"/>
                <w:szCs w:val="21"/>
                <w:lang w:eastAsia="zh-CN"/>
              </w:rPr>
              <w:t>更好地利用</w:t>
            </w:r>
            <w:r>
              <w:rPr>
                <w:rFonts w:hint="eastAsia" w:ascii="仿宋_GB2312" w:hAnsi="宋体" w:eastAsia="仿宋_GB2312" w:cs="宋体"/>
                <w:szCs w:val="21"/>
              </w:rPr>
              <w:t>政策资源，用好用活用足省、市各类项目扶持政策，成功组织利口福食品、五洲通药业、金铠新材料等150余家装备制造、食品医药、新材料企业以及专业合作社申报省中小企业发展专项资金、制造强省专项资金、市自主创新示范区建设等项目。全年，共获批项目220个，争取上级项目资金3642.724万元。其中，争取科技类项目171个，实现到位资金1453.15万元；争取工信类项目49个，实现到位资金2189.574万元。</w:t>
            </w:r>
          </w:p>
          <w:p>
            <w:pPr>
              <w:spacing w:line="576" w:lineRule="exact"/>
              <w:ind w:right="6" w:rightChars="0" w:firstLine="420" w:firstLineChars="200"/>
              <w:jc w:val="both"/>
              <w:rPr>
                <w:rFonts w:hint="eastAsia" w:ascii="仿宋_GB2312" w:hAnsi="宋体" w:eastAsia="仿宋_GB2312" w:cs="宋体"/>
                <w:szCs w:val="21"/>
              </w:rPr>
            </w:pPr>
            <w:r>
              <w:rPr>
                <w:rFonts w:hint="eastAsia" w:ascii="仿宋_GB2312" w:hAnsi="宋体" w:eastAsia="仿宋_GB2312" w:cs="宋体"/>
                <w:szCs w:val="21"/>
                <w:lang w:eastAsia="zh-CN"/>
              </w:rPr>
              <w:t>七是</w:t>
            </w:r>
            <w:r>
              <w:rPr>
                <w:rFonts w:hint="eastAsia" w:ascii="仿宋_GB2312" w:hAnsi="宋体" w:eastAsia="仿宋_GB2312" w:cs="宋体"/>
                <w:szCs w:val="21"/>
              </w:rPr>
              <w:t>信息化建设稳步推进。</w:t>
            </w:r>
            <w:r>
              <w:rPr>
                <w:rFonts w:hint="eastAsia" w:ascii="仿宋_GB2312" w:hAnsi="宋体" w:eastAsia="仿宋_GB2312" w:cs="宋体"/>
                <w:szCs w:val="21"/>
                <w:lang w:eastAsia="zh-CN"/>
              </w:rPr>
              <w:t>全面推进</w:t>
            </w:r>
            <w:r>
              <w:rPr>
                <w:rFonts w:hint="eastAsia" w:ascii="仿宋_GB2312" w:hAnsi="宋体" w:eastAsia="仿宋_GB2312" w:cs="宋体"/>
                <w:szCs w:val="21"/>
                <w:lang w:val="en-US" w:eastAsia="zh-CN"/>
              </w:rPr>
              <w:t>5G建设，</w:t>
            </w:r>
            <w:r>
              <w:rPr>
                <w:rFonts w:hint="eastAsia" w:ascii="仿宋_GB2312" w:hAnsi="宋体" w:eastAsia="仿宋_GB2312" w:cs="宋体"/>
                <w:szCs w:val="21"/>
              </w:rPr>
              <w:t>新建5G基站680个，新建汇聚机房42个</w:t>
            </w:r>
            <w:r>
              <w:rPr>
                <w:rFonts w:hint="eastAsia" w:ascii="仿宋_GB2312" w:hAnsi="宋体" w:eastAsia="仿宋_GB2312" w:cs="宋体"/>
                <w:szCs w:val="21"/>
                <w:lang w:eastAsia="zh-CN"/>
              </w:rPr>
              <w:t>。</w:t>
            </w:r>
            <w:r>
              <w:rPr>
                <w:rFonts w:hint="eastAsia" w:ascii="仿宋_GB2312" w:hAnsi="宋体" w:eastAsia="仿宋_GB2312" w:cs="宋体"/>
                <w:szCs w:val="21"/>
              </w:rPr>
              <w:t>完成农村4G补盲站点67个，行政村通光纤工程21个，实现了乡镇乡乡通5G的目标。</w:t>
            </w:r>
            <w:r>
              <w:rPr>
                <w:rFonts w:hint="eastAsia" w:ascii="仿宋_GB2312" w:hAnsi="宋体" w:eastAsia="仿宋_GB2312" w:cs="宋体"/>
                <w:szCs w:val="21"/>
                <w:lang w:eastAsia="zh-CN"/>
              </w:rPr>
              <w:t>做好信息化项目申报和管理，“湘潭县云龙教育集团智慧教育综合管理平台建设项目”成功通过了省工信厅的初审，湘潭移动与湖南三农合作的三农现代农业智慧养殖项目入围全省5G典型应用场景项目。</w:t>
            </w:r>
            <w:r>
              <w:rPr>
                <w:rFonts w:hint="eastAsia" w:ascii="仿宋_GB2312" w:hAnsi="宋体" w:eastAsia="仿宋_GB2312" w:cs="宋体"/>
                <w:szCs w:val="21"/>
              </w:rPr>
              <w:t>两化融合再创佳绩，5家企业成功列入省2021年度两化融合管理体系贯标试点企业</w:t>
            </w:r>
            <w:r>
              <w:rPr>
                <w:rFonts w:hint="eastAsia" w:ascii="仿宋_GB2312" w:hAnsi="宋体" w:eastAsia="仿宋_GB2312" w:cs="宋体"/>
                <w:szCs w:val="21"/>
                <w:lang w:eastAsia="zh-CN"/>
              </w:rPr>
              <w:t>，</w:t>
            </w:r>
            <w:r>
              <w:rPr>
                <w:rFonts w:hint="eastAsia" w:ascii="仿宋_GB2312" w:hAnsi="宋体" w:eastAsia="仿宋_GB2312" w:cs="宋体"/>
                <w:szCs w:val="21"/>
              </w:rPr>
              <w:t>目前，我县已有12家企业获得两化融合管理体系贯标认证证书。</w:t>
            </w:r>
            <w:r>
              <w:rPr>
                <w:rFonts w:hint="eastAsia" w:ascii="仿宋_GB2312" w:hAnsi="宋体" w:eastAsia="仿宋_GB2312" w:cs="宋体"/>
                <w:szCs w:val="21"/>
                <w:lang w:eastAsia="zh-CN"/>
              </w:rPr>
              <w:t>配合做好创文杆线整治工作，共整治居民小区及主次干道、街道杆线杂乱109处，弱电线路300余皮长公里</w:t>
            </w:r>
            <w:r>
              <w:rPr>
                <w:rFonts w:hint="eastAsia" w:ascii="仿宋_GB2312" w:hAnsi="宋体" w:eastAsia="仿宋_GB2312" w:cs="宋体"/>
                <w:szCs w:val="21"/>
              </w:rPr>
              <w:t>。</w:t>
            </w:r>
            <w:r>
              <w:rPr>
                <w:rFonts w:hint="eastAsia" w:ascii="仿宋_GB2312" w:hAnsi="宋体" w:eastAsia="仿宋_GB2312" w:cs="宋体"/>
                <w:szCs w:val="21"/>
                <w:lang w:eastAsia="zh-CN"/>
              </w:rPr>
              <w:t>按照《</w:t>
            </w:r>
            <w:r>
              <w:rPr>
                <w:rFonts w:hint="eastAsia" w:ascii="仿宋_GB2312" w:hAnsi="宋体" w:eastAsia="仿宋_GB2312" w:cs="宋体"/>
                <w:szCs w:val="21"/>
              </w:rPr>
              <w:t>关于开展杆线整治三年行动计划的通知</w:t>
            </w:r>
            <w:r>
              <w:rPr>
                <w:rFonts w:hint="eastAsia" w:ascii="仿宋_GB2312" w:hAnsi="宋体" w:eastAsia="仿宋_GB2312" w:cs="宋体"/>
                <w:szCs w:val="21"/>
                <w:lang w:eastAsia="zh-CN"/>
              </w:rPr>
              <w:t>》要求，全面开展农村杆线整治工作，全年整治934处。</w:t>
            </w:r>
          </w:p>
          <w:p>
            <w:pPr>
              <w:spacing w:line="576" w:lineRule="exact"/>
              <w:ind w:right="6" w:rightChars="0" w:firstLine="420" w:firstLineChars="200"/>
              <w:jc w:val="both"/>
              <w:rPr>
                <w:rFonts w:hint="eastAsia" w:ascii="仿宋_GB2312" w:hAnsi="宋体" w:eastAsia="仿宋_GB2312" w:cs="宋体"/>
                <w:szCs w:val="21"/>
              </w:rPr>
            </w:pPr>
            <w:r>
              <w:rPr>
                <w:rFonts w:hint="eastAsia" w:ascii="仿宋_GB2312" w:hAnsi="宋体" w:eastAsia="仿宋_GB2312" w:cs="宋体"/>
                <w:szCs w:val="21"/>
              </w:rPr>
              <w:t>八是企业服务凝心聚力。以“服务企业三年行动”活动为切入点，以党史学习教育为抓手，深入开展“我为群众办实事之我为企业解难题”实践活动，通过制定和落实服务企业“八个一”，46家企业反映的73个融资、人才引进、土地等突出的困难和问题，已解决7</w:t>
            </w:r>
            <w:r>
              <w:rPr>
                <w:rFonts w:hint="eastAsia" w:ascii="仿宋_GB2312" w:hAnsi="宋体" w:eastAsia="仿宋_GB2312" w:cs="宋体"/>
                <w:szCs w:val="21"/>
                <w:lang w:val="en-US"/>
              </w:rPr>
              <w:t>2</w:t>
            </w:r>
            <w:r>
              <w:rPr>
                <w:rFonts w:hint="eastAsia" w:ascii="仿宋_GB2312" w:hAnsi="宋体" w:eastAsia="仿宋_GB2312" w:cs="宋体"/>
                <w:szCs w:val="21"/>
              </w:rPr>
              <w:t>个，办结率99%。深入150余家规模企业开展“三高四新”战略调研，组织企业参加省、市高质量发展专题研修班培训。开展工业企业“纾困增效”专项帮扶行动，全方位摸排企业存在的困难和问题，共收集到</w:t>
            </w:r>
            <w:r>
              <w:rPr>
                <w:rFonts w:hint="eastAsia" w:ascii="仿宋_GB2312" w:hAnsi="宋体" w:eastAsia="仿宋_GB2312" w:cs="宋体"/>
                <w:szCs w:val="21"/>
                <w:lang w:val="en-US"/>
              </w:rPr>
              <w:t>114</w:t>
            </w:r>
            <w:r>
              <w:rPr>
                <w:rFonts w:hint="eastAsia" w:ascii="仿宋_GB2312" w:hAnsi="宋体" w:eastAsia="仿宋_GB2312" w:cs="宋体"/>
                <w:szCs w:val="21"/>
              </w:rPr>
              <w:t>家规模以上工业企业存在的各类困难和问题，并有针对性的制定“一企一策”帮扶措施，帮助企业纾困增效。全年深度“上云上平台”中小企业122家，完成市对县目标任务的116.2%，荣获湖南省中小企业“两上三化”工作先进单位。支持企业争创品牌，康宁达医疗、力威液压成功获批2021年度“湖湘精品”中小企业品牌能力提升试点企业、市电机车厂</w:t>
            </w:r>
            <w:r>
              <w:rPr>
                <w:rFonts w:hint="eastAsia" w:ascii="仿宋_GB2312" w:hAnsi="宋体" w:eastAsia="仿宋_GB2312" w:cs="宋体"/>
                <w:szCs w:val="21"/>
                <w:lang w:eastAsia="zh-CN"/>
              </w:rPr>
              <w:t>获批</w:t>
            </w:r>
            <w:r>
              <w:rPr>
                <w:rFonts w:hint="eastAsia" w:ascii="仿宋_GB2312" w:hAnsi="宋体" w:eastAsia="仿宋_GB2312" w:cs="宋体"/>
                <w:szCs w:val="21"/>
              </w:rPr>
              <w:t>省工业质量标杆企业。发挥中小企业公共服务窗口平台的优势，为企业提供优质服务。</w:t>
            </w:r>
          </w:p>
          <w:p>
            <w:pPr>
              <w:spacing w:line="576" w:lineRule="exact"/>
              <w:ind w:right="6" w:rightChars="0" w:firstLine="420" w:firstLineChars="200"/>
              <w:jc w:val="both"/>
              <w:rPr>
                <w:rFonts w:hint="eastAsia" w:ascii="仿宋_GB2312" w:hAnsi="宋体" w:eastAsia="仿宋_GB2312" w:cs="宋体"/>
                <w:szCs w:val="21"/>
              </w:rPr>
            </w:pPr>
            <w:r>
              <w:rPr>
                <w:rFonts w:hint="eastAsia" w:ascii="仿宋_GB2312" w:hAnsi="宋体" w:eastAsia="仿宋_GB2312" w:cs="宋体"/>
                <w:szCs w:val="21"/>
              </w:rPr>
              <w:t>同时，健全安全生产责任体系，修订并完善《湘潭县科技和工业信息化局安全生产安全生产“党政同责、一岗双责 ”工作制度（2021年修订）》。按照安全生产工作要求，在春节、两会、七一、国庆等重点节日前夕，开展安全生产检查，全年检查企业66家次，出动检查人员216人次，指导民爆企业建立了安全隐患排查治理和安全风险分级管控预防控制体系，本年度监管职责范围内没有发生安全生产事故。做好道路交通顽瘴痼疾工作，认真开展县内机动车改装企业和销售电动三轮车、四轮车门店情况摸底。通过摸底，我县有销售电动三、四轮车门店26家。其中，有3C认证的14家，没有3C认证的12家。针对发现的问题，及时向县市场监管局发送“告知函”，并上报市工信局，及时消除安全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16"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存在的问题分析及改进措施</w:t>
            </w: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存在的问题</w:t>
            </w:r>
          </w:p>
        </w:tc>
        <w:tc>
          <w:tcPr>
            <w:tcW w:w="5682" w:type="dxa"/>
            <w:noWrap w:val="0"/>
            <w:vAlign w:val="top"/>
          </w:tcPr>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1、2021年预算执行过程中追加资金未在年初预算时列入。不便于对其进行精细化的预算管理和分析评价。</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2、预算编制需要更加科学合理，预算绩效管理理念、业务水平有待提高</w:t>
            </w:r>
          </w:p>
          <w:p>
            <w:pPr>
              <w:spacing w:line="576" w:lineRule="exact"/>
              <w:ind w:right="6" w:rightChars="0" w:firstLine="420" w:firstLineChars="200"/>
              <w:jc w:val="both"/>
              <w:rPr>
                <w:rFonts w:hint="eastAsia" w:ascii="仿宋_GB2312" w:hAnsi="宋体" w:eastAsia="仿宋_GB2312" w:cs="宋体"/>
                <w:szCs w:val="21"/>
              </w:rPr>
            </w:pPr>
            <w:r>
              <w:rPr>
                <w:rFonts w:hint="eastAsia" w:ascii="仿宋_GB2312" w:hAnsi="宋体" w:eastAsia="仿宋_GB2312" w:cs="宋体"/>
                <w:szCs w:val="21"/>
                <w:lang w:val="en-US" w:eastAsia="zh-CN"/>
              </w:rPr>
              <w:t>3、我局属全额财政预算拨款行政单位，无其他经费来源。财政预算安排资金不断压减，日常工作开展存在一定困难。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1116" w:type="dxa"/>
            <w:vMerge w:val="continue"/>
            <w:noWrap w:val="0"/>
            <w:vAlign w:val="top"/>
          </w:tcPr>
          <w:p>
            <w:pPr>
              <w:spacing w:line="576" w:lineRule="exact"/>
              <w:jc w:val="center"/>
              <w:rPr>
                <w:rFonts w:hint="eastAsia" w:ascii="仿宋_GB2312" w:hAnsi="宋体" w:eastAsia="仿宋_GB2312" w:cs="宋体"/>
                <w:szCs w:val="21"/>
              </w:rPr>
            </w:pP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改进措施</w:t>
            </w:r>
          </w:p>
        </w:tc>
        <w:tc>
          <w:tcPr>
            <w:tcW w:w="5682" w:type="dxa"/>
            <w:noWrap w:val="0"/>
            <w:vAlign w:val="top"/>
          </w:tcPr>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1、精细管理预算编制，切合实际工作经费需要。</w:t>
            </w:r>
          </w:p>
          <w:p>
            <w:pPr>
              <w:spacing w:line="576" w:lineRule="exact"/>
              <w:ind w:right="6" w:rightChars="0" w:firstLine="420" w:firstLineChars="200"/>
              <w:jc w:val="both"/>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2、加强业务学习培训，树立现代绩效管理理念，设立科学合理的绩效目标和指标，增强目标约束力</w:t>
            </w:r>
          </w:p>
          <w:p>
            <w:pPr>
              <w:spacing w:line="576" w:lineRule="exact"/>
              <w:ind w:right="6" w:rightChars="0" w:firstLine="420" w:firstLineChars="200"/>
              <w:jc w:val="both"/>
              <w:rPr>
                <w:rFonts w:hint="eastAsia" w:ascii="仿宋_GB2312" w:hAnsi="宋体" w:eastAsia="仿宋_GB2312" w:cs="宋体"/>
                <w:szCs w:val="21"/>
                <w:lang w:eastAsia="zh-CN"/>
              </w:rPr>
            </w:pPr>
            <w:r>
              <w:rPr>
                <w:rFonts w:hint="eastAsia" w:ascii="仿宋_GB2312" w:hAnsi="宋体" w:eastAsia="仿宋_GB2312" w:cs="宋体"/>
                <w:szCs w:val="21"/>
                <w:lang w:val="en-US" w:eastAsia="zh-CN"/>
              </w:rPr>
              <w:t>3、建议加大资金投入力度，确保各项工作的正常开展和稳妥推进。</w:t>
            </w:r>
          </w:p>
          <w:p>
            <w:pPr>
              <w:spacing w:line="576" w:lineRule="exact"/>
              <w:ind w:right="6" w:rightChars="0"/>
              <w:jc w:val="both"/>
              <w:rPr>
                <w:rFonts w:hint="eastAsia" w:ascii="仿宋_GB2312" w:hAnsi="宋体" w:eastAsia="仿宋_GB2312"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1116" w:type="dxa"/>
            <w:vMerge w:val="continue"/>
            <w:noWrap w:val="0"/>
            <w:vAlign w:val="top"/>
          </w:tcPr>
          <w:p>
            <w:pPr>
              <w:spacing w:line="576" w:lineRule="exact"/>
              <w:jc w:val="center"/>
              <w:rPr>
                <w:rFonts w:hint="eastAsia" w:ascii="仿宋_GB2312" w:hAnsi="宋体" w:eastAsia="仿宋_GB2312" w:cs="宋体"/>
                <w:szCs w:val="21"/>
              </w:rPr>
            </w:pPr>
          </w:p>
        </w:tc>
        <w:tc>
          <w:tcPr>
            <w:tcW w:w="1542"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其他需要说明问题</w:t>
            </w:r>
          </w:p>
        </w:tc>
        <w:tc>
          <w:tcPr>
            <w:tcW w:w="5682" w:type="dxa"/>
            <w:noWrap w:val="0"/>
            <w:vAlign w:val="center"/>
          </w:tcPr>
          <w:p>
            <w:pPr>
              <w:spacing w:line="576" w:lineRule="exact"/>
              <w:ind w:right="6" w:rightChars="0"/>
              <w:jc w:val="center"/>
              <w:rPr>
                <w:rFonts w:hint="eastAsia" w:ascii="仿宋_GB2312" w:hAnsi="宋体" w:eastAsia="仿宋_GB2312" w:cs="宋体"/>
                <w:szCs w:val="21"/>
                <w:lang w:eastAsia="zh-CN"/>
              </w:rPr>
            </w:pPr>
            <w:r>
              <w:rPr>
                <w:rFonts w:hint="eastAsia" w:ascii="仿宋_GB2312" w:hAnsi="宋体" w:eastAsia="仿宋_GB2312" w:cs="宋体"/>
                <w:szCs w:val="21"/>
                <w:lang w:eastAsia="zh-CN"/>
              </w:rPr>
              <w:t>无</w:t>
            </w:r>
          </w:p>
        </w:tc>
      </w:tr>
    </w:tbl>
    <w:p>
      <w:pPr>
        <w:widowControl/>
        <w:jc w:val="left"/>
        <w:rPr>
          <w:rFonts w:hint="eastAsia" w:ascii="仿宋_GB2312" w:hAnsi="黑体" w:eastAsia="仿宋_GB2312" w:cs="黑体"/>
          <w:color w:val="000000"/>
          <w:sz w:val="32"/>
          <w:szCs w:val="32"/>
        </w:rPr>
      </w:pPr>
    </w:p>
    <w:p>
      <w:pPr>
        <w:pStyle w:val="2"/>
        <w:rPr>
          <w:rFonts w:hint="eastAsia" w:ascii="仿宋_GB2312" w:hAnsi="黑体" w:eastAsia="仿宋_GB2312" w:cs="黑体"/>
          <w:color w:val="000000"/>
          <w:sz w:val="32"/>
          <w:szCs w:val="32"/>
        </w:rPr>
      </w:pPr>
    </w:p>
    <w:p>
      <w:pPr>
        <w:pStyle w:val="2"/>
        <w:rPr>
          <w:rFonts w:hint="eastAsia" w:ascii="仿宋_GB2312" w:hAnsi="黑体" w:eastAsia="仿宋_GB2312" w:cs="黑体"/>
          <w:color w:val="000000"/>
          <w:sz w:val="32"/>
          <w:szCs w:val="32"/>
        </w:rPr>
      </w:pPr>
    </w:p>
    <w:p>
      <w:pPr>
        <w:pStyle w:val="2"/>
        <w:rPr>
          <w:rFonts w:hint="eastAsia" w:ascii="仿宋_GB2312" w:hAnsi="黑体" w:eastAsia="仿宋_GB2312" w:cs="黑体"/>
          <w:color w:val="000000"/>
          <w:sz w:val="32"/>
          <w:szCs w:val="32"/>
        </w:rPr>
      </w:pPr>
    </w:p>
    <w:p>
      <w:pPr>
        <w:pStyle w:val="2"/>
        <w:rPr>
          <w:rFonts w:hint="eastAsia" w:ascii="仿宋_GB2312" w:hAnsi="黑体" w:eastAsia="仿宋_GB2312" w:cs="黑体"/>
          <w:color w:val="000000"/>
          <w:sz w:val="32"/>
          <w:szCs w:val="32"/>
        </w:rPr>
      </w:pPr>
    </w:p>
    <w:p>
      <w:pPr>
        <w:widowControl/>
        <w:spacing w:line="480" w:lineRule="exact"/>
        <w:ind w:left="91"/>
        <w:jc w:val="center"/>
        <w:rPr>
          <w:rFonts w:hint="default" w:ascii="宋体" w:hAnsi="宋体" w:eastAsia="宋体" w:cs="方正小标宋_GBK"/>
          <w:b/>
          <w:kern w:val="0"/>
          <w:sz w:val="36"/>
          <w:szCs w:val="36"/>
          <w:lang w:val="en-US" w:eastAsia="zh-CN"/>
        </w:rPr>
      </w:pPr>
      <w:r>
        <w:rPr>
          <w:rFonts w:hint="eastAsia" w:ascii="宋体" w:hAnsi="宋体" w:cs="方正小标宋_GBK"/>
          <w:b/>
          <w:kern w:val="0"/>
          <w:sz w:val="36"/>
          <w:szCs w:val="36"/>
          <w:lang w:eastAsia="zh-CN"/>
        </w:rPr>
        <w:t>湘潭县科技和工业信息化局</w:t>
      </w:r>
      <w:r>
        <w:rPr>
          <w:rFonts w:hint="eastAsia" w:ascii="宋体" w:hAnsi="宋体" w:cs="方正小标宋_GBK"/>
          <w:b/>
          <w:kern w:val="0"/>
          <w:sz w:val="36"/>
          <w:szCs w:val="36"/>
          <w:lang w:val="en-US" w:eastAsia="zh-CN"/>
        </w:rPr>
        <w:t>2021年</w:t>
      </w:r>
    </w:p>
    <w:p>
      <w:pPr>
        <w:widowControl/>
        <w:spacing w:line="480" w:lineRule="exact"/>
        <w:ind w:left="91"/>
        <w:jc w:val="center"/>
        <w:rPr>
          <w:rFonts w:ascii="宋体" w:hAnsi="宋体" w:cs="宋体"/>
          <w:b/>
          <w:bCs/>
          <w:kern w:val="0"/>
          <w:sz w:val="36"/>
          <w:szCs w:val="36"/>
        </w:rPr>
      </w:pPr>
      <w:r>
        <w:rPr>
          <w:rFonts w:hint="eastAsia" w:ascii="宋体" w:hAnsi="宋体" w:cs="方正小标宋_GBK"/>
          <w:b/>
          <w:kern w:val="0"/>
          <w:sz w:val="36"/>
          <w:szCs w:val="36"/>
        </w:rPr>
        <w:t>部门整体支出绩效评价指标完成情况表</w:t>
      </w:r>
    </w:p>
    <w:tbl>
      <w:tblPr>
        <w:tblStyle w:val="4"/>
        <w:tblW w:w="9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709"/>
        <w:gridCol w:w="614"/>
        <w:gridCol w:w="889"/>
        <w:gridCol w:w="3265"/>
        <w:gridCol w:w="2278"/>
        <w:gridCol w:w="535"/>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blHeader/>
          <w:jc w:val="center"/>
        </w:trPr>
        <w:tc>
          <w:tcPr>
            <w:tcW w:w="675"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一级指标</w:t>
            </w:r>
          </w:p>
        </w:tc>
        <w:tc>
          <w:tcPr>
            <w:tcW w:w="70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二级指标</w:t>
            </w:r>
          </w:p>
        </w:tc>
        <w:tc>
          <w:tcPr>
            <w:tcW w:w="614"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分值</w:t>
            </w:r>
          </w:p>
        </w:tc>
        <w:tc>
          <w:tcPr>
            <w:tcW w:w="88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三级  指标</w:t>
            </w:r>
          </w:p>
        </w:tc>
        <w:tc>
          <w:tcPr>
            <w:tcW w:w="3265"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指标完成情况</w:t>
            </w:r>
          </w:p>
        </w:tc>
        <w:tc>
          <w:tcPr>
            <w:tcW w:w="2278"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评价标准</w:t>
            </w:r>
          </w:p>
        </w:tc>
        <w:tc>
          <w:tcPr>
            <w:tcW w:w="535"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分值</w:t>
            </w:r>
          </w:p>
        </w:tc>
        <w:tc>
          <w:tcPr>
            <w:tcW w:w="600"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675" w:type="dxa"/>
            <w:vMerge w:val="restart"/>
            <w:noWrap w:val="0"/>
            <w:textDirection w:val="tbRlV"/>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过    程</w:t>
            </w:r>
          </w:p>
        </w:tc>
        <w:tc>
          <w:tcPr>
            <w:tcW w:w="709"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预算执行</w:t>
            </w:r>
          </w:p>
        </w:tc>
        <w:tc>
          <w:tcPr>
            <w:tcW w:w="614"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30</w:t>
            </w:r>
          </w:p>
        </w:tc>
        <w:tc>
          <w:tcPr>
            <w:tcW w:w="88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预算调整率</w:t>
            </w:r>
          </w:p>
        </w:tc>
        <w:tc>
          <w:tcPr>
            <w:tcW w:w="3265"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预算调整率=（预算调整数/预算数）×100%。</w:t>
            </w:r>
          </w:p>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预算调整数：部门（单位）在本年度内涉及预算的追加、追减或结构调整的资金总和（因落实国家政策，发生不可抗力、上级部门或本级党委政府临时交办而产生的调整除外）。</w:t>
            </w:r>
          </w:p>
        </w:tc>
        <w:tc>
          <w:tcPr>
            <w:tcW w:w="2278"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预算调整率=0，计5分；0-10%（含），计4分；10-20%（含），计3分；20-30%（含），计2分；大于30%不得分。</w:t>
            </w:r>
          </w:p>
        </w:tc>
        <w:tc>
          <w:tcPr>
            <w:tcW w:w="535"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600" w:type="dxa"/>
            <w:noWrap w:val="0"/>
            <w:vAlign w:val="center"/>
          </w:tcPr>
          <w:p>
            <w:pPr>
              <w:widowControl/>
              <w:spacing w:line="320" w:lineRule="exact"/>
              <w:jc w:val="center"/>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70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14"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88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基本支出预算控制率</w:t>
            </w:r>
          </w:p>
        </w:tc>
        <w:tc>
          <w:tcPr>
            <w:tcW w:w="3265"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基本支出预算控制率=（基本支出实际支出/基本支出年度总预算）*100%。</w:t>
            </w:r>
          </w:p>
        </w:tc>
        <w:tc>
          <w:tcPr>
            <w:tcW w:w="2278"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基本支出预算控制率</w:t>
            </w:r>
            <w:r>
              <w:rPr>
                <w:rFonts w:hint="eastAsia" w:ascii="仿宋_GB2312" w:hAnsi="宋体" w:cs="宋体"/>
                <w:kern w:val="0"/>
                <w:szCs w:val="21"/>
              </w:rPr>
              <w:t>≦</w:t>
            </w:r>
            <w:r>
              <w:rPr>
                <w:rFonts w:hint="eastAsia" w:ascii="仿宋_GB2312" w:hAnsi="宋体" w:eastAsia="仿宋_GB2312" w:cs="宋体"/>
                <w:kern w:val="0"/>
                <w:szCs w:val="21"/>
              </w:rPr>
              <w:t>100%，计5分；100-110%（含），计4分；110-120%（含），计3分；120-130%（含），计2分；大于130%不得分。</w:t>
            </w:r>
          </w:p>
        </w:tc>
        <w:tc>
          <w:tcPr>
            <w:tcW w:w="535"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600"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70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14"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88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项目支出预算控制率</w:t>
            </w:r>
          </w:p>
        </w:tc>
        <w:tc>
          <w:tcPr>
            <w:tcW w:w="3265"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项目支出预算控制率=（项目支出实际支出/项目支出年度总预算）*100%。</w:t>
            </w:r>
          </w:p>
        </w:tc>
        <w:tc>
          <w:tcPr>
            <w:tcW w:w="2278"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项目支出预算控制率</w:t>
            </w:r>
            <w:r>
              <w:rPr>
                <w:rFonts w:hint="eastAsia" w:ascii="仿宋_GB2312" w:hAnsi="宋体" w:cs="宋体"/>
                <w:kern w:val="0"/>
                <w:szCs w:val="21"/>
              </w:rPr>
              <w:t>≦</w:t>
            </w:r>
            <w:r>
              <w:rPr>
                <w:rFonts w:hint="eastAsia" w:ascii="仿宋_GB2312" w:hAnsi="宋体" w:eastAsia="仿宋_GB2312" w:cs="宋体"/>
                <w:kern w:val="0"/>
                <w:szCs w:val="21"/>
              </w:rPr>
              <w:t>100%，计5分；100-110%（含），计4分；110-120%（含），计3分；120-130%（含），计2分；大于130%不得分。</w:t>
            </w:r>
          </w:p>
        </w:tc>
        <w:tc>
          <w:tcPr>
            <w:tcW w:w="535"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600"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70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14"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889"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资金结余</w:t>
            </w:r>
          </w:p>
        </w:tc>
        <w:tc>
          <w:tcPr>
            <w:tcW w:w="3265"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　</w:t>
            </w:r>
          </w:p>
        </w:tc>
        <w:tc>
          <w:tcPr>
            <w:tcW w:w="2278"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无结余，5分；有结余，但不超过上年结余，3分；结余超过上年结余，不得分。</w:t>
            </w:r>
          </w:p>
        </w:tc>
        <w:tc>
          <w:tcPr>
            <w:tcW w:w="535"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600"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70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14"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889"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3265" w:type="dxa"/>
            <w:noWrap w:val="0"/>
            <w:vAlign w:val="center"/>
          </w:tcPr>
          <w:p>
            <w:pPr>
              <w:widowControl/>
              <w:spacing w:line="320" w:lineRule="exact"/>
              <w:jc w:val="left"/>
              <w:rPr>
                <w:rFonts w:hint="eastAsia" w:ascii="仿宋_GB2312" w:hAnsi="宋体" w:eastAsia="仿宋_GB2312" w:cs="宋体"/>
                <w:kern w:val="0"/>
                <w:szCs w:val="21"/>
              </w:rPr>
            </w:pPr>
          </w:p>
        </w:tc>
        <w:tc>
          <w:tcPr>
            <w:tcW w:w="2278"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是否分项目核算结余结转，是，5分；否，0分。</w:t>
            </w:r>
          </w:p>
        </w:tc>
        <w:tc>
          <w:tcPr>
            <w:tcW w:w="535"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600"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70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14"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88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“三公经费”控制率</w:t>
            </w:r>
          </w:p>
        </w:tc>
        <w:tc>
          <w:tcPr>
            <w:tcW w:w="3265"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“三公经费”控制率=（“三公经费”实际支出数/“三公经费”预算安排数）×100%。</w:t>
            </w:r>
          </w:p>
        </w:tc>
        <w:tc>
          <w:tcPr>
            <w:tcW w:w="2278"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以100%为标准。三公经费控制率</w:t>
            </w:r>
            <w:r>
              <w:rPr>
                <w:rFonts w:hint="eastAsia" w:ascii="仿宋_GB2312" w:hAnsi="宋体" w:cs="宋体"/>
                <w:kern w:val="0"/>
                <w:szCs w:val="21"/>
              </w:rPr>
              <w:t>≦</w:t>
            </w:r>
            <w:r>
              <w:rPr>
                <w:rFonts w:hint="eastAsia" w:ascii="仿宋_GB2312" w:hAnsi="宋体" w:eastAsia="仿宋_GB2312" w:cs="宋体"/>
                <w:kern w:val="0"/>
                <w:szCs w:val="21"/>
              </w:rPr>
              <w:t>100%，计5分；每超过一个百分点扣1分，扣完为止。</w:t>
            </w:r>
          </w:p>
        </w:tc>
        <w:tc>
          <w:tcPr>
            <w:tcW w:w="535"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600"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675" w:type="dxa"/>
            <w:vMerge w:val="continue"/>
            <w:noWrap w:val="0"/>
            <w:textDirection w:val="tbRlV"/>
            <w:vAlign w:val="center"/>
          </w:tcPr>
          <w:p>
            <w:pPr>
              <w:widowControl/>
              <w:spacing w:line="320" w:lineRule="exact"/>
              <w:jc w:val="center"/>
              <w:rPr>
                <w:rFonts w:hint="eastAsia" w:ascii="仿宋_GB2312" w:hAnsi="宋体" w:eastAsia="仿宋_GB2312" w:cs="宋体"/>
                <w:kern w:val="0"/>
                <w:szCs w:val="21"/>
              </w:rPr>
            </w:pPr>
          </w:p>
        </w:tc>
        <w:tc>
          <w:tcPr>
            <w:tcW w:w="709" w:type="dxa"/>
            <w:vMerge w:val="restart"/>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预算管理</w:t>
            </w:r>
          </w:p>
        </w:tc>
        <w:tc>
          <w:tcPr>
            <w:tcW w:w="614"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20</w:t>
            </w:r>
          </w:p>
        </w:tc>
        <w:tc>
          <w:tcPr>
            <w:tcW w:w="88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管理制度健全性</w:t>
            </w:r>
          </w:p>
        </w:tc>
        <w:tc>
          <w:tcPr>
            <w:tcW w:w="3265"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　</w:t>
            </w:r>
          </w:p>
        </w:tc>
        <w:tc>
          <w:tcPr>
            <w:tcW w:w="2278"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①已制定或具有预算资金管理办法，内部财务管理制度、会计核算制度等管理制度，3分；②相关管理制度合法、合规、完整，2分。</w:t>
            </w:r>
          </w:p>
        </w:tc>
        <w:tc>
          <w:tcPr>
            <w:tcW w:w="535"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600"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70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14"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88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专账核算</w:t>
            </w:r>
          </w:p>
        </w:tc>
        <w:tc>
          <w:tcPr>
            <w:tcW w:w="3265" w:type="dxa"/>
            <w:noWrap w:val="0"/>
            <w:vAlign w:val="center"/>
          </w:tcPr>
          <w:p>
            <w:pPr>
              <w:widowControl/>
              <w:spacing w:line="320" w:lineRule="exact"/>
              <w:jc w:val="left"/>
              <w:rPr>
                <w:rFonts w:hint="eastAsia" w:ascii="仿宋_GB2312" w:hAnsi="宋体" w:eastAsia="仿宋_GB2312" w:cs="宋体"/>
                <w:kern w:val="0"/>
                <w:szCs w:val="21"/>
              </w:rPr>
            </w:pPr>
          </w:p>
        </w:tc>
        <w:tc>
          <w:tcPr>
            <w:tcW w:w="2278"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项目支出是否分项目单独核算，是5；否，0分。</w:t>
            </w:r>
          </w:p>
        </w:tc>
        <w:tc>
          <w:tcPr>
            <w:tcW w:w="535"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600"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70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14"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88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预决算信息公开性和完善性</w:t>
            </w:r>
          </w:p>
        </w:tc>
        <w:tc>
          <w:tcPr>
            <w:tcW w:w="3265"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 xml:space="preserve">预决算信息是指与部门预算、执行、决算、监督、绩效等管理相关的信息。                       </w:t>
            </w:r>
          </w:p>
        </w:tc>
        <w:tc>
          <w:tcPr>
            <w:tcW w:w="2278"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 xml:space="preserve">①按规定内容公开预决算信息，3分；②按规定时限公开预决算信息，2分。                                            </w:t>
            </w:r>
          </w:p>
        </w:tc>
        <w:tc>
          <w:tcPr>
            <w:tcW w:w="535"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600"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70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14"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88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政府采购完成情况</w:t>
            </w:r>
          </w:p>
        </w:tc>
        <w:tc>
          <w:tcPr>
            <w:tcW w:w="3265" w:type="dxa"/>
            <w:noWrap w:val="0"/>
            <w:vAlign w:val="center"/>
          </w:tcPr>
          <w:p>
            <w:pPr>
              <w:widowControl/>
              <w:spacing w:line="320" w:lineRule="exact"/>
              <w:jc w:val="left"/>
              <w:rPr>
                <w:rFonts w:hint="eastAsia" w:ascii="仿宋_GB2312" w:hAnsi="宋体" w:eastAsia="仿宋_GB2312" w:cs="宋体"/>
                <w:kern w:val="0"/>
                <w:szCs w:val="21"/>
              </w:rPr>
            </w:pPr>
          </w:p>
        </w:tc>
        <w:tc>
          <w:tcPr>
            <w:tcW w:w="2278"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达到政府采购要求的是否进行了政府采购，是，5分；否，0分。</w:t>
            </w:r>
          </w:p>
        </w:tc>
        <w:tc>
          <w:tcPr>
            <w:tcW w:w="535"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600"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8" w:hRule="atLeast"/>
          <w:jc w:val="center"/>
        </w:trPr>
        <w:tc>
          <w:tcPr>
            <w:tcW w:w="67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70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资产管理</w:t>
            </w:r>
          </w:p>
        </w:tc>
        <w:tc>
          <w:tcPr>
            <w:tcW w:w="614"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889"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管理制度健全性</w:t>
            </w:r>
          </w:p>
        </w:tc>
        <w:tc>
          <w:tcPr>
            <w:tcW w:w="3265"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部门（单位）为加强资产管理，规范资产管理行为而制定的管理制度是否健全完整、用以反映                                                                                                                                                                                                                                                                                                                                                                                                                                                                                                                                                                               和考核部门（单位）资产管理制度对完成主要职责或促进社会发展的保障情况。</w:t>
            </w:r>
          </w:p>
        </w:tc>
        <w:tc>
          <w:tcPr>
            <w:tcW w:w="2278" w:type="dxa"/>
            <w:noWrap w:val="0"/>
            <w:vAlign w:val="center"/>
          </w:tcPr>
          <w:p>
            <w:pPr>
              <w:widowControl/>
              <w:spacing w:line="320" w:lineRule="exact"/>
              <w:jc w:val="left"/>
              <w:rPr>
                <w:rFonts w:hint="eastAsia" w:ascii="仿宋_GB2312" w:hAnsi="宋体" w:eastAsia="仿宋_GB2312" w:cs="宋体"/>
                <w:kern w:val="0"/>
                <w:szCs w:val="21"/>
              </w:rPr>
            </w:pPr>
            <w:r>
              <w:rPr>
                <w:rFonts w:hint="eastAsia" w:ascii="仿宋_GB2312" w:hAnsi="宋体" w:eastAsia="仿宋_GB2312" w:cs="宋体"/>
                <w:kern w:val="0"/>
                <w:szCs w:val="21"/>
              </w:rPr>
              <w:t>①已制定或具有资产管理制度，3分；②相关资产管理制度合法、合规、完整，2分</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rPr>
              <w:t xml:space="preserve">                                           </w:t>
            </w:r>
          </w:p>
        </w:tc>
        <w:tc>
          <w:tcPr>
            <w:tcW w:w="535"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5</w:t>
            </w:r>
          </w:p>
        </w:tc>
        <w:tc>
          <w:tcPr>
            <w:tcW w:w="600" w:type="dxa"/>
            <w:noWrap w:val="0"/>
            <w:vAlign w:val="center"/>
          </w:tcPr>
          <w:p>
            <w:pPr>
              <w:widowControl/>
              <w:spacing w:line="320" w:lineRule="exact"/>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restart"/>
            <w:noWrap w:val="0"/>
            <w:textDirection w:val="tbRlV"/>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产   出</w:t>
            </w:r>
          </w:p>
          <w:p>
            <w:pPr>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效   果</w:t>
            </w:r>
          </w:p>
        </w:tc>
        <w:tc>
          <w:tcPr>
            <w:tcW w:w="709"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职责 履行</w:t>
            </w:r>
          </w:p>
        </w:tc>
        <w:tc>
          <w:tcPr>
            <w:tcW w:w="614"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45</w:t>
            </w:r>
          </w:p>
        </w:tc>
        <w:tc>
          <w:tcPr>
            <w:tcW w:w="889"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绩效目标完成情况</w:t>
            </w:r>
          </w:p>
        </w:tc>
        <w:tc>
          <w:tcPr>
            <w:tcW w:w="3265" w:type="dxa"/>
            <w:noWrap w:val="0"/>
            <w:vAlign w:val="center"/>
          </w:tcPr>
          <w:p>
            <w:pPr>
              <w:widowControl/>
              <w:spacing w:line="320" w:lineRule="exact"/>
              <w:jc w:val="left"/>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确保局各项工作正常运转、完成年度工作任务目标</w:t>
            </w:r>
          </w:p>
        </w:tc>
        <w:tc>
          <w:tcPr>
            <w:tcW w:w="2278"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是否完成工作任务目标，是</w:t>
            </w:r>
            <w:r>
              <w:rPr>
                <w:rFonts w:hint="eastAsia" w:ascii="仿宋_GB2312" w:hAnsi="宋体" w:eastAsia="仿宋_GB2312" w:cs="宋体"/>
                <w:kern w:val="0"/>
                <w:szCs w:val="21"/>
                <w:lang w:val="en-US" w:eastAsia="zh-CN"/>
              </w:rPr>
              <w:t>10分；否0分</w:t>
            </w:r>
          </w:p>
        </w:tc>
        <w:tc>
          <w:tcPr>
            <w:tcW w:w="535"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45</w:t>
            </w:r>
          </w:p>
        </w:tc>
        <w:tc>
          <w:tcPr>
            <w:tcW w:w="600" w:type="dxa"/>
            <w:vMerge w:val="restart"/>
            <w:noWrap w:val="0"/>
            <w:vAlign w:val="center"/>
          </w:tcPr>
          <w:p>
            <w:pPr>
              <w:widowControl/>
              <w:spacing w:line="320" w:lineRule="exact"/>
              <w:jc w:val="center"/>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continue"/>
            <w:noWrap w:val="0"/>
            <w:textDirection w:val="tbRlV"/>
            <w:vAlign w:val="center"/>
          </w:tcPr>
          <w:p>
            <w:pPr>
              <w:widowControl/>
              <w:spacing w:line="320" w:lineRule="exact"/>
              <w:jc w:val="left"/>
            </w:pPr>
          </w:p>
        </w:tc>
        <w:tc>
          <w:tcPr>
            <w:tcW w:w="709" w:type="dxa"/>
            <w:vMerge w:val="continue"/>
            <w:noWrap w:val="0"/>
            <w:vAlign w:val="center"/>
          </w:tcPr>
          <w:p>
            <w:pPr>
              <w:widowControl/>
              <w:spacing w:line="320" w:lineRule="exact"/>
              <w:jc w:val="left"/>
            </w:pPr>
          </w:p>
        </w:tc>
        <w:tc>
          <w:tcPr>
            <w:tcW w:w="614" w:type="dxa"/>
            <w:vMerge w:val="continue"/>
            <w:noWrap w:val="0"/>
            <w:vAlign w:val="center"/>
          </w:tcPr>
          <w:p>
            <w:pPr>
              <w:widowControl/>
              <w:spacing w:line="320" w:lineRule="exact"/>
              <w:jc w:val="left"/>
            </w:pPr>
          </w:p>
        </w:tc>
        <w:tc>
          <w:tcPr>
            <w:tcW w:w="88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3265"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基本支出人数</w:t>
            </w:r>
            <w:r>
              <w:rPr>
                <w:rFonts w:hint="eastAsia" w:ascii="仿宋_GB2312" w:hAnsi="宋体" w:eastAsia="仿宋_GB2312" w:cs="宋体"/>
                <w:kern w:val="0"/>
                <w:szCs w:val="21"/>
                <w:lang w:val="en-US" w:eastAsia="zh-CN"/>
              </w:rPr>
              <w:t>152人次，项目支出6个</w:t>
            </w:r>
          </w:p>
        </w:tc>
        <w:tc>
          <w:tcPr>
            <w:tcW w:w="2278"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基本支出人数</w:t>
            </w:r>
            <w:r>
              <w:rPr>
                <w:rFonts w:hint="eastAsia" w:ascii="仿宋_GB2312" w:hAnsi="宋体" w:eastAsia="仿宋_GB2312" w:cs="宋体"/>
                <w:kern w:val="0"/>
                <w:szCs w:val="21"/>
                <w:lang w:val="en-US" w:eastAsia="zh-CN"/>
              </w:rPr>
              <w:t>=152人</w:t>
            </w:r>
            <w:r>
              <w:rPr>
                <w:rFonts w:hint="eastAsia" w:ascii="仿宋_GB2312" w:hAnsi="宋体" w:eastAsia="仿宋_GB2312" w:cs="宋体"/>
                <w:kern w:val="0"/>
                <w:szCs w:val="21"/>
                <w:lang w:eastAsia="zh-CN"/>
              </w:rPr>
              <w:t>，项目支出个数</w:t>
            </w:r>
            <w:r>
              <w:rPr>
                <w:rFonts w:hint="eastAsia" w:ascii="仿宋_GB2312" w:hAnsi="宋体" w:eastAsia="仿宋_GB2312" w:cs="宋体"/>
                <w:kern w:val="0"/>
                <w:szCs w:val="21"/>
                <w:lang w:val="en-US" w:eastAsia="zh-CN"/>
              </w:rPr>
              <w:t>=6个，计5分</w:t>
            </w:r>
          </w:p>
        </w:tc>
        <w:tc>
          <w:tcPr>
            <w:tcW w:w="53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00" w:type="dxa"/>
            <w:vMerge w:val="continue"/>
            <w:noWrap w:val="0"/>
            <w:vAlign w:val="center"/>
          </w:tcPr>
          <w:p>
            <w:pPr>
              <w:widowControl/>
              <w:spacing w:line="320" w:lineRule="exact"/>
              <w:jc w:val="left"/>
              <w:rPr>
                <w:rFonts w:hint="eastAsia"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continue"/>
            <w:noWrap w:val="0"/>
            <w:textDirection w:val="tbRlV"/>
            <w:vAlign w:val="center"/>
          </w:tcPr>
          <w:p>
            <w:pPr>
              <w:widowControl/>
              <w:spacing w:line="320" w:lineRule="exact"/>
              <w:jc w:val="left"/>
            </w:pPr>
          </w:p>
        </w:tc>
        <w:tc>
          <w:tcPr>
            <w:tcW w:w="709" w:type="dxa"/>
            <w:vMerge w:val="continue"/>
            <w:noWrap w:val="0"/>
            <w:vAlign w:val="center"/>
          </w:tcPr>
          <w:p>
            <w:pPr>
              <w:widowControl/>
              <w:spacing w:line="320" w:lineRule="exact"/>
              <w:jc w:val="left"/>
            </w:pPr>
          </w:p>
        </w:tc>
        <w:tc>
          <w:tcPr>
            <w:tcW w:w="614" w:type="dxa"/>
            <w:vMerge w:val="continue"/>
            <w:noWrap w:val="0"/>
            <w:vAlign w:val="center"/>
          </w:tcPr>
          <w:p>
            <w:pPr>
              <w:widowControl/>
              <w:spacing w:line="320" w:lineRule="exact"/>
              <w:jc w:val="left"/>
            </w:pPr>
          </w:p>
        </w:tc>
        <w:tc>
          <w:tcPr>
            <w:tcW w:w="88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3265"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基本经费支出</w:t>
            </w:r>
            <w:r>
              <w:rPr>
                <w:rFonts w:hint="eastAsia" w:ascii="仿宋_GB2312" w:hAnsi="宋体" w:eastAsia="仿宋_GB2312" w:cs="宋体"/>
                <w:kern w:val="0"/>
                <w:szCs w:val="21"/>
                <w:lang w:val="en-US" w:eastAsia="zh-CN"/>
              </w:rPr>
              <w:t>647.4万元，项目经费支出274.3万元</w:t>
            </w:r>
          </w:p>
        </w:tc>
        <w:tc>
          <w:tcPr>
            <w:tcW w:w="2278"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各项经费支出控制良好</w:t>
            </w:r>
            <w:r>
              <w:rPr>
                <w:rFonts w:hint="eastAsia" w:ascii="仿宋_GB2312" w:hAnsi="宋体" w:eastAsia="仿宋_GB2312" w:cs="宋体"/>
                <w:kern w:val="0"/>
                <w:szCs w:val="21"/>
                <w:lang w:val="en-US" w:eastAsia="zh-CN"/>
              </w:rPr>
              <w:t>5分</w:t>
            </w:r>
          </w:p>
        </w:tc>
        <w:tc>
          <w:tcPr>
            <w:tcW w:w="53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00" w:type="dxa"/>
            <w:vMerge w:val="continue"/>
            <w:noWrap w:val="0"/>
            <w:vAlign w:val="center"/>
          </w:tcPr>
          <w:p>
            <w:pPr>
              <w:widowControl/>
              <w:spacing w:line="320" w:lineRule="exact"/>
              <w:jc w:val="left"/>
              <w:rPr>
                <w:rFonts w:hint="eastAsia"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continue"/>
            <w:noWrap w:val="0"/>
            <w:textDirection w:val="tbRlV"/>
            <w:vAlign w:val="center"/>
          </w:tcPr>
          <w:p>
            <w:pPr>
              <w:widowControl/>
              <w:spacing w:line="320" w:lineRule="exact"/>
              <w:jc w:val="left"/>
            </w:pPr>
          </w:p>
        </w:tc>
        <w:tc>
          <w:tcPr>
            <w:tcW w:w="709" w:type="dxa"/>
            <w:vMerge w:val="continue"/>
            <w:noWrap w:val="0"/>
            <w:vAlign w:val="center"/>
          </w:tcPr>
          <w:p>
            <w:pPr>
              <w:widowControl/>
              <w:spacing w:line="320" w:lineRule="exact"/>
              <w:jc w:val="left"/>
            </w:pPr>
          </w:p>
        </w:tc>
        <w:tc>
          <w:tcPr>
            <w:tcW w:w="614" w:type="dxa"/>
            <w:vMerge w:val="continue"/>
            <w:noWrap w:val="0"/>
            <w:vAlign w:val="center"/>
          </w:tcPr>
          <w:p>
            <w:pPr>
              <w:widowControl/>
              <w:spacing w:line="320" w:lineRule="exact"/>
              <w:jc w:val="left"/>
            </w:pPr>
          </w:p>
        </w:tc>
        <w:tc>
          <w:tcPr>
            <w:tcW w:w="889"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3265"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绩效目标完成时间</w:t>
            </w:r>
            <w:r>
              <w:rPr>
                <w:rFonts w:hint="eastAsia" w:ascii="仿宋_GB2312" w:hAnsi="宋体" w:eastAsia="仿宋_GB2312" w:cs="宋体"/>
                <w:kern w:val="0"/>
                <w:szCs w:val="21"/>
                <w:lang w:val="en-US" w:eastAsia="zh-CN"/>
              </w:rPr>
              <w:t>12月31日前</w:t>
            </w:r>
          </w:p>
        </w:tc>
        <w:tc>
          <w:tcPr>
            <w:tcW w:w="2278" w:type="dxa"/>
            <w:noWrap w:val="0"/>
            <w:vAlign w:val="center"/>
          </w:tcPr>
          <w:p>
            <w:pPr>
              <w:widowControl/>
              <w:spacing w:line="32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按时完成任务</w:t>
            </w:r>
            <w:r>
              <w:rPr>
                <w:rFonts w:hint="eastAsia" w:ascii="仿宋_GB2312" w:hAnsi="宋体" w:eastAsia="仿宋_GB2312" w:cs="宋体"/>
                <w:kern w:val="0"/>
                <w:szCs w:val="21"/>
                <w:lang w:val="en-US" w:eastAsia="zh-CN"/>
              </w:rPr>
              <w:t>5分；否0分</w:t>
            </w:r>
          </w:p>
        </w:tc>
        <w:tc>
          <w:tcPr>
            <w:tcW w:w="535" w:type="dxa"/>
            <w:vMerge w:val="continue"/>
            <w:noWrap w:val="0"/>
            <w:vAlign w:val="center"/>
          </w:tcPr>
          <w:p>
            <w:pPr>
              <w:widowControl/>
              <w:spacing w:line="320" w:lineRule="exact"/>
              <w:jc w:val="left"/>
              <w:rPr>
                <w:rFonts w:hint="eastAsia" w:ascii="仿宋_GB2312" w:hAnsi="宋体" w:eastAsia="仿宋_GB2312" w:cs="宋体"/>
                <w:kern w:val="0"/>
                <w:szCs w:val="21"/>
              </w:rPr>
            </w:pPr>
          </w:p>
        </w:tc>
        <w:tc>
          <w:tcPr>
            <w:tcW w:w="600" w:type="dxa"/>
            <w:vMerge w:val="continue"/>
            <w:noWrap w:val="0"/>
            <w:vAlign w:val="center"/>
          </w:tcPr>
          <w:p>
            <w:pPr>
              <w:widowControl/>
              <w:spacing w:line="320" w:lineRule="exact"/>
              <w:jc w:val="left"/>
              <w:rPr>
                <w:rFonts w:hint="eastAsia"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continue"/>
            <w:noWrap w:val="0"/>
            <w:textDirection w:val="tbRlV"/>
            <w:vAlign w:val="center"/>
          </w:tcPr>
          <w:p>
            <w:pPr>
              <w:widowControl/>
              <w:spacing w:line="320" w:lineRule="exact"/>
              <w:jc w:val="center"/>
              <w:rPr>
                <w:rFonts w:hint="eastAsia" w:ascii="仿宋_GB2312" w:hAnsi="宋体" w:eastAsia="仿宋_GB2312" w:cs="宋体"/>
                <w:kern w:val="0"/>
                <w:szCs w:val="21"/>
              </w:rPr>
            </w:pPr>
          </w:p>
        </w:tc>
        <w:tc>
          <w:tcPr>
            <w:tcW w:w="709" w:type="dxa"/>
            <w:vMerge w:val="restart"/>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履职 效益</w:t>
            </w:r>
          </w:p>
        </w:tc>
        <w:tc>
          <w:tcPr>
            <w:tcW w:w="614"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889"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3265" w:type="dxa"/>
            <w:noWrap w:val="0"/>
            <w:vAlign w:val="center"/>
          </w:tcPr>
          <w:p>
            <w:pPr>
              <w:widowControl/>
              <w:spacing w:line="240" w:lineRule="exact"/>
              <w:jc w:val="left"/>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确保规模工业增加值稳定增长</w:t>
            </w:r>
          </w:p>
        </w:tc>
        <w:tc>
          <w:tcPr>
            <w:tcW w:w="2278" w:type="dxa"/>
            <w:noWrap w:val="0"/>
            <w:vAlign w:val="center"/>
          </w:tcPr>
          <w:p>
            <w:pPr>
              <w:widowControl/>
              <w:spacing w:line="24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稳定增长≥</w:t>
            </w:r>
            <w:r>
              <w:rPr>
                <w:rFonts w:hint="eastAsia" w:ascii="仿宋_GB2312" w:hAnsi="宋体" w:eastAsia="仿宋_GB2312" w:cs="宋体"/>
                <w:kern w:val="0"/>
                <w:szCs w:val="21"/>
                <w:lang w:val="en-US" w:eastAsia="zh-CN"/>
              </w:rPr>
              <w:t>10% 计5分，每减少1%扣一分</w:t>
            </w:r>
          </w:p>
        </w:tc>
        <w:tc>
          <w:tcPr>
            <w:tcW w:w="535" w:type="dxa"/>
            <w:vMerge w:val="continue"/>
            <w:noWrap w:val="0"/>
            <w:vAlign w:val="center"/>
          </w:tcPr>
          <w:p>
            <w:pPr>
              <w:widowControl/>
              <w:spacing w:line="240" w:lineRule="exact"/>
              <w:jc w:val="center"/>
              <w:rPr>
                <w:rFonts w:hint="eastAsia" w:ascii="仿宋_GB2312" w:hAnsi="宋体" w:eastAsia="仿宋_GB2312" w:cs="宋体"/>
                <w:kern w:val="0"/>
                <w:szCs w:val="21"/>
              </w:rPr>
            </w:pPr>
          </w:p>
        </w:tc>
        <w:tc>
          <w:tcPr>
            <w:tcW w:w="600" w:type="dxa"/>
            <w:vMerge w:val="continue"/>
            <w:noWrap w:val="0"/>
            <w:vAlign w:val="center"/>
          </w:tcPr>
          <w:p>
            <w:pPr>
              <w:widowControl/>
              <w:spacing w:line="240" w:lineRule="exact"/>
              <w:jc w:val="center"/>
              <w:rPr>
                <w:rFonts w:hint="eastAsia" w:ascii="仿宋_GB2312" w:hAnsi="宋体" w:eastAsia="仿宋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continue"/>
            <w:noWrap w:val="0"/>
            <w:textDirection w:val="tbRlV"/>
            <w:vAlign w:val="center"/>
          </w:tcPr>
          <w:p>
            <w:pPr>
              <w:widowControl/>
              <w:spacing w:line="320" w:lineRule="exact"/>
              <w:jc w:val="center"/>
              <w:rPr>
                <w:rFonts w:hint="eastAsia" w:ascii="仿宋_GB2312" w:hAnsi="宋体" w:eastAsia="仿宋_GB2312" w:cs="宋体"/>
                <w:kern w:val="0"/>
                <w:szCs w:val="21"/>
              </w:rPr>
            </w:pPr>
          </w:p>
        </w:tc>
        <w:tc>
          <w:tcPr>
            <w:tcW w:w="709"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614"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889"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3265" w:type="dxa"/>
            <w:noWrap w:val="0"/>
            <w:vAlign w:val="center"/>
          </w:tcPr>
          <w:p>
            <w:pPr>
              <w:widowControl/>
              <w:spacing w:line="240" w:lineRule="exact"/>
              <w:jc w:val="left"/>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确保工作顺利进行</w:t>
            </w:r>
          </w:p>
        </w:tc>
        <w:tc>
          <w:tcPr>
            <w:tcW w:w="2278" w:type="dxa"/>
            <w:noWrap w:val="0"/>
            <w:vAlign w:val="center"/>
          </w:tcPr>
          <w:p>
            <w:pPr>
              <w:widowControl/>
              <w:spacing w:line="24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工作是否顺利进行，是</w:t>
            </w:r>
            <w:r>
              <w:rPr>
                <w:rFonts w:hint="eastAsia" w:ascii="仿宋_GB2312" w:hAnsi="宋体" w:eastAsia="仿宋_GB2312" w:cs="宋体"/>
                <w:kern w:val="0"/>
                <w:szCs w:val="21"/>
                <w:lang w:val="en-US" w:eastAsia="zh-CN"/>
              </w:rPr>
              <w:t>5分；否0分</w:t>
            </w:r>
          </w:p>
        </w:tc>
        <w:tc>
          <w:tcPr>
            <w:tcW w:w="535" w:type="dxa"/>
            <w:vMerge w:val="continue"/>
            <w:noWrap w:val="0"/>
            <w:vAlign w:val="center"/>
          </w:tcPr>
          <w:p>
            <w:pPr>
              <w:widowControl/>
              <w:spacing w:line="240" w:lineRule="exact"/>
              <w:jc w:val="center"/>
              <w:rPr>
                <w:rFonts w:hint="eastAsia" w:ascii="仿宋_GB2312" w:hAnsi="宋体" w:eastAsia="仿宋_GB2312" w:cs="宋体"/>
                <w:kern w:val="0"/>
                <w:szCs w:val="21"/>
              </w:rPr>
            </w:pPr>
          </w:p>
        </w:tc>
        <w:tc>
          <w:tcPr>
            <w:tcW w:w="600" w:type="dxa"/>
            <w:vMerge w:val="continue"/>
            <w:noWrap w:val="0"/>
            <w:vAlign w:val="center"/>
          </w:tcPr>
          <w:p>
            <w:pPr>
              <w:widowControl/>
              <w:spacing w:line="240" w:lineRule="exact"/>
              <w:jc w:val="center"/>
              <w:rPr>
                <w:rFonts w:hint="eastAsia" w:ascii="仿宋_GB2312" w:hAnsi="宋体" w:eastAsia="仿宋_GB2312" w:cs="宋体"/>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continue"/>
            <w:noWrap w:val="0"/>
            <w:textDirection w:val="tbRlV"/>
            <w:vAlign w:val="center"/>
          </w:tcPr>
          <w:p>
            <w:pPr>
              <w:widowControl/>
              <w:spacing w:line="320" w:lineRule="exact"/>
              <w:jc w:val="center"/>
              <w:rPr>
                <w:rFonts w:hint="eastAsia" w:ascii="仿宋_GB2312" w:hAnsi="宋体" w:eastAsia="仿宋_GB2312" w:cs="宋体"/>
                <w:kern w:val="0"/>
                <w:szCs w:val="21"/>
              </w:rPr>
            </w:pPr>
          </w:p>
        </w:tc>
        <w:tc>
          <w:tcPr>
            <w:tcW w:w="709"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614"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889"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3265" w:type="dxa"/>
            <w:noWrap w:val="0"/>
            <w:vAlign w:val="center"/>
          </w:tcPr>
          <w:p>
            <w:pPr>
              <w:widowControl/>
              <w:spacing w:line="240" w:lineRule="exact"/>
              <w:jc w:val="left"/>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社会稳定，环境良好</w:t>
            </w:r>
          </w:p>
        </w:tc>
        <w:tc>
          <w:tcPr>
            <w:tcW w:w="2278" w:type="dxa"/>
            <w:noWrap w:val="0"/>
            <w:vAlign w:val="center"/>
          </w:tcPr>
          <w:p>
            <w:pPr>
              <w:widowControl/>
              <w:spacing w:line="24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社会稳定，环境良好</w:t>
            </w:r>
            <w:r>
              <w:rPr>
                <w:rFonts w:hint="eastAsia" w:ascii="仿宋_GB2312" w:hAnsi="宋体" w:eastAsia="仿宋_GB2312" w:cs="宋体"/>
                <w:kern w:val="0"/>
                <w:szCs w:val="21"/>
                <w:lang w:val="en-US" w:eastAsia="zh-CN"/>
              </w:rPr>
              <w:t>5分</w:t>
            </w:r>
          </w:p>
        </w:tc>
        <w:tc>
          <w:tcPr>
            <w:tcW w:w="535" w:type="dxa"/>
            <w:vMerge w:val="continue"/>
            <w:noWrap w:val="0"/>
            <w:vAlign w:val="center"/>
          </w:tcPr>
          <w:p>
            <w:pPr>
              <w:widowControl/>
              <w:spacing w:line="240" w:lineRule="exact"/>
              <w:jc w:val="center"/>
              <w:rPr>
                <w:rFonts w:hint="eastAsia" w:ascii="仿宋_GB2312" w:hAnsi="宋体" w:eastAsia="仿宋_GB2312" w:cs="宋体"/>
                <w:kern w:val="0"/>
                <w:szCs w:val="21"/>
              </w:rPr>
            </w:pPr>
          </w:p>
        </w:tc>
        <w:tc>
          <w:tcPr>
            <w:tcW w:w="600" w:type="dxa"/>
            <w:vMerge w:val="continue"/>
            <w:noWrap w:val="0"/>
            <w:vAlign w:val="center"/>
          </w:tcPr>
          <w:p>
            <w:pPr>
              <w:widowControl/>
              <w:spacing w:line="240" w:lineRule="exact"/>
              <w:jc w:val="center"/>
              <w:rPr>
                <w:rFonts w:hint="eastAsia" w:ascii="仿宋_GB2312" w:hAnsi="宋体" w:eastAsia="仿宋_GB2312" w:cs="宋体"/>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75" w:type="dxa"/>
            <w:vMerge w:val="continue"/>
            <w:noWrap w:val="0"/>
            <w:textDirection w:val="tbRlV"/>
            <w:vAlign w:val="center"/>
          </w:tcPr>
          <w:p>
            <w:pPr>
              <w:widowControl/>
              <w:spacing w:line="320" w:lineRule="exact"/>
              <w:jc w:val="center"/>
              <w:rPr>
                <w:rFonts w:hint="eastAsia" w:ascii="仿宋_GB2312" w:hAnsi="宋体" w:eastAsia="仿宋_GB2312" w:cs="宋体"/>
                <w:kern w:val="0"/>
                <w:szCs w:val="21"/>
              </w:rPr>
            </w:pPr>
          </w:p>
        </w:tc>
        <w:tc>
          <w:tcPr>
            <w:tcW w:w="709"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614"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889" w:type="dxa"/>
            <w:vMerge w:val="continue"/>
            <w:noWrap w:val="0"/>
            <w:vAlign w:val="center"/>
          </w:tcPr>
          <w:p>
            <w:pPr>
              <w:widowControl/>
              <w:spacing w:line="320" w:lineRule="exact"/>
              <w:jc w:val="center"/>
              <w:rPr>
                <w:rFonts w:hint="eastAsia" w:ascii="仿宋_GB2312" w:hAnsi="宋体" w:eastAsia="仿宋_GB2312" w:cs="宋体"/>
                <w:kern w:val="0"/>
                <w:szCs w:val="21"/>
              </w:rPr>
            </w:pPr>
          </w:p>
        </w:tc>
        <w:tc>
          <w:tcPr>
            <w:tcW w:w="3265" w:type="dxa"/>
            <w:noWrap w:val="0"/>
            <w:vAlign w:val="center"/>
          </w:tcPr>
          <w:p>
            <w:pPr>
              <w:widowControl/>
              <w:spacing w:line="24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服务对象满意度达</w:t>
            </w:r>
            <w:r>
              <w:rPr>
                <w:rFonts w:hint="eastAsia" w:ascii="仿宋_GB2312" w:hAnsi="宋体" w:eastAsia="仿宋_GB2312" w:cs="宋体"/>
                <w:kern w:val="0"/>
                <w:szCs w:val="21"/>
                <w:lang w:val="en-US" w:eastAsia="zh-CN"/>
              </w:rPr>
              <w:t>98%以上</w:t>
            </w:r>
          </w:p>
        </w:tc>
        <w:tc>
          <w:tcPr>
            <w:tcW w:w="2278" w:type="dxa"/>
            <w:noWrap w:val="0"/>
            <w:vAlign w:val="center"/>
          </w:tcPr>
          <w:p>
            <w:pPr>
              <w:widowControl/>
              <w:spacing w:line="240" w:lineRule="exact"/>
              <w:jc w:val="left"/>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98%以上5分，每降低1%扣1分</w:t>
            </w:r>
          </w:p>
        </w:tc>
        <w:tc>
          <w:tcPr>
            <w:tcW w:w="535" w:type="dxa"/>
            <w:vMerge w:val="continue"/>
            <w:noWrap w:val="0"/>
            <w:vAlign w:val="center"/>
          </w:tcPr>
          <w:p>
            <w:pPr>
              <w:widowControl/>
              <w:spacing w:line="240" w:lineRule="exact"/>
              <w:jc w:val="center"/>
              <w:rPr>
                <w:rFonts w:hint="eastAsia" w:ascii="仿宋_GB2312" w:hAnsi="宋体" w:eastAsia="仿宋_GB2312" w:cs="宋体"/>
                <w:kern w:val="0"/>
                <w:szCs w:val="21"/>
              </w:rPr>
            </w:pPr>
          </w:p>
        </w:tc>
        <w:tc>
          <w:tcPr>
            <w:tcW w:w="600" w:type="dxa"/>
            <w:vMerge w:val="continue"/>
            <w:noWrap w:val="0"/>
            <w:vAlign w:val="center"/>
          </w:tcPr>
          <w:p>
            <w:pPr>
              <w:widowControl/>
              <w:spacing w:line="240" w:lineRule="exact"/>
              <w:jc w:val="center"/>
              <w:rPr>
                <w:rFonts w:hint="eastAsia" w:ascii="仿宋_GB2312" w:hAnsi="宋体" w:eastAsia="仿宋_GB2312" w:cs="宋体"/>
                <w:kern w:val="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675" w:type="dxa"/>
            <w:noWrap w:val="0"/>
            <w:textDirection w:val="tbRlV"/>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合计</w:t>
            </w:r>
          </w:p>
        </w:tc>
        <w:tc>
          <w:tcPr>
            <w:tcW w:w="709" w:type="dxa"/>
            <w:noWrap w:val="0"/>
            <w:vAlign w:val="center"/>
          </w:tcPr>
          <w:p>
            <w:pPr>
              <w:widowControl/>
              <w:spacing w:line="320" w:lineRule="exact"/>
              <w:jc w:val="center"/>
              <w:rPr>
                <w:rFonts w:hint="eastAsia" w:ascii="仿宋_GB2312" w:hAnsi="宋体" w:eastAsia="仿宋_GB2312" w:cs="宋体"/>
                <w:kern w:val="0"/>
                <w:szCs w:val="21"/>
              </w:rPr>
            </w:pPr>
          </w:p>
        </w:tc>
        <w:tc>
          <w:tcPr>
            <w:tcW w:w="614" w:type="dxa"/>
            <w:noWrap w:val="0"/>
            <w:vAlign w:val="center"/>
          </w:tcPr>
          <w:p>
            <w:pPr>
              <w:widowControl/>
              <w:spacing w:line="32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100</w:t>
            </w:r>
          </w:p>
        </w:tc>
        <w:tc>
          <w:tcPr>
            <w:tcW w:w="889" w:type="dxa"/>
            <w:noWrap w:val="0"/>
            <w:vAlign w:val="center"/>
          </w:tcPr>
          <w:p>
            <w:pPr>
              <w:widowControl/>
              <w:spacing w:line="320" w:lineRule="exact"/>
              <w:jc w:val="center"/>
              <w:rPr>
                <w:rFonts w:hint="eastAsia" w:ascii="仿宋_GB2312" w:hAnsi="宋体" w:eastAsia="仿宋_GB2312" w:cs="宋体"/>
                <w:kern w:val="0"/>
                <w:szCs w:val="21"/>
              </w:rPr>
            </w:pPr>
          </w:p>
        </w:tc>
        <w:tc>
          <w:tcPr>
            <w:tcW w:w="3265" w:type="dxa"/>
            <w:noWrap w:val="0"/>
            <w:vAlign w:val="center"/>
          </w:tcPr>
          <w:p>
            <w:pPr>
              <w:widowControl/>
              <w:spacing w:line="240" w:lineRule="exact"/>
              <w:jc w:val="left"/>
              <w:rPr>
                <w:rFonts w:hint="eastAsia" w:ascii="仿宋_GB2312" w:hAnsi="宋体" w:eastAsia="仿宋_GB2312" w:cs="宋体"/>
                <w:kern w:val="0"/>
                <w:szCs w:val="21"/>
              </w:rPr>
            </w:pPr>
          </w:p>
        </w:tc>
        <w:tc>
          <w:tcPr>
            <w:tcW w:w="2278" w:type="dxa"/>
            <w:noWrap w:val="0"/>
            <w:vAlign w:val="center"/>
          </w:tcPr>
          <w:p>
            <w:pPr>
              <w:widowControl/>
              <w:spacing w:line="240" w:lineRule="exact"/>
              <w:jc w:val="left"/>
              <w:rPr>
                <w:rFonts w:hint="eastAsia" w:ascii="仿宋_GB2312" w:hAnsi="宋体" w:eastAsia="仿宋_GB2312" w:cs="宋体"/>
                <w:kern w:val="0"/>
                <w:szCs w:val="21"/>
              </w:rPr>
            </w:pPr>
          </w:p>
        </w:tc>
        <w:tc>
          <w:tcPr>
            <w:tcW w:w="535" w:type="dxa"/>
            <w:noWrap w:val="0"/>
            <w:vAlign w:val="center"/>
          </w:tcPr>
          <w:p>
            <w:pPr>
              <w:widowControl/>
              <w:spacing w:line="240" w:lineRule="exact"/>
              <w:jc w:val="center"/>
              <w:rPr>
                <w:rFonts w:hint="eastAsia" w:ascii="仿宋_GB2312" w:hAnsi="宋体" w:eastAsia="仿宋_GB2312" w:cs="宋体"/>
                <w:kern w:val="0"/>
                <w:szCs w:val="21"/>
              </w:rPr>
            </w:pPr>
            <w:r>
              <w:rPr>
                <w:rFonts w:hint="eastAsia" w:ascii="仿宋_GB2312" w:hAnsi="宋体" w:eastAsia="仿宋_GB2312" w:cs="宋体"/>
                <w:kern w:val="0"/>
                <w:szCs w:val="21"/>
              </w:rPr>
              <w:t>100</w:t>
            </w:r>
          </w:p>
        </w:tc>
        <w:tc>
          <w:tcPr>
            <w:tcW w:w="600" w:type="dxa"/>
            <w:noWrap w:val="0"/>
            <w:vAlign w:val="center"/>
          </w:tcPr>
          <w:p>
            <w:pPr>
              <w:widowControl/>
              <w:spacing w:line="240" w:lineRule="exact"/>
              <w:jc w:val="center"/>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98</w:t>
            </w:r>
          </w:p>
        </w:tc>
      </w:tr>
    </w:tbl>
    <w:p/>
    <w:p>
      <w:pPr>
        <w:pStyle w:val="2"/>
        <w:rPr>
          <w:rFonts w:hint="eastAsia" w:ascii="仿宋_GB2312" w:hAnsi="黑体" w:eastAsia="仿宋_GB2312" w:cs="黑体"/>
          <w:color w:val="000000"/>
          <w:sz w:val="32"/>
          <w:szCs w:val="32"/>
        </w:rPr>
      </w:pPr>
    </w:p>
    <w:p>
      <w:pPr>
        <w:widowControl/>
        <w:jc w:val="left"/>
        <w:rPr>
          <w:rFonts w:hint="eastAsia" w:ascii="黑体" w:hAnsi="黑体" w:eastAsia="黑体" w:cs="黑体"/>
          <w:color w:val="000000"/>
          <w:sz w:val="32"/>
          <w:szCs w:val="32"/>
        </w:rPr>
      </w:pPr>
    </w:p>
    <w:p>
      <w:pPr>
        <w:widowControl/>
        <w:jc w:val="left"/>
        <w:rPr>
          <w:rFonts w:hint="eastAsia" w:ascii="黑体" w:hAnsi="黑体" w:eastAsia="黑体" w:cs="黑体"/>
          <w:color w:val="000000"/>
          <w:sz w:val="32"/>
          <w:szCs w:val="32"/>
        </w:rPr>
      </w:pPr>
    </w:p>
    <w:p>
      <w:pPr>
        <w:widowControl/>
        <w:jc w:val="left"/>
        <w:rPr>
          <w:rFonts w:hint="eastAsia" w:ascii="黑体" w:hAnsi="黑体" w:eastAsia="黑体" w:cs="黑体"/>
          <w:color w:val="000000"/>
          <w:sz w:val="32"/>
          <w:szCs w:val="32"/>
        </w:rPr>
      </w:pPr>
    </w:p>
    <w:p>
      <w:pPr>
        <w:widowControl/>
        <w:jc w:val="left"/>
        <w:rPr>
          <w:rFonts w:hint="eastAsia" w:ascii="黑体" w:hAnsi="黑体" w:eastAsia="黑体" w:cs="黑体"/>
          <w:color w:val="000000"/>
          <w:sz w:val="32"/>
          <w:szCs w:val="32"/>
        </w:rPr>
      </w:pPr>
    </w:p>
    <w:p>
      <w:pPr>
        <w:widowControl/>
        <w:jc w:val="left"/>
        <w:rPr>
          <w:rFonts w:hint="eastAsia" w:ascii="黑体" w:hAnsi="黑体" w:eastAsia="黑体" w:cs="黑体"/>
          <w:color w:val="00000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jNjlkZWFmNzVhOWUzODg5ZDVlNjNlYmQxNzFhMzIifQ=="/>
  </w:docVars>
  <w:rsids>
    <w:rsidRoot w:val="25E50806"/>
    <w:rsid w:val="00E931B3"/>
    <w:rsid w:val="01A958FB"/>
    <w:rsid w:val="040704E0"/>
    <w:rsid w:val="077536E6"/>
    <w:rsid w:val="16EF1A49"/>
    <w:rsid w:val="1FF53D5B"/>
    <w:rsid w:val="25E50806"/>
    <w:rsid w:val="26C10FA8"/>
    <w:rsid w:val="322F6DE6"/>
    <w:rsid w:val="3BD35859"/>
    <w:rsid w:val="40435490"/>
    <w:rsid w:val="41FD037C"/>
    <w:rsid w:val="431C3BA8"/>
    <w:rsid w:val="47B74F4E"/>
    <w:rsid w:val="4E573787"/>
    <w:rsid w:val="5C0304F7"/>
    <w:rsid w:val="64505292"/>
    <w:rsid w:val="6453553C"/>
    <w:rsid w:val="66BF52C6"/>
    <w:rsid w:val="67E660D5"/>
    <w:rsid w:val="6DD76F36"/>
    <w:rsid w:val="70003AAC"/>
    <w:rsid w:val="782936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Calibri" w:hAnsi="Calibri"/>
      <w:sz w:val="18"/>
      <w:szCs w:val="18"/>
    </w:rPr>
  </w:style>
  <w:style w:type="paragraph" w:styleId="3">
    <w:name w:val="Normal (Web)"/>
    <w:basedOn w:val="1"/>
    <w:qFormat/>
    <w:uiPriority w:val="0"/>
    <w:pPr>
      <w:widowControl w:val="0"/>
      <w:spacing w:before="0" w:beforeAutospacing="1" w:after="0" w:afterAutospacing="1"/>
      <w:ind w:left="0" w:right="0"/>
      <w:jc w:val="left"/>
    </w:pPr>
    <w:rPr>
      <w:rFonts w:asciiTheme="minorHAnsi" w:hAnsiTheme="minorHAnsi" w:eastAsiaTheme="minorEastAsia" w:cstheme="minorBidi"/>
      <w:kern w:val="0"/>
      <w:sz w:val="24"/>
      <w:szCs w:val="24"/>
      <w:lang w:val="en-US" w:eastAsia="zh-CN" w:bidi="ar"/>
    </w:rPr>
  </w:style>
  <w:style w:type="character" w:customStyle="1" w:styleId="6">
    <w:name w:val="NormalCharacter"/>
    <w:semiHidden/>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6112</Words>
  <Characters>6620</Characters>
  <Lines>0</Lines>
  <Paragraphs>0</Paragraphs>
  <TotalTime>6</TotalTime>
  <ScaleCrop>false</ScaleCrop>
  <LinksUpToDate>false</LinksUpToDate>
  <CharactersWithSpaces>7364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2022-05-11T07:08:00Z</dcterms:created>
  <dc:creator>Administrator</dc:creator>
  <cp:lastModifiedBy>相濡以沫</cp:lastModifiedBy>
  <dcterms:modified xsi:type="dcterms:W3CDTF">2022-05-31T02:29:05Z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CD60F2ED7E05445BB7CF8835B752F0B7</vt:lpwstr>
  </property>
</Properties>
</file>