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仿宋_GB2312" w:hAnsi="仿宋_GB2312" w:eastAsia="仿宋_GB2312" w:cs="仿宋_GB2312"/>
          <w:b/>
          <w:bCs/>
          <w:kern w:val="0"/>
          <w:sz w:val="32"/>
          <w:szCs w:val="32"/>
        </w:rPr>
      </w:pPr>
      <w:r>
        <w:rPr>
          <w:rFonts w:hint="eastAsia" w:ascii="黑体" w:hAnsi="黑体" w:eastAsia="黑体" w:cs="黑体"/>
          <w:color w:val="000000"/>
          <w:sz w:val="32"/>
          <w:szCs w:val="32"/>
        </w:rPr>
        <w:t>附件5</w:t>
      </w:r>
    </w:p>
    <w:p>
      <w:pPr>
        <w:widowControl/>
        <w:spacing w:line="576" w:lineRule="exact"/>
        <w:jc w:val="center"/>
        <w:rPr>
          <w:rFonts w:hint="eastAsia" w:ascii="宋体" w:hAnsi="宋体" w:cs="仿宋_GB2312"/>
          <w:b/>
          <w:bCs/>
          <w:color w:val="000000"/>
          <w:kern w:val="0"/>
          <w:sz w:val="36"/>
          <w:szCs w:val="36"/>
          <w:lang w:eastAsia="zh-CN"/>
        </w:rPr>
      </w:pPr>
      <w:r>
        <w:rPr>
          <w:rFonts w:hint="eastAsia" w:ascii="宋体" w:hAnsi="宋体" w:cs="仿宋_GB2312"/>
          <w:b/>
          <w:bCs/>
          <w:color w:val="000000"/>
          <w:kern w:val="0"/>
          <w:sz w:val="36"/>
          <w:szCs w:val="36"/>
          <w:lang w:eastAsia="zh-CN"/>
        </w:rPr>
        <w:t>校车补助县级配套经费</w:t>
      </w:r>
    </w:p>
    <w:p>
      <w:pPr>
        <w:widowControl/>
        <w:spacing w:line="576" w:lineRule="exact"/>
        <w:jc w:val="center"/>
        <w:rPr>
          <w:rFonts w:hint="eastAsia" w:ascii="方正小标宋_GBK" w:hAnsi="方正小标宋_GBK" w:eastAsia="方正小标宋_GBK" w:cs="方正小标宋_GBK"/>
          <w:sz w:val="36"/>
          <w:szCs w:val="36"/>
          <w:u w:val="single"/>
        </w:rPr>
      </w:pPr>
      <w:r>
        <w:rPr>
          <w:rFonts w:hint="eastAsia" w:ascii="宋体" w:hAnsi="宋体" w:cs="仿宋_GB2312"/>
          <w:b/>
          <w:bCs/>
          <w:color w:val="000000"/>
          <w:kern w:val="0"/>
          <w:sz w:val="36"/>
          <w:szCs w:val="36"/>
        </w:rPr>
        <w:t>项目支出绩效评价报告</w:t>
      </w:r>
    </w:p>
    <w:tbl>
      <w:tblPr>
        <w:tblStyle w:val="3"/>
        <w:tblpPr w:leftFromText="180" w:rightFromText="180" w:vertAnchor="text" w:horzAnchor="margin" w:tblpXSpec="center" w:tblpY="1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部门概况</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专项名称</w:t>
            </w:r>
          </w:p>
        </w:tc>
        <w:tc>
          <w:tcPr>
            <w:tcW w:w="5670" w:type="dxa"/>
            <w:noWrap w:val="0"/>
            <w:vAlign w:val="center"/>
          </w:tcPr>
          <w:p>
            <w:pPr>
              <w:spacing w:line="576" w:lineRule="exact"/>
              <w:ind w:right="880" w:rightChars="419"/>
              <w:jc w:val="center"/>
              <w:rPr>
                <w:rFonts w:hint="eastAsia" w:ascii="仿宋_GB2312" w:hAnsi="宋体" w:eastAsia="仿宋_GB2312" w:cs="宋体"/>
                <w:szCs w:val="32"/>
              </w:rPr>
            </w:pPr>
            <w:r>
              <w:rPr>
                <w:rFonts w:hint="eastAsia" w:ascii="仿宋_GB2312" w:hAnsi="宋体" w:eastAsia="仿宋_GB2312" w:cs="宋体"/>
                <w:szCs w:val="32"/>
              </w:rPr>
              <w:t>校车补助县级配套经费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年度预算金额</w:t>
            </w:r>
          </w:p>
        </w:tc>
        <w:tc>
          <w:tcPr>
            <w:tcW w:w="5670" w:type="dxa"/>
            <w:noWrap w:val="0"/>
            <w:vAlign w:val="center"/>
          </w:tcPr>
          <w:p>
            <w:pPr>
              <w:spacing w:line="576" w:lineRule="exact"/>
              <w:ind w:right="880" w:rightChars="419"/>
              <w:jc w:val="center"/>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240万元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项目主管部门</w:t>
            </w:r>
          </w:p>
        </w:tc>
        <w:tc>
          <w:tcPr>
            <w:tcW w:w="5670" w:type="dxa"/>
            <w:noWrap w:val="0"/>
            <w:vAlign w:val="center"/>
          </w:tcPr>
          <w:p>
            <w:pPr>
              <w:spacing w:line="576" w:lineRule="exact"/>
              <w:ind w:right="880" w:rightChars="419"/>
              <w:jc w:val="center"/>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湘潭县教育局校车办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项目立项目的</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宋体" w:eastAsia="仿宋_GB2312" w:cs="宋体"/>
                <w:szCs w:val="32"/>
              </w:rPr>
            </w:pPr>
            <w:r>
              <w:rPr>
                <w:rFonts w:hint="eastAsia" w:ascii="仿宋_GB2312" w:hAnsi="宋体" w:eastAsia="仿宋_GB2312" w:cs="宋体"/>
                <w:kern w:val="2"/>
                <w:sz w:val="21"/>
                <w:szCs w:val="32"/>
                <w:lang w:val="en-US" w:eastAsia="zh-CN" w:bidi="ar-SA"/>
              </w:rPr>
              <w:t>通过专项绩效评价，优化资源配置，完善公共财政体系，强化预算支出的责任和效率，控制节约成本，提高校车补助县级配套资金的效益，提升管理效能和服务水平。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绩效情况</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项目支出管理和使用基本情况</w:t>
            </w:r>
          </w:p>
        </w:tc>
        <w:tc>
          <w:tcPr>
            <w:tcW w:w="5670" w:type="dxa"/>
            <w:noWrap w:val="0"/>
            <w:vAlign w:val="center"/>
          </w:tcPr>
          <w:p>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firstLine="420" w:firstLineChars="200"/>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我单位高度重视</w:t>
            </w:r>
            <w:r>
              <w:rPr>
                <w:rFonts w:hint="eastAsia" w:ascii="仿宋_GB2312" w:eastAsia="仿宋_GB2312" w:cs="宋体"/>
                <w:kern w:val="2"/>
                <w:sz w:val="21"/>
                <w:szCs w:val="32"/>
                <w:lang w:val="en-US" w:eastAsia="zh-CN" w:bidi="ar-SA"/>
              </w:rPr>
              <w:t>校车补助项目按</w:t>
            </w:r>
            <w:r>
              <w:rPr>
                <w:rFonts w:hint="eastAsia" w:ascii="仿宋_GB2312" w:hAnsi="宋体" w:eastAsia="仿宋_GB2312" w:cs="宋体"/>
                <w:kern w:val="2"/>
                <w:sz w:val="21"/>
                <w:szCs w:val="32"/>
                <w:lang w:val="en-US" w:eastAsia="zh-CN" w:bidi="ar-SA"/>
              </w:rPr>
              <w:t>照《湘潭县教育系统专项资金管理暂行办法》</w:t>
            </w:r>
            <w:r>
              <w:rPr>
                <w:rFonts w:hint="eastAsia" w:ascii="仿宋_GB2312" w:eastAsia="仿宋_GB2312" w:cs="宋体"/>
                <w:kern w:val="2"/>
                <w:sz w:val="21"/>
                <w:szCs w:val="32"/>
                <w:lang w:val="en-US" w:eastAsia="zh-CN" w:bidi="ar-SA"/>
              </w:rPr>
              <w:t>进行了学习并</w:t>
            </w:r>
            <w:r>
              <w:rPr>
                <w:rFonts w:hint="eastAsia" w:ascii="仿宋_GB2312" w:hAnsi="宋体" w:eastAsia="仿宋_GB2312" w:cs="宋体"/>
                <w:kern w:val="2"/>
                <w:sz w:val="21"/>
                <w:szCs w:val="32"/>
                <w:lang w:val="en-US" w:eastAsia="zh-CN" w:bidi="ar-SA"/>
              </w:rPr>
              <w:t>召开会议，对校车安全管理专项资金绩效评价工作进行了专项布置，成立了绩效管理领导小组。成立以副局长为组长，校车办主任为副组长，相关股室人员为成员的县级校车安全专项资金绩效申报与评价工作小组</w:t>
            </w:r>
            <w:r>
              <w:rPr>
                <w:rFonts w:hint="eastAsia" w:ascii="仿宋_GB2312" w:eastAsia="仿宋_GB2312" w:cs="宋体"/>
                <w:kern w:val="2"/>
                <w:sz w:val="21"/>
                <w:szCs w:val="32"/>
                <w:lang w:val="en-US" w:eastAsia="zh-CN" w:bidi="ar-SA"/>
              </w:rPr>
              <w:t>，</w:t>
            </w:r>
            <w:r>
              <w:rPr>
                <w:rFonts w:hint="eastAsia" w:ascii="仿宋_GB2312" w:hAnsi="宋体" w:eastAsia="仿宋_GB2312" w:cs="宋体"/>
                <w:kern w:val="2"/>
                <w:sz w:val="21"/>
                <w:szCs w:val="32"/>
                <w:lang w:val="en-US" w:eastAsia="zh-CN" w:bidi="ar-SA"/>
              </w:rPr>
              <w:t>组织相关人员认真学习专项资金文件，要求项目单位实施专人负责，专款专用，绝不截留、挪用。</w:t>
            </w:r>
          </w:p>
          <w:p>
            <w:pPr>
              <w:ind w:firstLine="411" w:firstLineChars="196"/>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年初预算资金240万元（含县级资金140万）；湘潭县教育局于2021年12月底前将该项资金按预算计划先后拨付到单位。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项目绩效目标完成情况</w:t>
            </w:r>
          </w:p>
        </w:tc>
        <w:tc>
          <w:tcPr>
            <w:tcW w:w="5670" w:type="dxa"/>
            <w:noWrap w:val="0"/>
            <w:vAlign w:val="center"/>
          </w:tcPr>
          <w:p>
            <w:pPr>
              <w:ind w:firstLine="420" w:firstLineChars="200"/>
              <w:rPr>
                <w:rFonts w:hint="default" w:ascii="仿宋_GB2312" w:hAnsi="宋体" w:eastAsia="仿宋_GB2312" w:cs="宋体"/>
                <w:kern w:val="2"/>
                <w:sz w:val="21"/>
                <w:szCs w:val="32"/>
                <w:lang w:val="en-US" w:eastAsia="zh-CN" w:bidi="ar-SA"/>
              </w:rPr>
            </w:pPr>
            <w:r>
              <w:rPr>
                <w:rFonts w:hint="eastAsia" w:ascii="仿宋_GB2312" w:hAnsi="宋体" w:eastAsia="仿宋_GB2312" w:cs="宋体"/>
                <w:szCs w:val="32"/>
                <w:lang w:val="en-US" w:eastAsia="zh-CN"/>
              </w:rPr>
              <w:t>1、</w:t>
            </w:r>
            <w:r>
              <w:rPr>
                <w:rFonts w:hint="eastAsia" w:ascii="仿宋_GB2312" w:hAnsi="宋体" w:eastAsia="仿宋_GB2312" w:cs="宋体"/>
                <w:kern w:val="2"/>
                <w:sz w:val="21"/>
                <w:szCs w:val="32"/>
                <w:lang w:val="en-US" w:eastAsia="zh-CN" w:bidi="ar-SA"/>
              </w:rPr>
              <w:t>在2021年12月底完成下列事项：完成对全县幼儿园园车3484座进行了补助，涉及补助的182台校车全部符合《专用校车安全技术条件》（GBZ440-2012）和《专用校车学生座椅系统及车辆固定的强度》（GBZ4406-2012）的标准，营造安全便捷的幼儿乘车环境，为全县持续稳定发展奠定基础，校车安全管理工作得到了社会各界肯定和好评。</w:t>
            </w:r>
          </w:p>
          <w:p>
            <w:pPr>
              <w:keepNext w:val="0"/>
              <w:keepLines w:val="0"/>
              <w:pageBreakBefore w:val="0"/>
              <w:widowControl w:val="0"/>
              <w:kinsoku/>
              <w:wordWrap/>
              <w:overflowPunct/>
              <w:topLinePunct w:val="0"/>
              <w:autoSpaceDE/>
              <w:autoSpaceDN/>
              <w:bidi w:val="0"/>
              <w:adjustRightInd/>
              <w:snapToGrid/>
              <w:spacing w:line="300" w:lineRule="exact"/>
              <w:ind w:right="0" w:rightChars="0" w:firstLine="420" w:firstLineChars="200"/>
              <w:jc w:val="left"/>
              <w:textAlignment w:val="auto"/>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2、对专项项目对照评价指标体系进行了评价，得分为100分。财政支出绩效等第为“优秀”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bookmarkStart w:id="0" w:name="_GoBack" w:colFirst="2" w:colLast="2"/>
            <w:r>
              <w:rPr>
                <w:rFonts w:hint="eastAsia" w:ascii="仿宋_GB2312" w:hAnsi="宋体" w:eastAsia="仿宋_GB2312" w:cs="宋体"/>
                <w:szCs w:val="32"/>
              </w:rPr>
              <w:t>存在的问题分析及改进措施</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存在的问题</w:t>
            </w:r>
          </w:p>
        </w:tc>
        <w:tc>
          <w:tcPr>
            <w:tcW w:w="5670" w:type="dxa"/>
            <w:noWrap w:val="0"/>
            <w:vAlign w:val="center"/>
          </w:tcPr>
          <w:p>
            <w:pPr>
              <w:spacing w:line="576" w:lineRule="exact"/>
              <w:ind w:right="880" w:rightChars="419" w:firstLine="420" w:firstLineChars="200"/>
              <w:jc w:val="both"/>
              <w:rPr>
                <w:rFonts w:hint="default" w:ascii="仿宋_GB2312" w:hAnsi="宋体" w:eastAsia="仿宋" w:cs="宋体"/>
                <w:szCs w:val="32"/>
                <w:lang w:val="en-US" w:eastAsia="zh-CN"/>
              </w:rPr>
            </w:pPr>
            <w:r>
              <w:rPr>
                <w:rFonts w:hint="eastAsia" w:ascii="仿宋_GB2312" w:hAnsi="宋体" w:eastAsia="仿宋" w:cs="宋体"/>
                <w:szCs w:val="32"/>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改进措施</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880" w:rightChars="419" w:firstLine="420" w:firstLineChars="200"/>
              <w:jc w:val="left"/>
              <w:textAlignment w:val="auto"/>
              <w:rPr>
                <w:rFonts w:hint="eastAsia" w:ascii="仿宋_GB2312" w:hAnsi="宋体" w:eastAsia="仿宋_GB2312" w:cs="宋体"/>
                <w:szCs w:val="32"/>
              </w:rPr>
            </w:pPr>
            <w:r>
              <w:rPr>
                <w:rFonts w:hint="eastAsia" w:ascii="仿宋_GB2312" w:hAnsi="宋体" w:eastAsia="仿宋_GB2312" w:cs="宋体"/>
                <w:szCs w:val="32"/>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其他需要说明问题</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880" w:rightChars="419" w:firstLine="420" w:firstLineChars="200"/>
              <w:jc w:val="left"/>
              <w:textAlignment w:val="auto"/>
              <w:rPr>
                <w:rFonts w:hint="eastAsia" w:ascii="仿宋_GB2312" w:hAnsi="宋体" w:eastAsia="仿宋_GB2312" w:cs="宋体"/>
                <w:szCs w:val="32"/>
              </w:rPr>
            </w:pPr>
            <w:r>
              <w:rPr>
                <w:rFonts w:hint="eastAsia" w:ascii="仿宋_GB2312" w:hAnsi="宋体" w:eastAsia="仿宋_GB2312" w:cs="宋体"/>
                <w:szCs w:val="32"/>
                <w:lang w:val="en-US" w:eastAsia="zh-CN"/>
              </w:rPr>
              <w:t>无</w:t>
            </w:r>
          </w:p>
        </w:tc>
      </w:tr>
      <w:bookmarkEnd w:id="0"/>
    </w:tbl>
    <w:p>
      <w:pPr>
        <w:snapToGrid w:val="0"/>
        <w:spacing w:line="540" w:lineRule="exact"/>
        <w:rPr>
          <w:rFonts w:hint="eastAsia" w:ascii="黑体" w:hAnsi="黑体" w:eastAsia="黑体" w:cs="黑体"/>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164DAC"/>
    <w:rsid w:val="07095195"/>
    <w:rsid w:val="18930821"/>
    <w:rsid w:val="2F68353A"/>
    <w:rsid w:val="4B164DAC"/>
    <w:rsid w:val="6F8739E6"/>
    <w:rsid w:val="756F7946"/>
    <w:rsid w:val="7C256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2021-05-27T07:09:00Z</dcterms:created>
  <dc:creator>雨与晴</dc:creator>
  <cp:lastModifiedBy>HUAWEI</cp:lastModifiedBy>
  <dcterms:modified xsi:type="dcterms:W3CDTF">2022-05-09T02:02:23Z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FF5E7600711E477C9F8A49C22491EE3A</vt:lpwstr>
  </property>
</Properties>
</file>