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color w:val="000000"/>
          <w:sz w:val="32"/>
          <w:szCs w:val="32"/>
        </w:rPr>
      </w:pPr>
      <w:r>
        <w:rPr>
          <w:rFonts w:hint="eastAsia" w:ascii="黑体" w:hAnsi="黑体" w:eastAsia="黑体" w:cs="黑体"/>
          <w:color w:val="000000"/>
          <w:sz w:val="32"/>
          <w:szCs w:val="32"/>
        </w:rPr>
        <w:t>附件5</w:t>
      </w:r>
    </w:p>
    <w:p>
      <w:pPr>
        <w:widowControl/>
        <w:jc w:val="center"/>
        <w:rPr>
          <w:rFonts w:hint="eastAsia" w:ascii="仿宋_GB2312" w:hAnsi="仿宋_GB2312" w:eastAsia="仿宋_GB2312" w:cs="仿宋_GB2312"/>
          <w:b/>
          <w:bCs/>
          <w:kern w:val="0"/>
          <w:sz w:val="32"/>
          <w:szCs w:val="32"/>
        </w:rPr>
      </w:pPr>
      <w:r>
        <w:rPr>
          <w:rFonts w:hint="eastAsia" w:ascii="宋体" w:hAnsi="宋体" w:cs="仿宋_GB2312"/>
          <w:b/>
          <w:bCs/>
          <w:color w:val="000000"/>
          <w:kern w:val="0"/>
          <w:sz w:val="36"/>
          <w:szCs w:val="36"/>
        </w:rPr>
        <w:t>部门整体支出绩效</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项目支出绩效评价报告</w:t>
      </w:r>
    </w:p>
    <w:tbl>
      <w:tblPr>
        <w:tblStyle w:val="3"/>
        <w:tblpPr w:leftFromText="180" w:rightFromText="180" w:vertAnchor="text" w:horzAnchor="margin" w:tblpXSpec="center" w:tblpY="189"/>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522"/>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6133"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部门整体支出绩效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6133"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val="en-US" w:eastAsia="zh-CN"/>
              </w:rPr>
              <w:t>102390.67</w:t>
            </w:r>
            <w:r>
              <w:rPr>
                <w:rFonts w:hint="eastAsia" w:ascii="仿宋_GB2312" w:hAnsi="宋体" w:eastAsia="仿宋_GB2312" w:cs="宋体"/>
                <w:szCs w:val="32"/>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6133"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湘潭县教育局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6133" w:type="dxa"/>
            <w:noWrap w:val="0"/>
            <w:vAlign w:val="center"/>
          </w:tcPr>
          <w:p>
            <w:pPr>
              <w:keepNext w:val="0"/>
              <w:keepLines w:val="0"/>
              <w:pageBreakBefore w:val="0"/>
              <w:widowControl w:val="0"/>
              <w:kinsoku/>
              <w:wordWrap/>
              <w:overflowPunct/>
              <w:topLinePunct w:val="0"/>
              <w:autoSpaceDE/>
              <w:autoSpaceDN/>
              <w:bidi w:val="0"/>
              <w:adjustRightInd/>
              <w:snapToGrid/>
              <w:spacing w:line="276" w:lineRule="exact"/>
              <w:ind w:right="880" w:rightChars="419" w:firstLine="420" w:firstLineChars="200"/>
              <w:jc w:val="center"/>
              <w:textAlignment w:val="auto"/>
              <w:rPr>
                <w:rFonts w:hint="eastAsia" w:ascii="仿宋_GB2312" w:hAnsi="宋体" w:eastAsia="仿宋_GB2312" w:cs="宋体"/>
                <w:szCs w:val="32"/>
              </w:rPr>
            </w:pPr>
            <w:r>
              <w:rPr>
                <w:rFonts w:hint="eastAsia" w:ascii="仿宋_GB2312" w:hAnsi="宋体" w:eastAsia="仿宋_GB2312" w:cs="宋体"/>
                <w:szCs w:val="32"/>
                <w:lang w:eastAsia="zh-CN"/>
              </w:rPr>
              <w:t>通过绩效评价，改进预算管理，优化资源配置，控制节约成本，提高管理效能和服务水平。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6133" w:type="dxa"/>
            <w:noWrap w:val="0"/>
            <w:vAlign w:val="center"/>
          </w:tcPr>
          <w:p>
            <w:pPr>
              <w:pStyle w:val="2"/>
              <w:keepNext w:val="0"/>
              <w:keepLines w:val="0"/>
              <w:pageBreakBefore w:val="0"/>
              <w:widowControl w:val="0"/>
              <w:shd w:val="clear"/>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根据绩效评价的有关要求和《湘潭县财政局关于印发&lt;湘潭县2021年度预算绩效管理工作方案&gt;的通知》等文件精神，我局成立了湘潭县教育局绩效评价工作领导小组，由局长任组长，分管财务的副局长任副组长，党委成员和各股室负责人为领导小组成员；并制定了《湘潭县教育局2021年度财政支出项目资金绩效自评工作方案》，成立了工作小组。</w:t>
            </w:r>
          </w:p>
          <w:p>
            <w:pPr>
              <w:pStyle w:val="2"/>
              <w:keepNext w:val="0"/>
              <w:keepLines w:val="0"/>
              <w:pageBreakBefore w:val="0"/>
              <w:widowControl w:val="0"/>
              <w:shd w:val="clear"/>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按照《湘潭县教育局2021年度财政支出项目资金绩效自评工作方案》要求，我局召开了专题会议，明确了分工和责任。由各单位组织人员查阅相关资料，提交工作小组讨论并对照评价指标体系进行自评打分，最后撰写自评报告，并将有关的材料汇总装订成册交发展规划和财务股。</w:t>
            </w:r>
          </w:p>
          <w:p>
            <w:pPr>
              <w:pStyle w:val="2"/>
              <w:keepNext w:val="0"/>
              <w:keepLines w:val="0"/>
              <w:pageBreakBefore w:val="0"/>
              <w:widowControl w:val="0"/>
              <w:shd w:val="clear"/>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1、2021年预算收入102390.67万元，其中一般公共预算拨款75933.09万元，上级补助收入17008.11元，纳入专户管理的非税收入拨款2200.96万元，其他拨款7248.51万元。2021年预算支出102390.67万元，其中：基本支出82708.98万元（工资福利支出70526.25万元，商品和服务支出11510.53万元，对个人和家庭的补助支出672.20万元），其中县本级预算支出为71280.87万元（工资福利支出67101.54万元，商品和服务支出3538.32万元，对个人和家庭的补助支出641.02万元）；项目支出19681.69万元。</w:t>
            </w:r>
          </w:p>
          <w:p>
            <w:pPr>
              <w:pStyle w:val="2"/>
              <w:keepNext w:val="0"/>
              <w:keepLines w:val="0"/>
              <w:pageBreakBefore w:val="0"/>
              <w:widowControl w:val="0"/>
              <w:shd w:val="clear"/>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2、年中调整预算情况：年中调整预算情况：2021年基本支出年初预算内82708.96元，追加预算4434.51万元。项目支出年初预算19681.69万元，因财政困难全年整体项目预算调增调减合计为减少6961.72万元。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61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210" w:firstLineChars="1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2021年收入支出预算执行情况：</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总收入：99863.46万元。（1）财政拨款87830.90万元,占总收入的87.95%；（2） 事业收入9205.58万元，占总收入的9.22%；（4）政府性基金15万元，占总收入0.02%（3） 其他收入2807.97万元，占总收入的2.81%</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总支出：103875.64万元。（1） 基本支出88582.24万元，其中县财政拨款77060.47元；（2） 项目支出15293.40万元，其中县财政拨款14517.81万元。</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ascii="宋体" w:hAnsi="宋体" w:cs="仿宋_GB2312"/>
                <w:kern w:val="0"/>
                <w:sz w:val="32"/>
                <w:szCs w:val="32"/>
              </w:rPr>
            </w:pPr>
            <w:r>
              <w:rPr>
                <w:rFonts w:hint="eastAsia" w:ascii="仿宋_GB2312" w:hAnsi="宋体" w:eastAsia="仿宋_GB2312" w:cs="宋体"/>
                <w:kern w:val="2"/>
                <w:sz w:val="21"/>
                <w:szCs w:val="32"/>
                <w:lang w:val="en-US" w:eastAsia="zh-CN" w:bidi="ar-SA"/>
              </w:rPr>
              <w:t>3、年初余额9423.50万元（其中使用非财政拨款结余1364.33万元，年初结转和结余8059.17），年末余额5411.32万元（其中结</w:t>
            </w:r>
            <w:bookmarkStart w:id="0" w:name="_GoBack"/>
            <w:bookmarkEnd w:id="0"/>
            <w:r>
              <w:rPr>
                <w:rFonts w:hint="eastAsia" w:ascii="仿宋_GB2312" w:hAnsi="宋体" w:eastAsia="仿宋_GB2312" w:cs="宋体"/>
                <w:kern w:val="2"/>
                <w:sz w:val="21"/>
                <w:szCs w:val="32"/>
                <w:lang w:val="en-US" w:eastAsia="zh-CN" w:bidi="ar-SA"/>
              </w:rPr>
              <w:t>余分配1202.68万元，年末结转和结余4208.64万元）</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（三）“三公”经费支出情况：</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2021年公务接待费支出49.77万元，公务用车运行维护费1.88万元，因公出国出境费用0万元，合计“三公经费支出51.65万元。2021年公务接待费支出预算87.06万元，公务用车运行维护费预算数4.8万元，因公出国出境费用预算数0万元，合计“三公”经费预算支出91.86万元，2021年的实际支出低于预算支出。主要原因是各单位响应政府号召，紧缩开支以及因财政困难部分费用尚未支付。2020年公务接待支出65.24万元，今年比去年减少支出15.47万元；2020年公务用车运行维护费2.49万元，今年比去年减少支出0.61万元；因公出国出境费用2020年费用0万元；2020年“三公”经费支出67.73万元，2021年比2020年减少支出16.08万元，减少23.74%。</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（四）一般运行经费支出情况</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2021年基本支出中的商品和服务支出14374.14万元，2020年基本支出中的商品和服务支出17700.32万元，减少了3326.18万元，主要是在财政资金紧张情况下节约减少了开支。</w:t>
            </w:r>
          </w:p>
          <w:p>
            <w:pPr>
              <w:pStyle w:val="6"/>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根据各单位和部门2021年绩效自评的基础数据和自评材料，局绩效评价工作小组逐个对照部门整体支出绩效评价指标体系和标准, 分析从决策到实施再到绩效自评过程中的经验与存在的问题，自评打分100分，评定等次为优秀。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存在的问题分析及改进措施</w:t>
            </w: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613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（一）预算方面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受疫情经济的影响，很多年初预算项目因财政经费保障不足，预算的执行和完成情况有待加强。</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（二）内部控制方面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内部控制需要制定更加方便操作的管理制度。</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（三）资金使用方面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资金的拨付和支付的时效性还有待提高。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613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（一）预算方面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受疫情经济的影响，很多年初预算项目因财政经费保障不足，预算的执行和完成情况加强。</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（二）内部控制方面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内部控制需要制定更加方便操作的管理制度。</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（三）资金使用方面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资金的拨付和支付的时效性进一步提高。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522"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6133"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无</w:t>
            </w:r>
          </w:p>
        </w:tc>
      </w:tr>
    </w:tbl>
    <w:p>
      <w:pPr>
        <w:snapToGrid w:val="0"/>
        <w:spacing w:line="540" w:lineRule="exact"/>
        <w:rPr>
          <w:rFonts w:hint="eastAsia" w:ascii="仿宋_GB2312" w:hAnsi="宋体" w:eastAsia="仿宋_GB2312" w:cs="宋体"/>
          <w:kern w:val="0"/>
          <w:sz w:val="32"/>
          <w:szCs w:val="32"/>
        </w:rPr>
      </w:pP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5EB484C"/>
    <w:multiLevelType w:val="singleLevel"/>
    <w:tmpl w:val="E5EB484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64DAC"/>
    <w:rsid w:val="0CA44193"/>
    <w:rsid w:val="25BC4638"/>
    <w:rsid w:val="4B164DAC"/>
    <w:rsid w:val="6DD56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qFormat/>
    <w:uiPriority w:val="99"/>
    <w:rPr>
      <w:rFonts w:ascii="Times New Roman" w:hAnsi="Times New Roman" w:cs="Times New Roman"/>
      <w:sz w:val="24"/>
      <w:szCs w:val="24"/>
    </w:rPr>
  </w:style>
  <w:style w:type="paragraph" w:styleId="5">
    <w:name w:val="No Spacing"/>
    <w:qFormat/>
    <w:uiPriority w:val="99"/>
    <w:pPr>
      <w:widowControl w:val="0"/>
      <w:jc w:val="both"/>
    </w:pPr>
    <w:rPr>
      <w:rFonts w:ascii="Calibri" w:hAnsi="Calibri" w:eastAsia="宋体" w:cs="Calibri"/>
      <w:kern w:val="2"/>
      <w:sz w:val="21"/>
      <w:szCs w:val="21"/>
      <w:lang w:val="en-US" w:eastAsia="zh-CN" w:bidi="ar-SA"/>
    </w:rPr>
  </w:style>
  <w:style w:type="paragraph" w:customStyle="1" w:styleId="6">
    <w:name w:val="无间隔1"/>
    <w:qFormat/>
    <w:uiPriority w:val="99"/>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雨与晴</cp:lastModifiedBy>
  <dcterms:modified xsi:type="dcterms:W3CDTF">2022-05-05T10:11:46Z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