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教育费附加</w:t>
      </w: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专项经费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教育费附加专项经费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1000万元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湘潭县教育局发展规划和财务股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通过进行专项资金的绩效评价，改进预算管理，优化资源配置，控制节约成本，提高专项资金的效益，提升管理效能和服务水平。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ind w:firstLine="420" w:firstLineChars="200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我县高度重视教育事业，各相关部门都成立了教育费附加专项资金工作领导小组，实行一把手负责制；县教育局、各学校都召开了专题会议，认真组织大家学习了相关政策文件，共同努力发展我县教育事业。202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年我县共拨付教育费附加专项资金1000万，用于逐步改善我县中小学、职业学校教育教学设施添置和学校校舍的改扩建，提升我县教育事业。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、2021年完成1、36所中学教室安装护眼灯，2、4所小学教室灯光提质改造，3、凤凰高中国防班教育经费支出，4、县五中宿舍安装空调，5、县五中男生宿舍空调线路安装改造，6、支付义务教育学校奖励性绩效工资，7、付校车费用等9个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2、改善学校教学办学条件，设备设施均验收标准；专项活动效果很好。</w:t>
            </w:r>
          </w:p>
          <w:p>
            <w:pPr>
              <w:rPr>
                <w:rFonts w:hint="eastAsia" w:ascii="仿宋_GB2312" w:hAnsi="宋体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3、扩大了教育经费资金来源，财政预算安排1000万，资金的到位率为100%。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4、完善教育区域布局，满足我县社会、经济快速发展需要，促进教育地域平等与社会公平，效果良好。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4、对专项项目对照评价指标体系进行了评价，得分为100分。财政支出绩效等第为“优秀”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bookmarkStart w:id="0" w:name="_GoBack" w:colFirst="2" w:colLast="2"/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" w:cs="宋体"/>
                <w:szCs w:val="32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无</w:t>
            </w:r>
          </w:p>
        </w:tc>
      </w:tr>
      <w:bookmarkEnd w:id="0"/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64DAC"/>
    <w:rsid w:val="18930821"/>
    <w:rsid w:val="1C55782C"/>
    <w:rsid w:val="20565C7D"/>
    <w:rsid w:val="3F4F210F"/>
    <w:rsid w:val="4B164DAC"/>
    <w:rsid w:val="4D401D5C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HUAWEI</cp:lastModifiedBy>
  <dcterms:modified xsi:type="dcterms:W3CDTF">2022-05-09T02:09:24Z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FF5E7600711E477C9F8A49C22491EE3A</vt:lpwstr>
  </property>
</Properties>
</file>