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校舍维修长效机制县级配套资金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bookmarkStart w:id="0" w:name="_GoBack"/>
      <w:bookmarkEnd w:id="0"/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校舍维修长效机制县级配套资金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1331万元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湘潭县建管站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相关部门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校舍维修改造面积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达到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31000m2，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2020年计划安排资金1331万元，全部拨付到位，资金全部用于校舍维修。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校舍维修改造面积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达到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31000m2，改善了办学条件，整体提高了学校形象。提高了入学率和巩固率，满足人民群众日益增长的高品质教育需求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校舍维修改造面积达到了3100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m2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资金全部拨付到位用于校舍维修长效机制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3、改善了办学条件，整体提高了学校形象。提高了入学率和巩固率，满足人民群众日益增长的高品质教育需求。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E4583"/>
    <w:multiLevelType w:val="singleLevel"/>
    <w:tmpl w:val="52FE45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5A23621C"/>
    <w:rsid w:val="606B5045"/>
    <w:rsid w:val="6CE20046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2021-05-27T09:00:31Z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