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湘潭县第一中学艺体馆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湘潭县第一中学艺体馆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通过进行专项资金的绩效评价，改进预算管理，优化资源配置，控制节约成本，提高专项资金的效益，提升管理效能和服务水平。充分发挥项目的自主性、积极性、使之制度化、规范化。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湘潭县第一中学相关部门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召开了专题会议，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要求项目单位实施专人负责，专款专用，绝不截留、挪用。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组织人员查阅相关资料，初填基础数据表和跟踪监控表，提交工作小组讨论并对照评价指标体系进行自评打分，最后撰写自评报告，并将有关的材料汇总装订成册。</w:t>
            </w:r>
          </w:p>
          <w:p>
            <w:pPr>
              <w:ind w:firstLine="420" w:firstLineChars="200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1、培训艺体特长生150人，主办学校、县内活动14-18次。</w:t>
            </w:r>
          </w:p>
          <w:p>
            <w:pPr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2、县级到位资金100万元，全部用于艺体馆支出。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3、参与者满意度达到100%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04011F7"/>
    <w:rsid w:val="068A4B8F"/>
    <w:rsid w:val="18930821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