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危房改造及厕所革命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  <w:t>县级配套资金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危房改造及厕所革命县级配套资金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湘潭县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建管站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项目资金实行专户管理，专款专用，资金拨付根据进度按期付款，工程完工经县教育局和相关职能部门验收合格，做好结算，经财政评审中心审核后（除合同约定的工程质量保证金外）拨付余款。目前2020年危房改造和改厕革命项目建设项目，根据工程建设进度拨付到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1、完成了计划学校的公共厕所的无害化改造（含室外排污改造）30所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2、生活基础设施得到了改观，满足了生活要求，吸引外来人口，促进了当地经济发展。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3、改善了办学条件，整体提高了学校形象。提高了入学率和巩固率，满足人民群众日益增长的高品质教育需求。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8930821"/>
    <w:rsid w:val="4B164DAC"/>
    <w:rsid w:val="633B1058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2021-05-27T11:22:16Z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FF5E7600711E477C9F8A49C22491EE3A</vt:lpwstr>
  </property>
</Properties>
</file>