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ind w:firstLine="320" w:firstLineChars="100"/>
        <w:jc w:val="left"/>
        <w:rPr>
          <w:rFonts w:hint="eastAsia" w:ascii="仿宋_GB2312" w:hAnsi="仿宋_GB2312" w:eastAsia="仿宋_GB2312" w:cs="仿宋_GB2312"/>
          <w:b/>
          <w:bCs/>
          <w:kern w:val="0"/>
          <w:sz w:val="32"/>
          <w:szCs w:val="32"/>
        </w:rPr>
      </w:pPr>
      <w:bookmarkStart w:id="0" w:name="_GoBack"/>
      <w:bookmarkEnd w:id="0"/>
      <w:r>
        <w:rPr>
          <w:rFonts w:hint="eastAsia" w:ascii="黑体" w:hAnsi="黑体" w:eastAsia="黑体" w:cs="黑体"/>
          <w:color w:val="000000"/>
          <w:sz w:val="32"/>
          <w:szCs w:val="32"/>
        </w:rPr>
        <w:t>附件5</w:t>
      </w:r>
    </w:p>
    <w:p>
      <w:pPr>
        <w:widowControl/>
        <w:spacing w:line="576" w:lineRule="exact"/>
        <w:jc w:val="center"/>
        <w:rPr>
          <w:rFonts w:hint="eastAsia" w:ascii="方正小标宋_GBK" w:hAnsi="方正小标宋_GBK" w:eastAsia="方正小标宋_GBK" w:cs="方正小标宋_GBK"/>
          <w:sz w:val="36"/>
          <w:szCs w:val="36"/>
          <w:u w:val="single"/>
        </w:rPr>
      </w:pPr>
      <w:r>
        <w:rPr>
          <w:rFonts w:hint="eastAsia" w:ascii="宋体" w:hAnsi="宋体" w:cs="仿宋_GB2312"/>
          <w:b/>
          <w:bCs/>
          <w:color w:val="000000"/>
          <w:kern w:val="0"/>
          <w:sz w:val="36"/>
          <w:szCs w:val="36"/>
          <w:lang w:eastAsia="zh-CN"/>
        </w:rPr>
        <w:t>农村义务教育寄宿制学校运行补助和条件改善计划</w:t>
      </w:r>
      <w:r>
        <w:rPr>
          <w:rFonts w:hint="eastAsia" w:ascii="宋体" w:hAnsi="宋体" w:cs="仿宋_GB2312"/>
          <w:b/>
          <w:bCs/>
          <w:color w:val="000000"/>
          <w:kern w:val="0"/>
          <w:sz w:val="36"/>
          <w:szCs w:val="36"/>
        </w:rPr>
        <w:t>项目支出绩效评价报告</w:t>
      </w:r>
    </w:p>
    <w:tbl>
      <w:tblPr>
        <w:tblStyle w:val="2"/>
        <w:tblpPr w:leftFromText="180" w:rightFromText="180" w:vertAnchor="text" w:horzAnchor="margin" w:tblpXSpec="center" w:tblpY="189"/>
        <w:tblW w:w="95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7"/>
        <w:gridCol w:w="1985"/>
        <w:gridCol w:w="60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jc w:val="center"/>
        </w:trPr>
        <w:tc>
          <w:tcPr>
            <w:tcW w:w="1567" w:type="dxa"/>
            <w:vMerge w:val="restart"/>
            <w:noWrap w:val="0"/>
            <w:vAlign w:val="center"/>
          </w:tcPr>
          <w:p>
            <w:pPr>
              <w:spacing w:line="576" w:lineRule="exact"/>
              <w:jc w:val="center"/>
              <w:rPr>
                <w:rFonts w:hint="eastAsia" w:ascii="仿宋_GB2312" w:hAnsi="宋体" w:eastAsia="仿宋_GB2312" w:cs="宋体"/>
                <w:szCs w:val="32"/>
              </w:rPr>
            </w:pPr>
            <w:r>
              <w:rPr>
                <w:rFonts w:hint="eastAsia" w:ascii="仿宋_GB2312" w:hAnsi="宋体" w:eastAsia="仿宋_GB2312" w:cs="宋体"/>
                <w:szCs w:val="32"/>
              </w:rPr>
              <w:t>部门概况</w:t>
            </w:r>
          </w:p>
        </w:tc>
        <w:tc>
          <w:tcPr>
            <w:tcW w:w="1985" w:type="dxa"/>
            <w:noWrap w:val="0"/>
            <w:vAlign w:val="center"/>
          </w:tcPr>
          <w:p>
            <w:pPr>
              <w:spacing w:line="576" w:lineRule="exact"/>
              <w:jc w:val="center"/>
              <w:rPr>
                <w:rFonts w:hint="eastAsia" w:ascii="仿宋_GB2312" w:hAnsi="宋体" w:eastAsia="仿宋_GB2312" w:cs="宋体"/>
                <w:szCs w:val="32"/>
              </w:rPr>
            </w:pPr>
            <w:r>
              <w:rPr>
                <w:rFonts w:hint="eastAsia" w:ascii="仿宋_GB2312" w:hAnsi="宋体" w:eastAsia="仿宋_GB2312" w:cs="宋体"/>
                <w:szCs w:val="32"/>
              </w:rPr>
              <w:t>专项名称</w:t>
            </w:r>
          </w:p>
        </w:tc>
        <w:tc>
          <w:tcPr>
            <w:tcW w:w="6044" w:type="dxa"/>
            <w:noWrap w:val="0"/>
            <w:vAlign w:val="center"/>
          </w:tcPr>
          <w:p>
            <w:pPr>
              <w:spacing w:line="576" w:lineRule="exact"/>
              <w:ind w:right="880" w:rightChars="419"/>
              <w:jc w:val="center"/>
              <w:rPr>
                <w:rFonts w:hint="default" w:ascii="仿宋_GB2312" w:hAnsi="宋体" w:eastAsia="仿宋_GB2312" w:cs="宋体"/>
                <w:szCs w:val="32"/>
                <w:lang w:val="en-US" w:eastAsia="zh-CN"/>
              </w:rPr>
            </w:pPr>
            <w:r>
              <w:rPr>
                <w:rFonts w:hint="eastAsia" w:ascii="仿宋_GB2312" w:hAnsi="宋体" w:eastAsia="仿宋_GB2312" w:cs="宋体"/>
                <w:szCs w:val="32"/>
                <w:lang w:val="en-US" w:eastAsia="zh-CN"/>
              </w:rPr>
              <w:t>农村义务教育寄宿制学校运行补助和条件改善计划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567" w:type="dxa"/>
            <w:vMerge w:val="continue"/>
            <w:noWrap w:val="0"/>
            <w:vAlign w:val="top"/>
          </w:tcPr>
          <w:p>
            <w:pPr>
              <w:spacing w:line="576" w:lineRule="exact"/>
              <w:jc w:val="center"/>
              <w:rPr>
                <w:rFonts w:hint="eastAsia" w:ascii="仿宋_GB2312" w:hAnsi="宋体" w:eastAsia="仿宋_GB2312" w:cs="宋体"/>
                <w:szCs w:val="32"/>
              </w:rPr>
            </w:pPr>
          </w:p>
        </w:tc>
        <w:tc>
          <w:tcPr>
            <w:tcW w:w="1985" w:type="dxa"/>
            <w:noWrap w:val="0"/>
            <w:vAlign w:val="center"/>
          </w:tcPr>
          <w:p>
            <w:pPr>
              <w:spacing w:line="576" w:lineRule="exact"/>
              <w:jc w:val="center"/>
              <w:rPr>
                <w:rFonts w:hint="eastAsia" w:ascii="仿宋_GB2312" w:hAnsi="宋体" w:eastAsia="仿宋_GB2312" w:cs="宋体"/>
                <w:szCs w:val="32"/>
              </w:rPr>
            </w:pPr>
            <w:r>
              <w:rPr>
                <w:rFonts w:hint="eastAsia" w:ascii="仿宋_GB2312" w:hAnsi="宋体" w:eastAsia="仿宋_GB2312" w:cs="宋体"/>
                <w:szCs w:val="32"/>
              </w:rPr>
              <w:t>年度预算金额</w:t>
            </w:r>
          </w:p>
        </w:tc>
        <w:tc>
          <w:tcPr>
            <w:tcW w:w="6044" w:type="dxa"/>
            <w:noWrap w:val="0"/>
            <w:vAlign w:val="center"/>
          </w:tcPr>
          <w:p>
            <w:pPr>
              <w:spacing w:line="576" w:lineRule="exact"/>
              <w:ind w:right="880" w:rightChars="419"/>
              <w:jc w:val="center"/>
              <w:rPr>
                <w:rFonts w:hint="default" w:ascii="仿宋_GB2312" w:hAnsi="宋体" w:eastAsia="仿宋_GB2312" w:cs="宋体"/>
                <w:szCs w:val="32"/>
                <w:lang w:val="en-US" w:eastAsia="zh-CN"/>
              </w:rPr>
            </w:pPr>
            <w:r>
              <w:rPr>
                <w:rFonts w:hint="eastAsia" w:ascii="仿宋_GB2312" w:hAnsi="宋体" w:eastAsia="仿宋_GB2312" w:cs="宋体"/>
                <w:szCs w:val="32"/>
                <w:lang w:val="en-US" w:eastAsia="zh-CN"/>
              </w:rPr>
              <w:t>50万元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567" w:type="dxa"/>
            <w:vMerge w:val="continue"/>
            <w:noWrap w:val="0"/>
            <w:vAlign w:val="top"/>
          </w:tcPr>
          <w:p>
            <w:pPr>
              <w:spacing w:line="576" w:lineRule="exact"/>
              <w:jc w:val="center"/>
              <w:rPr>
                <w:rFonts w:hint="eastAsia" w:ascii="仿宋_GB2312" w:hAnsi="宋体" w:eastAsia="仿宋_GB2312" w:cs="宋体"/>
                <w:szCs w:val="32"/>
              </w:rPr>
            </w:pPr>
          </w:p>
        </w:tc>
        <w:tc>
          <w:tcPr>
            <w:tcW w:w="1985" w:type="dxa"/>
            <w:noWrap w:val="0"/>
            <w:vAlign w:val="center"/>
          </w:tcPr>
          <w:p>
            <w:pPr>
              <w:spacing w:line="576" w:lineRule="exact"/>
              <w:jc w:val="center"/>
              <w:rPr>
                <w:rFonts w:hint="eastAsia" w:ascii="仿宋_GB2312" w:hAnsi="宋体" w:eastAsia="仿宋_GB2312" w:cs="宋体"/>
                <w:szCs w:val="32"/>
              </w:rPr>
            </w:pPr>
            <w:r>
              <w:rPr>
                <w:rFonts w:hint="eastAsia" w:ascii="仿宋_GB2312" w:hAnsi="宋体" w:eastAsia="仿宋_GB2312" w:cs="宋体"/>
                <w:szCs w:val="32"/>
              </w:rPr>
              <w:t>项目主管部门</w:t>
            </w:r>
          </w:p>
        </w:tc>
        <w:tc>
          <w:tcPr>
            <w:tcW w:w="6044" w:type="dxa"/>
            <w:noWrap w:val="0"/>
            <w:vAlign w:val="center"/>
          </w:tcPr>
          <w:p>
            <w:pPr>
              <w:spacing w:line="576" w:lineRule="exact"/>
              <w:ind w:right="880" w:rightChars="419"/>
              <w:jc w:val="center"/>
              <w:rPr>
                <w:rFonts w:hint="eastAsia" w:ascii="仿宋_GB2312" w:hAnsi="宋体" w:eastAsia="仿宋_GB2312" w:cs="宋体"/>
                <w:szCs w:val="32"/>
                <w:lang w:eastAsia="zh-CN"/>
              </w:rPr>
            </w:pPr>
            <w:r>
              <w:rPr>
                <w:rFonts w:hint="eastAsia" w:ascii="仿宋_GB2312" w:hAnsi="宋体" w:eastAsia="仿宋_GB2312" w:cs="宋体"/>
                <w:szCs w:val="32"/>
                <w:lang w:eastAsia="zh-CN"/>
              </w:rPr>
              <w:t>湘潭县学生资助管理中心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0" w:hRule="atLeast"/>
          <w:jc w:val="center"/>
        </w:trPr>
        <w:tc>
          <w:tcPr>
            <w:tcW w:w="1567" w:type="dxa"/>
            <w:vMerge w:val="continue"/>
            <w:noWrap w:val="0"/>
            <w:vAlign w:val="top"/>
          </w:tcPr>
          <w:p>
            <w:pPr>
              <w:spacing w:line="576" w:lineRule="exact"/>
              <w:jc w:val="center"/>
              <w:rPr>
                <w:rFonts w:hint="eastAsia" w:ascii="仿宋_GB2312" w:hAnsi="宋体" w:eastAsia="仿宋_GB2312" w:cs="宋体"/>
                <w:szCs w:val="32"/>
              </w:rPr>
            </w:pPr>
          </w:p>
        </w:tc>
        <w:tc>
          <w:tcPr>
            <w:tcW w:w="1985" w:type="dxa"/>
            <w:noWrap w:val="0"/>
            <w:vAlign w:val="center"/>
          </w:tcPr>
          <w:p>
            <w:pPr>
              <w:spacing w:line="576" w:lineRule="exact"/>
              <w:jc w:val="center"/>
              <w:rPr>
                <w:rFonts w:hint="eastAsia" w:ascii="仿宋_GB2312" w:hAnsi="宋体" w:eastAsia="仿宋_GB2312" w:cs="宋体"/>
                <w:szCs w:val="32"/>
              </w:rPr>
            </w:pPr>
            <w:r>
              <w:rPr>
                <w:rFonts w:hint="eastAsia" w:ascii="仿宋_GB2312" w:hAnsi="宋体" w:eastAsia="仿宋_GB2312" w:cs="宋体"/>
                <w:szCs w:val="32"/>
              </w:rPr>
              <w:t>项目立项目的</w:t>
            </w:r>
          </w:p>
        </w:tc>
        <w:tc>
          <w:tcPr>
            <w:tcW w:w="6044"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firstLine="420" w:firstLineChars="200"/>
              <w:jc w:val="left"/>
              <w:textAlignment w:val="auto"/>
              <w:rPr>
                <w:rFonts w:hint="eastAsia" w:ascii="仿宋_GB2312" w:hAnsi="宋体" w:eastAsia="仿宋_GB2312" w:cs="宋体"/>
                <w:szCs w:val="32"/>
              </w:rPr>
            </w:pPr>
            <w:r>
              <w:rPr>
                <w:rFonts w:hint="eastAsia" w:ascii="仿宋_GB2312" w:hAnsi="宋体" w:eastAsia="仿宋_GB2312" w:cs="宋体"/>
                <w:szCs w:val="32"/>
                <w:lang w:eastAsia="zh-CN"/>
              </w:rPr>
              <w:t>通过进行专项资金的绩效评价，改进预算管理，优化资源配置，控制节约成本，提高专项资金的效益，提升管理效能和服务水平。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7" w:hRule="atLeast"/>
          <w:jc w:val="center"/>
        </w:trPr>
        <w:tc>
          <w:tcPr>
            <w:tcW w:w="1567" w:type="dxa"/>
            <w:vMerge w:val="restart"/>
            <w:noWrap w:val="0"/>
            <w:vAlign w:val="center"/>
          </w:tcPr>
          <w:p>
            <w:pPr>
              <w:spacing w:line="576" w:lineRule="exact"/>
              <w:jc w:val="center"/>
              <w:rPr>
                <w:rFonts w:hint="eastAsia" w:ascii="仿宋_GB2312" w:hAnsi="宋体" w:eastAsia="仿宋_GB2312" w:cs="宋体"/>
                <w:szCs w:val="32"/>
              </w:rPr>
            </w:pPr>
            <w:r>
              <w:rPr>
                <w:rFonts w:hint="eastAsia" w:ascii="仿宋_GB2312" w:hAnsi="宋体" w:eastAsia="仿宋_GB2312" w:cs="宋体"/>
                <w:szCs w:val="32"/>
              </w:rPr>
              <w:t>绩效情况</w:t>
            </w:r>
          </w:p>
        </w:tc>
        <w:tc>
          <w:tcPr>
            <w:tcW w:w="1985" w:type="dxa"/>
            <w:noWrap w:val="0"/>
            <w:vAlign w:val="center"/>
          </w:tcPr>
          <w:p>
            <w:pPr>
              <w:spacing w:line="576" w:lineRule="exact"/>
              <w:jc w:val="center"/>
              <w:rPr>
                <w:rFonts w:hint="eastAsia" w:ascii="仿宋_GB2312" w:hAnsi="宋体" w:eastAsia="仿宋_GB2312" w:cs="宋体"/>
                <w:szCs w:val="32"/>
              </w:rPr>
            </w:pPr>
            <w:r>
              <w:rPr>
                <w:rFonts w:hint="eastAsia" w:ascii="仿宋_GB2312" w:hAnsi="宋体" w:eastAsia="仿宋_GB2312" w:cs="宋体"/>
                <w:szCs w:val="32"/>
              </w:rPr>
              <w:t>项目支出管理和使用基本情况</w:t>
            </w:r>
          </w:p>
        </w:tc>
        <w:tc>
          <w:tcPr>
            <w:tcW w:w="6044"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firstLine="420" w:firstLineChars="200"/>
              <w:textAlignment w:val="auto"/>
              <w:rPr>
                <w:rFonts w:hint="eastAsia" w:ascii="仿宋" w:hAnsi="仿宋" w:eastAsia="仿宋"/>
                <w:kern w:val="0"/>
                <w:sz w:val="30"/>
                <w:szCs w:val="30"/>
              </w:rPr>
            </w:pPr>
            <w:r>
              <w:rPr>
                <w:rFonts w:hint="eastAsia" w:ascii="仿宋_GB2312" w:hAnsi="宋体" w:eastAsia="仿宋_GB2312" w:cs="宋体"/>
                <w:szCs w:val="32"/>
                <w:lang w:eastAsia="zh-CN"/>
              </w:rPr>
              <w:t>我单位高度重视专项资金的管理，制定了专项资金管理办法。召开了专题会议，明确了分工和责任。要求项目单位实施专人负责，专款专用，绝不截留、挪用。由计财股组织人员查阅相关资料，初填基础数据表和跟踪监控表，提交工作小组讨论并对照评价指标体系进行自评打分，最后撰写自评报告，并将有关的材料汇总装订成册。</w:t>
            </w:r>
          </w:p>
          <w:p>
            <w:pPr>
              <w:ind w:firstLine="420" w:firstLineChars="200"/>
              <w:rPr>
                <w:rFonts w:hint="eastAsia" w:ascii="仿宋_GB2312" w:hAnsi="宋体" w:eastAsia="仿宋_GB2312" w:cs="宋体"/>
                <w:szCs w:val="32"/>
                <w:lang w:eastAsia="zh-CN"/>
              </w:rPr>
            </w:pPr>
            <w:r>
              <w:rPr>
                <w:rFonts w:hint="eastAsia" w:ascii="仿宋_GB2312" w:hAnsi="宋体" w:eastAsia="仿宋_GB2312" w:cs="宋体"/>
                <w:szCs w:val="32"/>
                <w:lang w:eastAsia="zh-CN"/>
              </w:rPr>
              <w:t>改善义务教育学生的寄宿条件，惠及了3万多名义务教育寄宿学生促进了农村义务教育阶段寄宿制学校的健康发展。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0" w:hRule="atLeast"/>
          <w:jc w:val="center"/>
        </w:trPr>
        <w:tc>
          <w:tcPr>
            <w:tcW w:w="1567" w:type="dxa"/>
            <w:vMerge w:val="continue"/>
            <w:noWrap w:val="0"/>
            <w:vAlign w:val="top"/>
          </w:tcPr>
          <w:p>
            <w:pPr>
              <w:spacing w:line="576" w:lineRule="exact"/>
              <w:jc w:val="center"/>
              <w:rPr>
                <w:rFonts w:hint="eastAsia" w:ascii="仿宋_GB2312" w:hAnsi="宋体" w:eastAsia="仿宋_GB2312" w:cs="宋体"/>
                <w:szCs w:val="32"/>
              </w:rPr>
            </w:pPr>
          </w:p>
        </w:tc>
        <w:tc>
          <w:tcPr>
            <w:tcW w:w="1985" w:type="dxa"/>
            <w:noWrap w:val="0"/>
            <w:vAlign w:val="center"/>
          </w:tcPr>
          <w:p>
            <w:pPr>
              <w:spacing w:line="576" w:lineRule="exact"/>
              <w:jc w:val="center"/>
              <w:rPr>
                <w:rFonts w:hint="eastAsia" w:ascii="仿宋_GB2312" w:hAnsi="宋体" w:eastAsia="仿宋_GB2312" w:cs="宋体"/>
                <w:szCs w:val="32"/>
              </w:rPr>
            </w:pPr>
            <w:r>
              <w:rPr>
                <w:rFonts w:hint="eastAsia" w:ascii="仿宋_GB2312" w:hAnsi="宋体" w:eastAsia="仿宋_GB2312" w:cs="宋体"/>
                <w:szCs w:val="32"/>
              </w:rPr>
              <w:t>项目绩效目标完成情况</w:t>
            </w:r>
          </w:p>
        </w:tc>
        <w:tc>
          <w:tcPr>
            <w:tcW w:w="6044"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left"/>
              <w:textAlignment w:val="auto"/>
              <w:rPr>
                <w:rFonts w:hint="default" w:ascii="仿宋_GB2312" w:hAnsi="宋体" w:eastAsia="仿宋_GB2312" w:cs="宋体"/>
                <w:szCs w:val="32"/>
                <w:lang w:val="en-US" w:eastAsia="zh-CN"/>
              </w:rPr>
            </w:pPr>
            <w:r>
              <w:rPr>
                <w:rFonts w:hint="eastAsia" w:ascii="仿宋_GB2312" w:hAnsi="宋体" w:eastAsia="仿宋_GB2312" w:cs="宋体"/>
                <w:szCs w:val="32"/>
                <w:lang w:val="en-US" w:eastAsia="zh-CN"/>
              </w:rPr>
              <w:t>1、</w:t>
            </w:r>
            <w:r>
              <w:rPr>
                <w:rFonts w:hint="eastAsia" w:ascii="仿宋_GB2312" w:hAnsi="宋体" w:eastAsia="仿宋_GB2312" w:cs="宋体"/>
                <w:szCs w:val="32"/>
                <w:lang w:eastAsia="zh-CN"/>
              </w:rPr>
              <w:t>拨付寄宿制学校成本指标1-5万元，实际拨付寄宿制学校项目成本1-10万元，改善了义务教育学生的寄宿条件</w:t>
            </w:r>
            <w:r>
              <w:rPr>
                <w:rFonts w:hint="eastAsia" w:ascii="仿宋_GB2312" w:hAnsi="宋体" w:eastAsia="仿宋_GB2312" w:cs="宋体"/>
                <w:szCs w:val="32"/>
                <w:lang w:val="en-US" w:eastAsia="zh-CN"/>
              </w:rPr>
              <w:t>惠及了3万多名义务教育寄宿学生。</w:t>
            </w:r>
          </w:p>
          <w:p>
            <w:pPr>
              <w:keepNext w:val="0"/>
              <w:keepLines w:val="0"/>
              <w:pageBreakBefore w:val="0"/>
              <w:widowControl w:val="0"/>
              <w:kinsoku/>
              <w:wordWrap/>
              <w:overflowPunct/>
              <w:topLinePunct w:val="0"/>
              <w:autoSpaceDE/>
              <w:autoSpaceDN/>
              <w:bidi w:val="0"/>
              <w:adjustRightInd/>
              <w:snapToGrid/>
              <w:spacing w:line="300" w:lineRule="exact"/>
              <w:ind w:right="0" w:rightChars="0"/>
              <w:jc w:val="left"/>
              <w:textAlignment w:val="auto"/>
              <w:rPr>
                <w:rFonts w:hint="eastAsia" w:ascii="仿宋_GB2312" w:hAnsi="宋体" w:eastAsia="仿宋_GB2312" w:cs="宋体"/>
                <w:szCs w:val="32"/>
                <w:lang w:val="en-US" w:eastAsia="zh-CN"/>
              </w:rPr>
            </w:pPr>
            <w:r>
              <w:rPr>
                <w:rFonts w:hint="eastAsia" w:ascii="仿宋_GB2312" w:hAnsi="宋体" w:eastAsia="仿宋_GB2312" w:cs="宋体"/>
                <w:szCs w:val="32"/>
                <w:lang w:val="en-US" w:eastAsia="zh-CN"/>
              </w:rPr>
              <w:t>2、</w:t>
            </w:r>
            <w:r>
              <w:rPr>
                <w:rFonts w:hint="eastAsia" w:ascii="仿宋_GB2312" w:hAnsi="宋体" w:eastAsia="仿宋_GB2312" w:cs="宋体"/>
                <w:szCs w:val="32"/>
                <w:lang w:eastAsia="zh-CN"/>
              </w:rPr>
              <w:t>促进了农村义务教育阶段寄宿制学校的健康发展。</w:t>
            </w:r>
          </w:p>
          <w:p>
            <w:pPr>
              <w:keepNext w:val="0"/>
              <w:keepLines w:val="0"/>
              <w:pageBreakBefore w:val="0"/>
              <w:widowControl w:val="0"/>
              <w:kinsoku/>
              <w:wordWrap/>
              <w:overflowPunct/>
              <w:topLinePunct w:val="0"/>
              <w:autoSpaceDE/>
              <w:autoSpaceDN/>
              <w:bidi w:val="0"/>
              <w:adjustRightInd/>
              <w:snapToGrid/>
              <w:spacing w:line="300" w:lineRule="exact"/>
              <w:ind w:right="0" w:rightChars="0"/>
              <w:jc w:val="left"/>
              <w:textAlignment w:val="auto"/>
              <w:rPr>
                <w:rFonts w:hint="default" w:ascii="仿宋_GB2312" w:hAnsi="宋体" w:eastAsia="仿宋_GB2312" w:cs="宋体"/>
                <w:szCs w:val="32"/>
                <w:lang w:val="en-US" w:eastAsia="zh-CN"/>
              </w:rPr>
            </w:pPr>
            <w:r>
              <w:rPr>
                <w:rFonts w:hint="eastAsia" w:ascii="仿宋_GB2312" w:hAnsi="宋体" w:eastAsia="仿宋_GB2312" w:cs="宋体"/>
                <w:szCs w:val="32"/>
                <w:lang w:val="en-US" w:eastAsia="zh-CN"/>
              </w:rPr>
              <w:t>3、对专项项目对照评价指标体系进行了评价，得分为100分。财政支出绩效等第为“优秀”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9" w:hRule="atLeast"/>
          <w:jc w:val="center"/>
        </w:trPr>
        <w:tc>
          <w:tcPr>
            <w:tcW w:w="1567" w:type="dxa"/>
            <w:vMerge w:val="restart"/>
            <w:noWrap w:val="0"/>
            <w:vAlign w:val="center"/>
          </w:tcPr>
          <w:p>
            <w:pPr>
              <w:spacing w:line="576" w:lineRule="exact"/>
              <w:jc w:val="center"/>
              <w:rPr>
                <w:rFonts w:hint="eastAsia" w:ascii="仿宋_GB2312" w:hAnsi="宋体" w:eastAsia="仿宋_GB2312" w:cs="宋体"/>
                <w:szCs w:val="32"/>
              </w:rPr>
            </w:pPr>
            <w:r>
              <w:rPr>
                <w:rFonts w:hint="eastAsia" w:ascii="仿宋_GB2312" w:hAnsi="宋体" w:eastAsia="仿宋_GB2312" w:cs="宋体"/>
                <w:szCs w:val="32"/>
              </w:rPr>
              <w:t>存在的问题分析及改进措施</w:t>
            </w:r>
          </w:p>
        </w:tc>
        <w:tc>
          <w:tcPr>
            <w:tcW w:w="1985" w:type="dxa"/>
            <w:noWrap w:val="0"/>
            <w:vAlign w:val="center"/>
          </w:tcPr>
          <w:p>
            <w:pPr>
              <w:spacing w:line="576" w:lineRule="exact"/>
              <w:jc w:val="center"/>
              <w:rPr>
                <w:rFonts w:hint="eastAsia" w:ascii="仿宋_GB2312" w:hAnsi="宋体" w:eastAsia="仿宋_GB2312" w:cs="宋体"/>
                <w:szCs w:val="32"/>
              </w:rPr>
            </w:pPr>
            <w:r>
              <w:rPr>
                <w:rFonts w:hint="eastAsia" w:ascii="仿宋_GB2312" w:hAnsi="宋体" w:eastAsia="仿宋_GB2312" w:cs="宋体"/>
                <w:szCs w:val="32"/>
              </w:rPr>
              <w:t>存在的问题</w:t>
            </w:r>
          </w:p>
        </w:tc>
        <w:tc>
          <w:tcPr>
            <w:tcW w:w="6044" w:type="dxa"/>
            <w:noWrap w:val="0"/>
            <w:vAlign w:val="center"/>
          </w:tcPr>
          <w:p>
            <w:pPr>
              <w:spacing w:line="576" w:lineRule="exact"/>
              <w:ind w:right="880" w:rightChars="419" w:firstLine="420" w:firstLineChars="200"/>
              <w:jc w:val="both"/>
              <w:rPr>
                <w:rFonts w:hint="default" w:ascii="仿宋_GB2312" w:hAnsi="宋体" w:eastAsia="仿宋" w:cs="宋体"/>
                <w:szCs w:val="3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2" w:hRule="atLeast"/>
          <w:jc w:val="center"/>
        </w:trPr>
        <w:tc>
          <w:tcPr>
            <w:tcW w:w="1567" w:type="dxa"/>
            <w:vMerge w:val="continue"/>
            <w:noWrap w:val="0"/>
            <w:vAlign w:val="top"/>
          </w:tcPr>
          <w:p>
            <w:pPr>
              <w:spacing w:line="576" w:lineRule="exact"/>
              <w:jc w:val="center"/>
              <w:rPr>
                <w:rFonts w:hint="eastAsia" w:ascii="仿宋_GB2312" w:hAnsi="宋体" w:eastAsia="仿宋_GB2312" w:cs="宋体"/>
                <w:szCs w:val="32"/>
              </w:rPr>
            </w:pPr>
          </w:p>
        </w:tc>
        <w:tc>
          <w:tcPr>
            <w:tcW w:w="1985" w:type="dxa"/>
            <w:noWrap w:val="0"/>
            <w:vAlign w:val="center"/>
          </w:tcPr>
          <w:p>
            <w:pPr>
              <w:spacing w:line="576" w:lineRule="exact"/>
              <w:jc w:val="center"/>
              <w:rPr>
                <w:rFonts w:hint="eastAsia" w:ascii="仿宋_GB2312" w:hAnsi="宋体" w:eastAsia="仿宋_GB2312" w:cs="宋体"/>
                <w:szCs w:val="32"/>
              </w:rPr>
            </w:pPr>
            <w:r>
              <w:rPr>
                <w:rFonts w:hint="eastAsia" w:ascii="仿宋_GB2312" w:hAnsi="宋体" w:eastAsia="仿宋_GB2312" w:cs="宋体"/>
                <w:szCs w:val="32"/>
              </w:rPr>
              <w:t>改进措施</w:t>
            </w:r>
          </w:p>
        </w:tc>
        <w:tc>
          <w:tcPr>
            <w:tcW w:w="604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right="880" w:rightChars="419" w:firstLine="420" w:firstLineChars="200"/>
              <w:jc w:val="left"/>
              <w:textAlignment w:val="auto"/>
              <w:rPr>
                <w:rFonts w:hint="eastAsia" w:ascii="仿宋_GB2312" w:hAnsi="宋体" w:eastAsia="仿宋_GB2312" w:cs="宋体"/>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6" w:hRule="atLeast"/>
          <w:jc w:val="center"/>
        </w:trPr>
        <w:tc>
          <w:tcPr>
            <w:tcW w:w="1567" w:type="dxa"/>
            <w:vMerge w:val="continue"/>
            <w:noWrap w:val="0"/>
            <w:vAlign w:val="top"/>
          </w:tcPr>
          <w:p>
            <w:pPr>
              <w:spacing w:line="576" w:lineRule="exact"/>
              <w:jc w:val="center"/>
              <w:rPr>
                <w:rFonts w:hint="eastAsia" w:ascii="仿宋_GB2312" w:hAnsi="宋体" w:eastAsia="仿宋_GB2312" w:cs="宋体"/>
                <w:szCs w:val="32"/>
              </w:rPr>
            </w:pPr>
          </w:p>
        </w:tc>
        <w:tc>
          <w:tcPr>
            <w:tcW w:w="1985" w:type="dxa"/>
            <w:noWrap w:val="0"/>
            <w:vAlign w:val="center"/>
          </w:tcPr>
          <w:p>
            <w:pPr>
              <w:spacing w:line="576" w:lineRule="exact"/>
              <w:jc w:val="center"/>
              <w:rPr>
                <w:rFonts w:hint="eastAsia" w:ascii="仿宋_GB2312" w:hAnsi="宋体" w:eastAsia="仿宋_GB2312" w:cs="宋体"/>
                <w:szCs w:val="32"/>
              </w:rPr>
            </w:pPr>
            <w:r>
              <w:rPr>
                <w:rFonts w:hint="eastAsia" w:ascii="仿宋_GB2312" w:hAnsi="宋体" w:eastAsia="仿宋_GB2312" w:cs="宋体"/>
                <w:szCs w:val="32"/>
              </w:rPr>
              <w:t>其他需要说明问题</w:t>
            </w:r>
          </w:p>
        </w:tc>
        <w:tc>
          <w:tcPr>
            <w:tcW w:w="6044" w:type="dxa"/>
            <w:noWrap w:val="0"/>
            <w:vAlign w:val="center"/>
          </w:tcPr>
          <w:p>
            <w:pPr>
              <w:spacing w:line="576" w:lineRule="exact"/>
              <w:ind w:right="880" w:rightChars="419"/>
              <w:jc w:val="center"/>
              <w:rPr>
                <w:rFonts w:hint="eastAsia" w:ascii="仿宋_GB2312" w:hAnsi="宋体" w:eastAsia="仿宋_GB2312" w:cs="宋体"/>
                <w:szCs w:val="32"/>
              </w:rPr>
            </w:pPr>
          </w:p>
        </w:tc>
      </w:tr>
    </w:tbl>
    <w:p>
      <w:pPr>
        <w:snapToGrid w:val="0"/>
        <w:spacing w:line="540" w:lineRule="exact"/>
        <w:rPr>
          <w:rFonts w:hint="eastAsia" w:ascii="黑体" w:hAnsi="黑体" w:eastAsia="黑体" w:cs="黑体"/>
          <w:kern w:val="0"/>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方正小标宋_GBK">
    <w:altName w:val="微软雅黑"/>
    <w:panose1 w:val="03000509000000000000"/>
    <w:charset w:val="86"/>
    <w:family w:val="script"/>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9"/>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B164DAC"/>
    <w:rsid w:val="18930821"/>
    <w:rsid w:val="1B482C01"/>
    <w:rsid w:val="34B73565"/>
    <w:rsid w:val="4B164DAC"/>
    <w:rsid w:val="756F79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16</TotalTime>
  <ScaleCrop>false</ScaleCrop>
  <LinksUpToDate>false</LinksUpToDate>
  <CharactersWithSpaces>0</CharactersWithSpaces>
  <Application>WPS Office_11.1.0.9208_F1E327BC-269C-435d-A152-05C5408002CA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2021-05-27T07:09:00Z</dcterms:created>
  <dc:creator>雨与晴</dc:creator>
  <cp:lastModifiedBy>雨与晴</cp:lastModifiedBy>
  <dcterms:modified xsi:type="dcterms:W3CDTF">2021-05-28T04:01:00Z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2052-11.1.0.9208</vt:lpwstr>
  </property>
  <property fmtid="{D5CDD505-2E9C-101B-9397-08002B2CF9AE}" pid="3" name="ICV">
    <vt:lpwstr>FF5E7600711E477C9F8A49C22491EE3A</vt:lpwstr>
  </property>
</Properties>
</file>