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5 </w:t>
      </w:r>
    </w:p>
    <w:p>
      <w:pPr>
        <w:widowControl/>
        <w:ind w:firstLine="2530" w:firstLineChars="700"/>
        <w:jc w:val="left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民办教育发展资金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民办教育发展资金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湘潭县教育局成职股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4"/>
              <w:ind w:firstLine="315" w:firstLineChars="150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我单位高度重视专项资金的管理，制定了专项资金管理办法。组织相关人员认真学习专项资金文件，要求项目单位实施专人负责，专款专用，绝不截留、挪用。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按照《湘潭县教育局2020年绩效自评工作方案》要求，我局召开了专题会议，明确了分工和责任，组织人员查阅相关资料，初填基础数据表和跟踪监控表，提交工作小组讨论并对照评价指标体系进行自评打分，最后撰写自评报告，并将有关的材料汇总装订成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2020年完成了项目四个，奖励和表彰集体10个和个人20人。</w:t>
            </w:r>
          </w:p>
          <w:p>
            <w:pPr>
              <w:pStyle w:val="4"/>
              <w:ind w:firstLine="315" w:firstLineChars="15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民办教育发展资金与2020年拨付了30万元，主要用于改善硬件、软件条件，鼓励民办教育加大投入。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4"/>
              <w:ind w:firstLine="315" w:firstLineChars="150"/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民办教育发展资金与2020年拨付了30万元，主要用于改善硬件、软件条件，鼓励民办教育加大投入。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210" w:firstLineChars="1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2、2020年完成了项目四个，奖励和表彰集体10个和个人20人。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、2020年对相关教师进行了培训，培训次数在50人次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26CB4E2F"/>
    <w:rsid w:val="39C03468"/>
    <w:rsid w:val="45E964EC"/>
    <w:rsid w:val="4B164DAC"/>
    <w:rsid w:val="5A23621C"/>
    <w:rsid w:val="6B935802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2021-05-28T03:44:55Z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FF5E7600711E477C9F8A49C22491EE3A</vt:lpwstr>
  </property>
</Properties>
</file>