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教育费附加30%用于职业教育专项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教育费附加30%用于职业教育专项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为规范专项资金管理，立足实际情况，切实提高资金使用效益，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制定了专项资金管理办法。组织相关人员认真学习专项资金文件，要求项目单位实施专人负责，专款专用，绝不截留、挪用。</w:t>
            </w:r>
          </w:p>
          <w:p>
            <w:pPr>
              <w:ind w:firstLine="315" w:firstLineChars="15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教育费附加30%专项资金与2020年拨付了200万元，要用于职业学校设备实施添置、校舍的改扩建及维修维护、对职业教育进行提质改造。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专项资金用于设施设备购置42.89万，新建校舍及附属设施89万，专业教学平台等配套费用26.28万，校舍的改造维护、维修41.83万，合计支出200万。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2、投入资金200万元，完成了提质改造，消除安全隐患，添置教学平台，打造产教融合职校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3、对全体师生负责，办社会满意的学校，提升社会知名度达到99%以上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9C00A2"/>
    <w:multiLevelType w:val="singleLevel"/>
    <w:tmpl w:val="D29C00A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4B164DAC"/>
    <w:rsid w:val="622146C2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2021-05-27T10:42:28Z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