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黑体"/>
          <w:color w:val="000000"/>
          <w:sz w:val="32"/>
          <w:szCs w:val="32"/>
        </w:rPr>
      </w:pPr>
      <w:r>
        <w:rPr>
          <w:rFonts w:hint="eastAsia" w:ascii="黑体" w:hAnsi="黑体" w:eastAsia="黑体" w:cs="黑体"/>
          <w:color w:val="000000"/>
          <w:sz w:val="32"/>
          <w:szCs w:val="32"/>
        </w:rPr>
        <w:t>附件5</w:t>
      </w:r>
    </w:p>
    <w:p>
      <w:pPr>
        <w:widowControl/>
        <w:jc w:val="center"/>
        <w:rPr>
          <w:rFonts w:hint="eastAsia" w:ascii="仿宋_GB2312" w:hAnsi="仿宋_GB2312" w:eastAsia="仿宋_GB2312" w:cs="仿宋_GB2312"/>
          <w:b/>
          <w:bCs/>
          <w:kern w:val="0"/>
          <w:sz w:val="32"/>
          <w:szCs w:val="32"/>
        </w:rPr>
      </w:pPr>
      <w:r>
        <w:rPr>
          <w:rFonts w:hint="eastAsia" w:ascii="宋体" w:hAnsi="宋体" w:cs="仿宋_GB2312"/>
          <w:b/>
          <w:bCs/>
          <w:color w:val="000000"/>
          <w:kern w:val="0"/>
          <w:sz w:val="36"/>
          <w:szCs w:val="36"/>
        </w:rPr>
        <w:t>部门整体支出绩效</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rPr>
        <w:t>项目支出绩效评价报告</w:t>
      </w:r>
    </w:p>
    <w:tbl>
      <w:tblPr>
        <w:tblStyle w:val="3"/>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5670"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部门整体支出绩效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5670"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rPr>
              <w:t>104870.33</w:t>
            </w:r>
            <w:r>
              <w:rPr>
                <w:rFonts w:hint="eastAsia" w:ascii="仿宋_GB2312" w:hAnsi="宋体" w:eastAsia="仿宋_GB2312" w:cs="宋体"/>
                <w:szCs w:val="32"/>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5670"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湘潭县教育局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5670" w:type="dxa"/>
            <w:noWrap w:val="0"/>
            <w:vAlign w:val="center"/>
          </w:tcPr>
          <w:p>
            <w:pPr>
              <w:keepNext w:val="0"/>
              <w:keepLines w:val="0"/>
              <w:pageBreakBefore w:val="0"/>
              <w:widowControl w:val="0"/>
              <w:kinsoku/>
              <w:wordWrap/>
              <w:overflowPunct/>
              <w:topLinePunct w:val="0"/>
              <w:autoSpaceDE/>
              <w:autoSpaceDN/>
              <w:bidi w:val="0"/>
              <w:adjustRightInd/>
              <w:snapToGrid/>
              <w:spacing w:line="276" w:lineRule="exact"/>
              <w:ind w:right="880" w:rightChars="419" w:firstLine="420" w:firstLineChars="200"/>
              <w:jc w:val="center"/>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通过绩效评价，改进预算管理，优化资源配置，控制节约成本，提高管理效能和服务水平。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5670" w:type="dxa"/>
            <w:noWrap w:val="0"/>
            <w:vAlign w:val="center"/>
          </w:tcPr>
          <w:p>
            <w:pPr>
              <w:pStyle w:val="2"/>
              <w:keepNext w:val="0"/>
              <w:keepLines w:val="0"/>
              <w:pageBreakBefore w:val="0"/>
              <w:widowControl w:val="0"/>
              <w:shd w:val="clea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根据绩效评价的有关要求和《湘潭县财政局关于印发&lt;湘潭县2020年度预算绩效管理工作方案&gt;的通知》（潭财发〔2020〕17号）等文件精神，我局成立了湘潭县教育局绩效评价工作领导小组，由局长任组长，分管财务的副局长任副组长，党委成员和各股室负责人为领导小组成员；并制定了《湘潭县教育局2020年度财政支出项目资金绩效自评工作方案》，成立了工作小组。</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按照《湘潭县教育局2020年度财政支出项目资金绩效自评工作方案》要求，我局召开了专题会议，明确了分工和责任。由各单位组织人员查阅相关资料，提交工作小组讨论并对照评价指标体系进行自评打分，最后撰写自评报告，并将有关的材料汇总装订成册交计财股。</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1、2020年预算收入104870.33万元，其中一般公共预算拨款76326.09万元，上级补助收入19068.11元，纳入专户管理的非税收入拨款2644.09万元。2020年预算支出104870.33万元，其中：基本支出82892.88万元，其中县本级预算支出为72185.93万元（工资福利支出67921.33万元，商品和服务支出3628.04万元，对个人和家庭的补助支出636.56万元）；项目支出21977.45万元，其中县本级财政预算支出4140.16万元。</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kern w:val="2"/>
                <w:sz w:val="21"/>
                <w:szCs w:val="32"/>
                <w:lang w:val="en-US" w:eastAsia="zh-CN" w:bidi="ar-SA"/>
              </w:rPr>
              <w:t>年中调整预算情况：县本级基本支出年初预算内76326.09元，追加公车补贴147.59万元，19年绩效考核等人员经费613.45万元，日常公用经费403.11万元，新冠防疫经费198万元，合计基本支出追加1362.15万元。县本级项目支出年初预算4140.16万元，追加教育费附加1000万元，教师培训费207万元，五中多媒体教室改造经费10万元，合计项目支出追加1217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5670" w:type="dxa"/>
            <w:noWrap w:val="0"/>
            <w:vAlign w:val="center"/>
          </w:tcPr>
          <w:p>
            <w:pPr>
              <w:keepNext w:val="0"/>
              <w:keepLines w:val="0"/>
              <w:pageBreakBefore w:val="0"/>
              <w:widowControl w:val="0"/>
              <w:numPr>
                <w:numId w:val="0"/>
              </w:numPr>
              <w:kinsoku/>
              <w:wordWrap/>
              <w:overflowPunct/>
              <w:topLinePunct w:val="0"/>
              <w:autoSpaceDE/>
              <w:autoSpaceDN/>
              <w:bidi w:val="0"/>
              <w:adjustRightInd/>
              <w:snapToGrid/>
              <w:spacing w:line="240" w:lineRule="exact"/>
              <w:ind w:firstLine="210" w:firstLineChars="1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2020年收入支出预算执行情况：</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1、总收入：106542.20万元。（1）财政拨款94542.11万元,占总收入的88.74%，（2） 事业收入9948.31万元，其中财政专户管理资金收入7861.89万元；（3） 其他收入1951.78万元，（4）政府性基金拨款100万元。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2、总支出：102597.86万元。（1） 基本支出90362.60万元，其中县财政拨款79341.19元；（2） 项目支出12235.26万元，其中县财政拨款11276.88万元。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3、年初余额4799.28万元（其中使用非财政拨款结余888.38万元，年初结转和结余3910.90），年末余额8743.62万元（其中结余分配736.08万元，年末结转和结余8007.54万元）</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（三）“三公”经费支出情况：</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2020年公务接待费支出65.24万元，公务用车运行维护费2.49万元，因公出国出境费用0万元，合计“三公经费支出67.73万元；2019年一般公共预算财政拨款支出中的“三公”经费支出78.1万元，2020年比2019年减少支出10.7万元，减少13.28%。</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（四）一般运行经费支出情况</w:t>
            </w:r>
          </w:p>
          <w:p>
            <w:pPr>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2020年基本支出中的商品和服务支出13632.22万元，2019年基本支出中的商品和服务支出23902.35万元，减少了10270.13万元，主要是在财政资金紧张情况下节约减少了开支。</w:t>
            </w:r>
          </w:p>
          <w:p>
            <w:pPr>
              <w:keepNext w:val="0"/>
              <w:keepLines w:val="0"/>
              <w:pageBreakBefore w:val="0"/>
              <w:widowControl w:val="0"/>
              <w:kinsoku/>
              <w:wordWrap/>
              <w:overflowPunct/>
              <w:topLinePunct w:val="0"/>
              <w:autoSpaceDE/>
              <w:autoSpaceDN/>
              <w:bidi w:val="0"/>
              <w:adjustRightInd/>
              <w:snapToGrid/>
              <w:spacing w:line="240" w:lineRule="exact"/>
              <w:ind w:right="880" w:rightChars="419"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根据各单位和部门2020年绩效自评的基础数据和自评材料，局绩效评价工作小组逐个对照部门整体支出绩效评价指标体系和标准, 分析从决策到实施再到绩效自评过程中的经验与存在的问题，自评打分97分，评定等次为优秀。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5670"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（一）预算方面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受疫情经济的影响，很多年初预算项目因财政经费保障不足。</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（二）内部控制方面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内部控制管理制度操作的便利性不强</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（三）资金使用方面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资金的拨付和支付的时效性不够。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5670" w:type="dxa"/>
            <w:noWrap w:val="0"/>
            <w:vAlign w:val="center"/>
          </w:tcPr>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（一）预算方面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受疫情经济的影响，很多年初预算项目因财政经费保障不足，预算的执行和完成情况加强。</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（二）内部控制方面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内部控制需要制定更加方便操</w:t>
            </w:r>
            <w:bookmarkStart w:id="0" w:name="_GoBack"/>
            <w:bookmarkEnd w:id="0"/>
            <w:r>
              <w:rPr>
                <w:rFonts w:hint="eastAsia" w:ascii="仿宋_GB2312" w:hAnsi="宋体" w:eastAsia="仿宋_GB2312" w:cs="宋体"/>
                <w:kern w:val="2"/>
                <w:sz w:val="21"/>
                <w:szCs w:val="32"/>
                <w:lang w:val="en-US" w:eastAsia="zh-CN" w:bidi="ar-SA"/>
              </w:rPr>
              <w:t>作的管理制度。</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（三）资金使用方面</w:t>
            </w:r>
          </w:p>
          <w:p>
            <w:pPr>
              <w:pStyle w:val="5"/>
              <w:keepNext w:val="0"/>
              <w:keepLines w:val="0"/>
              <w:pageBreakBefore w:val="0"/>
              <w:widowControl w:val="0"/>
              <w:kinsoku/>
              <w:wordWrap/>
              <w:overflowPunct/>
              <w:topLinePunct w:val="0"/>
              <w:autoSpaceDE/>
              <w:autoSpaceDN/>
              <w:bidi w:val="0"/>
              <w:adjustRightInd/>
              <w:snapToGrid/>
              <w:spacing w:line="240" w:lineRule="exact"/>
              <w:ind w:firstLine="420" w:firstLineChars="200"/>
              <w:jc w:val="left"/>
              <w:textAlignment w:val="auto"/>
              <w:rPr>
                <w:rFonts w:hint="eastAsia" w:ascii="仿宋_GB2312" w:hAnsi="宋体" w:eastAsia="仿宋_GB2312" w:cs="宋体"/>
                <w:kern w:val="2"/>
                <w:sz w:val="21"/>
                <w:szCs w:val="32"/>
                <w:lang w:val="en-US" w:eastAsia="zh-CN" w:bidi="ar-SA"/>
              </w:rPr>
            </w:pPr>
            <w:r>
              <w:rPr>
                <w:rFonts w:hint="eastAsia" w:ascii="仿宋_GB2312" w:hAnsi="宋体" w:eastAsia="仿宋_GB2312" w:cs="宋体"/>
                <w:kern w:val="2"/>
                <w:sz w:val="21"/>
                <w:szCs w:val="32"/>
                <w:lang w:val="en-US" w:eastAsia="zh-CN" w:bidi="ar-SA"/>
              </w:rPr>
              <w:t>资金的拨付和支付的时效性进一步提高。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5670" w:type="dxa"/>
            <w:noWrap w:val="0"/>
            <w:vAlign w:val="center"/>
          </w:tcPr>
          <w:p>
            <w:pPr>
              <w:spacing w:line="576" w:lineRule="exact"/>
              <w:ind w:right="880" w:rightChars="419"/>
              <w:jc w:val="center"/>
              <w:rPr>
                <w:rFonts w:hint="eastAsia" w:ascii="仿宋_GB2312" w:hAnsi="宋体" w:eastAsia="仿宋_GB2312" w:cs="宋体"/>
                <w:szCs w:val="32"/>
              </w:rPr>
            </w:pPr>
          </w:p>
        </w:tc>
      </w:tr>
    </w:tbl>
    <w:p>
      <w:pPr>
        <w:snapToGrid w:val="0"/>
        <w:spacing w:line="540" w:lineRule="exact"/>
        <w:rPr>
          <w:rFonts w:hint="eastAsia" w:ascii="仿宋_GB2312" w:hAnsi="宋体" w:eastAsia="仿宋_GB2312" w:cs="宋体"/>
          <w:kern w:val="0"/>
          <w:sz w:val="32"/>
          <w:szCs w:val="32"/>
        </w:rPr>
      </w:pP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557C203"/>
    <w:multiLevelType w:val="singleLevel"/>
    <w:tmpl w:val="D557C203"/>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64DAC"/>
    <w:rsid w:val="0CA44193"/>
    <w:rsid w:val="4B164D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qFormat/>
    <w:uiPriority w:val="99"/>
    <w:rPr>
      <w:rFonts w:ascii="Times New Roman" w:hAnsi="Times New Roman" w:cs="Times New Roman"/>
      <w:sz w:val="24"/>
      <w:szCs w:val="24"/>
    </w:rPr>
  </w:style>
  <w:style w:type="paragraph" w:styleId="5">
    <w:name w:val="No Spacing"/>
    <w:qFormat/>
    <w:uiPriority w:val="99"/>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2021-05-28T03:12:33Z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