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eastAsia="方正小标宋简体"/>
          <w:bCs/>
          <w:color w:val="000000"/>
          <w:sz w:val="36"/>
          <w:szCs w:val="36"/>
        </w:rPr>
        <w:t>对薄弱学校支持专项资金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对薄弱学校支持专项资金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50万元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湘潭县教育局计财股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4"/>
              <w:ind w:firstLine="315" w:firstLineChars="15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我单位高度重视专项资金的管理，制定了专项资金管理办法。组织相关人员认真学习专项资金文件，要求项目单位实施专人负责，专款专用，绝不截留、挪用。</w:t>
            </w:r>
          </w:p>
          <w:p>
            <w:pPr>
              <w:pStyle w:val="4"/>
              <w:ind w:firstLine="315" w:firstLineChars="15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薄弱学校支持专项资金与2020年拨付了50万元，惠及了30多所薄弱学校，主要用于补充各学校设备添置费、维修经费以及办公经费。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2020年度拨付了50万元给偏远、学校软件、硬件条件差、学生人数少的39所学校。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2020年给偏远、学校软件、硬件条件差的每所学校拨付了1-2万元用来弥补公用经费的不足。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受到支持的薄弱学校满意程度达到了96%以上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4B164DAC"/>
    <w:rsid w:val="6C8B74D5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2021-05-27T10:26:56Z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