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jc w:val="center"/>
        <w:rPr>
          <w:rFonts w:hint="eastAsia" w:ascii="方正小标宋简体" w:hAnsi="方正小标宋简体" w:eastAsia="方正小标宋简体" w:cs="方正小标宋简体"/>
          <w:b w:val="0"/>
          <w:bCs/>
          <w:color w:val="000000"/>
          <w:kern w:val="0"/>
          <w:sz w:val="44"/>
          <w:szCs w:val="44"/>
        </w:rPr>
      </w:pPr>
      <w:r>
        <w:rPr>
          <w:rFonts w:hint="eastAsia" w:ascii="方正小标宋简体" w:hAnsi="方正小标宋简体" w:eastAsia="方正小标宋简体" w:cs="方正小标宋简体"/>
          <w:b w:val="0"/>
          <w:bCs/>
          <w:color w:val="000000"/>
          <w:kern w:val="0"/>
          <w:sz w:val="44"/>
          <w:szCs w:val="44"/>
        </w:rPr>
        <w:t>湘潭县机关事业单位养老保险基金项目支出绩效评价报告</w:t>
      </w:r>
    </w:p>
    <w:p>
      <w:pPr>
        <w:widowControl/>
        <w:spacing w:line="576" w:lineRule="exact"/>
        <w:jc w:val="center"/>
        <w:rPr>
          <w:rFonts w:ascii="仿宋" w:hAnsi="仿宋" w:eastAsia="仿宋" w:cs="宋体"/>
          <w:bCs/>
          <w:color w:val="000000"/>
          <w:kern w:val="0"/>
          <w:sz w:val="32"/>
          <w:szCs w:val="32"/>
        </w:rPr>
      </w:pPr>
      <w:r>
        <w:rPr>
          <w:rFonts w:hint="eastAsia" w:ascii="仿宋" w:hAnsi="仿宋" w:eastAsia="仿宋" w:cs="宋体"/>
          <w:bCs/>
          <w:color w:val="000000"/>
          <w:kern w:val="0"/>
          <w:sz w:val="32"/>
          <w:szCs w:val="32"/>
        </w:rPr>
        <w:t>（2021年度）</w:t>
      </w:r>
    </w:p>
    <w:tbl>
      <w:tblPr>
        <w:tblStyle w:val="5"/>
        <w:tblpPr w:leftFromText="180" w:rightFromText="180" w:vertAnchor="text" w:horzAnchor="margin" w:tblpXSpec="center" w:tblpY="18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1710"/>
        <w:gridCol w:w="5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656" w:type="pct"/>
            <w:vMerge w:val="restar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部门概况</w:t>
            </w:r>
          </w:p>
        </w:tc>
        <w:tc>
          <w:tcPr>
            <w:tcW w:w="1003"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专项名称</w:t>
            </w:r>
          </w:p>
        </w:tc>
        <w:tc>
          <w:tcPr>
            <w:tcW w:w="3340"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xml:space="preserve">   机关事业单位养老保险基金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656" w:type="pct"/>
            <w:vMerge w:val="continue"/>
            <w:noWrap/>
          </w:tcPr>
          <w:p>
            <w:pPr>
              <w:rPr>
                <w:rFonts w:hint="eastAsia" w:ascii="仿宋_GB2312" w:hAnsi="宋体" w:eastAsia="仿宋_GB2312" w:cs="仿宋_GB2312"/>
                <w:i w:val="0"/>
                <w:color w:val="000000"/>
                <w:kern w:val="0"/>
                <w:sz w:val="21"/>
                <w:szCs w:val="21"/>
                <w:u w:val="none"/>
                <w:lang w:val="en-US" w:eastAsia="zh-CN" w:bidi="ar"/>
              </w:rPr>
            </w:pPr>
          </w:p>
        </w:tc>
        <w:tc>
          <w:tcPr>
            <w:tcW w:w="1003"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年度预算金额</w:t>
            </w:r>
          </w:p>
        </w:tc>
        <w:tc>
          <w:tcPr>
            <w:tcW w:w="3340" w:type="pct"/>
            <w:noWrap/>
            <w:vAlign w:val="center"/>
          </w:tcPr>
          <w:p>
            <w:pPr>
              <w:ind w:firstLine="630" w:firstLineChars="300"/>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48700万元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656" w:type="pct"/>
            <w:vMerge w:val="continue"/>
            <w:noWrap/>
          </w:tcPr>
          <w:p>
            <w:pPr>
              <w:rPr>
                <w:rFonts w:hint="eastAsia" w:ascii="仿宋_GB2312" w:hAnsi="宋体" w:eastAsia="仿宋_GB2312" w:cs="仿宋_GB2312"/>
                <w:i w:val="0"/>
                <w:color w:val="000000"/>
                <w:kern w:val="0"/>
                <w:sz w:val="21"/>
                <w:szCs w:val="21"/>
                <w:u w:val="none"/>
                <w:lang w:val="en-US" w:eastAsia="zh-CN" w:bidi="ar"/>
              </w:rPr>
            </w:pPr>
          </w:p>
        </w:tc>
        <w:tc>
          <w:tcPr>
            <w:tcW w:w="1003"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项目主管部门</w:t>
            </w:r>
          </w:p>
        </w:tc>
        <w:tc>
          <w:tcPr>
            <w:tcW w:w="3340"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湘潭县人力资源和社会保障局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656" w:type="pct"/>
            <w:vMerge w:val="continue"/>
            <w:noWrap/>
          </w:tcPr>
          <w:p>
            <w:pPr>
              <w:rPr>
                <w:rFonts w:hint="eastAsia" w:ascii="仿宋_GB2312" w:hAnsi="宋体" w:eastAsia="仿宋_GB2312" w:cs="仿宋_GB2312"/>
                <w:i w:val="0"/>
                <w:color w:val="000000"/>
                <w:kern w:val="0"/>
                <w:sz w:val="21"/>
                <w:szCs w:val="21"/>
                <w:u w:val="none"/>
                <w:lang w:val="en-US" w:eastAsia="zh-CN" w:bidi="ar"/>
              </w:rPr>
            </w:pPr>
          </w:p>
        </w:tc>
        <w:tc>
          <w:tcPr>
            <w:tcW w:w="1003"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项目立项目的</w:t>
            </w:r>
          </w:p>
        </w:tc>
        <w:tc>
          <w:tcPr>
            <w:tcW w:w="3340" w:type="pct"/>
            <w:noWrap/>
          </w:tcPr>
          <w:p>
            <w:pPr>
              <w:rPr>
                <w:rFonts w:hint="eastAsia" w:ascii="仿宋_GB2312" w:hAnsi="宋体" w:eastAsia="仿宋_GB2312" w:cs="仿宋_GB2312"/>
                <w:i w:val="0"/>
                <w:color w:val="000000"/>
                <w:kern w:val="0"/>
                <w:sz w:val="21"/>
                <w:szCs w:val="21"/>
                <w:u w:val="none"/>
                <w:lang w:val="en-US" w:eastAsia="zh-CN" w:bidi="ar"/>
              </w:rPr>
            </w:pPr>
          </w:p>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预算每年机关事业单位养老金支出，达到收支平衡、养老金发放到到位、维护养老群体稳定的目的。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0" w:hRule="atLeast"/>
          <w:jc w:val="center"/>
        </w:trPr>
        <w:tc>
          <w:tcPr>
            <w:tcW w:w="656" w:type="pct"/>
            <w:vMerge w:val="restar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绩效情况</w:t>
            </w:r>
          </w:p>
        </w:tc>
        <w:tc>
          <w:tcPr>
            <w:tcW w:w="1003"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项目支出管理和使用基本情况</w:t>
            </w:r>
          </w:p>
        </w:tc>
        <w:tc>
          <w:tcPr>
            <w:tcW w:w="3340"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根据湖湘政发〔2015〕38号，湘人社发〔2016〕52号文件实施养老保险的征缴与发放我县主管单位为湘潭县人力资源和社会保障局，实施单位为湘潭县社保服务中心，资金来源主要是征缴收入和财政补贴收入，构成社保基金，用与养老金发放，这项工作保障了全县机关退休干部养老金的发放。对2021年机关事业单位养老保险基金进行项目申报，2021年度县机关事业单位养老保险基金实际收入48829.4万元，实际支出47650.9万元，其中社会保险费收入22579.1万元；利息收入37万元；财政补贴收入25351万元；转移收入801.6万元。社会保险待遇支出47149.6万元；转移支出192.3万元，其他支出308.9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656" w:type="pct"/>
            <w:vMerge w:val="continue"/>
            <w:noWrap/>
          </w:tcPr>
          <w:p>
            <w:pPr>
              <w:rPr>
                <w:rFonts w:hint="eastAsia" w:ascii="仿宋_GB2312" w:hAnsi="宋体" w:eastAsia="仿宋_GB2312" w:cs="仿宋_GB2312"/>
                <w:i w:val="0"/>
                <w:color w:val="000000"/>
                <w:kern w:val="0"/>
                <w:sz w:val="21"/>
                <w:szCs w:val="21"/>
                <w:u w:val="none"/>
                <w:lang w:val="en-US" w:eastAsia="zh-CN" w:bidi="ar"/>
              </w:rPr>
            </w:pPr>
          </w:p>
        </w:tc>
        <w:tc>
          <w:tcPr>
            <w:tcW w:w="1003"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项目绩效目标完成情况</w:t>
            </w:r>
          </w:p>
        </w:tc>
        <w:tc>
          <w:tcPr>
            <w:tcW w:w="3340"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预算支出48700万元，实际支出47650.9万元，完成率98%,完成率在合理范围内。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656" w:type="pct"/>
            <w:vMerge w:val="restar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存在的问题分析及改进措施</w:t>
            </w:r>
          </w:p>
        </w:tc>
        <w:tc>
          <w:tcPr>
            <w:tcW w:w="1003"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存在的问题</w:t>
            </w:r>
          </w:p>
        </w:tc>
        <w:tc>
          <w:tcPr>
            <w:tcW w:w="3340"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1.每年存在政策性调整幅度，预算控制存在一定难度。2.养老金支出随着退休人员增加、待遇调整资金缺口也逐步增大。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656" w:type="pct"/>
            <w:vMerge w:val="continue"/>
            <w:noWrap/>
          </w:tcPr>
          <w:p>
            <w:pPr>
              <w:rPr>
                <w:rFonts w:hint="eastAsia" w:ascii="仿宋_GB2312" w:hAnsi="宋体" w:eastAsia="仿宋_GB2312" w:cs="仿宋_GB2312"/>
                <w:i w:val="0"/>
                <w:color w:val="000000"/>
                <w:kern w:val="0"/>
                <w:sz w:val="21"/>
                <w:szCs w:val="21"/>
                <w:u w:val="none"/>
                <w:lang w:val="en-US" w:eastAsia="zh-CN" w:bidi="ar"/>
              </w:rPr>
            </w:pPr>
          </w:p>
        </w:tc>
        <w:tc>
          <w:tcPr>
            <w:tcW w:w="1003"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改进措施</w:t>
            </w:r>
          </w:p>
        </w:tc>
        <w:tc>
          <w:tcPr>
            <w:tcW w:w="3340"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1.加强预算控制。2.财政加大资金缺口的补足力度。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656" w:type="pct"/>
            <w:vMerge w:val="continue"/>
            <w:noWrap/>
          </w:tcPr>
          <w:p>
            <w:pPr>
              <w:rPr>
                <w:rFonts w:hint="eastAsia" w:ascii="仿宋_GB2312" w:hAnsi="宋体" w:eastAsia="仿宋_GB2312" w:cs="仿宋_GB2312"/>
                <w:i w:val="0"/>
                <w:color w:val="000000"/>
                <w:kern w:val="0"/>
                <w:sz w:val="21"/>
                <w:szCs w:val="21"/>
                <w:u w:val="none"/>
                <w:lang w:val="en-US" w:eastAsia="zh-CN" w:bidi="ar"/>
              </w:rPr>
            </w:pPr>
          </w:p>
        </w:tc>
        <w:tc>
          <w:tcPr>
            <w:tcW w:w="1003"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其他需要说明问题</w:t>
            </w:r>
          </w:p>
        </w:tc>
        <w:tc>
          <w:tcPr>
            <w:tcW w:w="3340" w:type="pct"/>
            <w:noWrap/>
            <w:vAlign w:val="center"/>
          </w:tcPr>
          <w:p>
            <w:pP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无</w:t>
            </w:r>
            <w:bookmarkStart w:id="0" w:name="_GoBack"/>
            <w:bookmarkEnd w:id="0"/>
          </w:p>
        </w:tc>
      </w:tr>
    </w:tbl>
    <w:p>
      <w:pPr>
        <w:rPr>
          <w:rFonts w:hint="eastAsia" w:ascii="仿宋_GB2312" w:hAnsi="宋体" w:eastAsia="仿宋_GB2312" w:cs="仿宋_GB2312"/>
          <w:i w:val="0"/>
          <w:color w:val="000000"/>
          <w:kern w:val="0"/>
          <w:sz w:val="21"/>
          <w:szCs w:val="21"/>
          <w:u w:val="none"/>
          <w:lang w:val="en-US" w:eastAsia="zh-CN" w:bidi="ar"/>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0"/>
              <wp:wrapNone/>
              <wp:docPr id="3" name="文本框 1"/>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a:noFill/>
                      </a:ln>
                      <a:effectLst/>
                    </wps:spPr>
                    <wps:txbx>
                      <w:txbxContent>
                        <w:p>
                          <w:pPr>
                            <w:pStyle w:val="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36</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&#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m84hJ9EAAAADAQAADwAAAAAAAAABACAAAAAiAAAAZHJz&#10;L2Rvd25yZXYueG1sUEsBAhQAFAAAAAgAh07iQBk67xDSAQAApQMAAA4AAAAAAAAAAQAgAAAAIAEA&#10;AGRycy9lMm9Eb2MueG1sUEsFBgAAAAAGAAYAWQEAAGQFAAAAAA==&#10;">
              <v:fill on="f" focussize="0,0"/>
              <v:stroke on="f"/>
              <v:imagedata o:title=""/>
              <o:lock v:ext="edit" aspectratio="f"/>
              <v:textbox inset="0mm,0mm,0mm,0mm" style="mso-fit-shape-to-text:t;">
                <w:txbxContent>
                  <w:p>
                    <w:pPr>
                      <w:pStyle w:val="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36</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0OTMyMjJlNTBhYzFjNzNhOTc1MjJmYTQ4MGM4MjgifQ=="/>
  </w:docVars>
  <w:rsids>
    <w:rsidRoot w:val="00674692"/>
    <w:rsid w:val="00155FF6"/>
    <w:rsid w:val="003963A1"/>
    <w:rsid w:val="00487080"/>
    <w:rsid w:val="00674692"/>
    <w:rsid w:val="00995B13"/>
    <w:rsid w:val="00A55B59"/>
    <w:rsid w:val="00D46FFF"/>
    <w:rsid w:val="00EC476D"/>
    <w:rsid w:val="00FD4146"/>
    <w:rsid w:val="06B56AED"/>
    <w:rsid w:val="08C01DB1"/>
    <w:rsid w:val="0FE26BB6"/>
    <w:rsid w:val="10032A4E"/>
    <w:rsid w:val="16964011"/>
    <w:rsid w:val="183F3BEB"/>
    <w:rsid w:val="1D0D0CEA"/>
    <w:rsid w:val="1DA47E85"/>
    <w:rsid w:val="20513484"/>
    <w:rsid w:val="21331E67"/>
    <w:rsid w:val="21ED35E0"/>
    <w:rsid w:val="23FC3E73"/>
    <w:rsid w:val="27282443"/>
    <w:rsid w:val="2A9450A9"/>
    <w:rsid w:val="3E08671B"/>
    <w:rsid w:val="4418558A"/>
    <w:rsid w:val="490D7745"/>
    <w:rsid w:val="4A77494D"/>
    <w:rsid w:val="4DDE1EAC"/>
    <w:rsid w:val="50591864"/>
    <w:rsid w:val="5B972577"/>
    <w:rsid w:val="5BAC15F8"/>
    <w:rsid w:val="69485730"/>
    <w:rsid w:val="725F5FFC"/>
    <w:rsid w:val="727B2EDE"/>
    <w:rsid w:val="7BCD22D5"/>
    <w:rsid w:val="7F48722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7">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8">
    <w:name w:val="无间隔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9">
    <w:name w:val="无间隔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BF27F6-50BE-4C8E-A758-E9B7481189E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540</Words>
  <Characters>619</Characters>
  <Lines>112</Lines>
  <Paragraphs>31</Paragraphs>
  <TotalTime>4</TotalTime>
  <ScaleCrop>false</ScaleCrop>
  <LinksUpToDate>false</LinksUpToDate>
  <CharactersWithSpaces>622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2022-04-28T00:40:00Z</dcterms:created>
  <dc:creator>Administrator</dc:creator>
  <cp:lastModifiedBy>大道至简</cp:lastModifiedBy>
  <cp:lastPrinted>2022-04-29T08:07:00Z</cp:lastPrinted>
  <dcterms:modified xsi:type="dcterms:W3CDTF">2022-05-05T06:58:58Z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65EEAE4C699D43E5B401A385D11E3D0E</vt:lpwstr>
  </property>
  <property fmtid="{D5CDD505-2E9C-101B-9397-08002B2CF9AE}" pid="4" name="commondata">
    <vt:lpwstr>eyJoZGlkIjoiNmIyNzA0OWQ1ZTE2ZjI1MmVjZDYwMDMxODkxY2FjMDYifQ==</vt:lpwstr>
  </property>
</Properties>
</file>