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48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湘潭县人力资源和社会保障局</w:t>
      </w:r>
    </w:p>
    <w:p>
      <w:pPr>
        <w:keepNext w:val="0"/>
        <w:keepLines w:val="0"/>
        <w:pageBreakBefore w:val="0"/>
        <w:widowControl w:val="0"/>
        <w:tabs>
          <w:tab w:val="left" w:pos="648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部门整体支出绩效评价报告</w:t>
      </w:r>
    </w:p>
    <w:p>
      <w:pPr>
        <w:keepNext w:val="0"/>
        <w:keepLines w:val="0"/>
        <w:pageBreakBefore w:val="0"/>
        <w:widowControl w:val="0"/>
        <w:tabs>
          <w:tab w:val="left" w:pos="6480"/>
        </w:tabs>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32"/>
          <w:szCs w:val="32"/>
          <w:lang w:eastAsia="zh-CN"/>
        </w:rPr>
        <w:t>（</w:t>
      </w:r>
      <w:r>
        <w:rPr>
          <w:rFonts w:hint="eastAsia" w:ascii="方正小标宋简体" w:hAnsi="方正小标宋简体" w:eastAsia="方正小标宋简体" w:cs="方正小标宋简体"/>
          <w:b w:val="0"/>
          <w:bCs w:val="0"/>
          <w:sz w:val="32"/>
          <w:szCs w:val="32"/>
          <w:lang w:val="en-US" w:eastAsia="zh-CN"/>
        </w:rPr>
        <w:t>2021年度</w:t>
      </w:r>
      <w:r>
        <w:rPr>
          <w:rFonts w:hint="eastAsia" w:ascii="方正小标宋简体" w:hAnsi="方正小标宋简体" w:eastAsia="方正小标宋简体" w:cs="方正小标宋简体"/>
          <w:b w:val="0"/>
          <w:bCs w:val="0"/>
          <w:sz w:val="32"/>
          <w:szCs w:val="32"/>
          <w:lang w:eastAsia="zh-CN"/>
        </w:rPr>
        <w:t>）</w:t>
      </w:r>
    </w:p>
    <w:tbl>
      <w:tblPr>
        <w:tblStyle w:val="3"/>
        <w:tblpPr w:leftFromText="180" w:rightFromText="180" w:vertAnchor="text" w:horzAnchor="page" w:tblpX="1650" w:tblpY="1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pPr>
              <w:spacing w:line="576" w:lineRule="exact"/>
              <w:ind w:right="880" w:rightChars="419"/>
              <w:jc w:val="center"/>
              <w:rPr>
                <w:rFonts w:hint="eastAsia" w:ascii="仿宋_GB2312" w:hAnsi="宋体" w:eastAsia="仿宋_GB2312" w:cs="宋体"/>
                <w:sz w:val="22"/>
                <w:szCs w:val="22"/>
              </w:rPr>
            </w:pPr>
            <w:r>
              <w:rPr>
                <w:rFonts w:hint="eastAsia" w:ascii="仿宋_GB2312" w:hAnsi="仿宋_GB2312" w:eastAsia="仿宋_GB2312" w:cs="仿宋_GB2312"/>
                <w:sz w:val="22"/>
                <w:szCs w:val="22"/>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pPr>
              <w:spacing w:line="576" w:lineRule="exact"/>
              <w:ind w:right="880" w:rightChars="419"/>
              <w:jc w:val="center"/>
              <w:rPr>
                <w:rFonts w:hint="eastAsia" w:ascii="仿宋_GB2312" w:hAnsi="宋体" w:eastAsia="仿宋_GB2312" w:cs="宋体"/>
                <w:sz w:val="22"/>
                <w:szCs w:val="22"/>
              </w:rPr>
            </w:pPr>
            <w:r>
              <w:rPr>
                <w:rFonts w:hint="eastAsia" w:ascii="仿宋_GB2312" w:hAnsi="仿宋_GB2312" w:eastAsia="仿宋_GB2312" w:cs="仿宋_GB2312"/>
                <w:sz w:val="22"/>
                <w:szCs w:val="22"/>
                <w:lang w:val="en-US" w:eastAsia="zh-CN"/>
              </w:rPr>
              <w:t>2059</w:t>
            </w:r>
            <w:r>
              <w:rPr>
                <w:rFonts w:hint="eastAsia" w:ascii="仿宋_GB2312" w:hAnsi="仿宋_GB2312" w:eastAsia="仿宋_GB2312" w:cs="仿宋_GB2312"/>
                <w:sz w:val="22"/>
                <w:szCs w:val="22"/>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pPr>
              <w:spacing w:line="576" w:lineRule="exact"/>
              <w:ind w:right="880" w:rightChars="419"/>
              <w:jc w:val="center"/>
              <w:rPr>
                <w:rFonts w:hint="eastAsia" w:ascii="仿宋_GB2312" w:hAnsi="宋体" w:eastAsia="仿宋_GB2312" w:cs="宋体"/>
                <w:sz w:val="22"/>
                <w:szCs w:val="22"/>
              </w:rPr>
            </w:pPr>
            <w:r>
              <w:rPr>
                <w:rFonts w:hint="eastAsia" w:ascii="仿宋_GB2312" w:hAnsi="仿宋_GB2312" w:eastAsia="仿宋_GB2312" w:cs="仿宋_GB2312"/>
                <w:sz w:val="22"/>
                <w:szCs w:val="22"/>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rPr>
              <w:t>、贯彻执行国家、省、市人力资源和社会保障方针政策和法律法规，拟定具体实施方案；编制全县人力资源和社会保障事业发展规划和年度工作计划并组织实施；对全县人力资源和社会保障工作进行综合管理、监督指导、协调服务。</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rPr>
              <w:t>、负责全县人力资源开发综合管理。组织实施人力资源市场发展规划和人</w:t>
            </w:r>
            <w:bookmarkStart w:id="0" w:name="_GoBack"/>
            <w:bookmarkEnd w:id="0"/>
            <w:r>
              <w:rPr>
                <w:rFonts w:hint="eastAsia" w:ascii="仿宋_GB2312" w:hAnsi="仿宋_GB2312" w:eastAsia="仿宋_GB2312" w:cs="仿宋_GB2312"/>
                <w:sz w:val="21"/>
                <w:szCs w:val="21"/>
              </w:rPr>
              <w:t>力资源流动政策；负责建立和管理人力资源市场。</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3</w:t>
            </w:r>
            <w:r>
              <w:rPr>
                <w:rFonts w:hint="eastAsia" w:ascii="仿宋_GB2312" w:hAnsi="仿宋_GB2312" w:eastAsia="仿宋_GB2312" w:cs="仿宋_GB2312"/>
                <w:sz w:val="21"/>
                <w:szCs w:val="21"/>
              </w:rPr>
              <w:t>、负责促进就业工作。执行统筹城乡的就业发展规划和政策，完善公共就业服务体系；负责全县就业、预测预警和信息报送，拟定应对预案；组织落实就业援助制度；组织落实职业资格制度相关政策，统筹建立面向城乡劳动者的职业培训制度；贯彻执行高校毕业生就业政策，技能人才培养和激励政策。</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4</w:t>
            </w:r>
            <w:r>
              <w:rPr>
                <w:rFonts w:hint="eastAsia" w:ascii="仿宋_GB2312" w:hAnsi="仿宋_GB2312" w:eastAsia="仿宋_GB2312" w:cs="仿宋_GB2312"/>
                <w:sz w:val="21"/>
                <w:szCs w:val="21"/>
              </w:rPr>
              <w:t>、统筹建立覆盖城乡的社会保障体系，贯彻实施城乡社会保险政策。</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5</w:t>
            </w:r>
            <w:r>
              <w:rPr>
                <w:rFonts w:hint="eastAsia" w:ascii="仿宋_GB2312" w:hAnsi="仿宋_GB2312" w:eastAsia="仿宋_GB2312" w:cs="仿宋_GB2312"/>
                <w:sz w:val="21"/>
                <w:szCs w:val="21"/>
              </w:rPr>
              <w:t>、负责全县社会保险基金管理，实施监督和内部审计；编制全县社会保险基金预决算草案；负责全县社会保险基金预测预警和信息报送。</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负责全县机关事业单位工资收入分配综合管理。贯彻执行机关、企事业单位人员工资收入分配政策；建立机关企事业单位人员工资正常增长和支付保障机制；负责审核纳入县级财政统一发放工资范围的同级政府机关、事业单位及人员的工资、奖金、津补贴标准和离退休费；执行机关企事业单位人员和离退休政策。</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7、</w:t>
            </w:r>
            <w:r>
              <w:rPr>
                <w:rFonts w:hint="eastAsia" w:ascii="仿宋_GB2312" w:hAnsi="仿宋_GB2312" w:eastAsia="仿宋_GB2312" w:cs="仿宋_GB2312"/>
                <w:sz w:val="21"/>
                <w:szCs w:val="21"/>
              </w:rPr>
              <w:t>负责指导事业单位人事制度改革，实施事业单位人员和机关工勤人员的管理；参与人才管理工作，综合管理全县专业技术队伍建设和专业技术人员工作，承担全县专业技术人员和机关事业单位工勤人员的培训和继续教育工作；归口管理专业技术人员的职称工作。</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8</w:t>
            </w:r>
            <w:r>
              <w:rPr>
                <w:rFonts w:hint="eastAsia" w:ascii="仿宋_GB2312" w:hAnsi="仿宋_GB2312" w:eastAsia="仿宋_GB2312" w:cs="仿宋_GB2312"/>
                <w:sz w:val="21"/>
                <w:szCs w:val="21"/>
              </w:rPr>
              <w:t>、负责全县外国专家综合管理和会同有关部门做好引进国外智力工作。</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9</w:t>
            </w:r>
            <w:r>
              <w:rPr>
                <w:rFonts w:hint="eastAsia" w:ascii="仿宋_GB2312" w:hAnsi="仿宋_GB2312" w:eastAsia="仿宋_GB2312" w:cs="仿宋_GB2312"/>
                <w:sz w:val="21"/>
                <w:szCs w:val="21"/>
              </w:rPr>
              <w:t>、贯彻执行农村居民进城务工综合性政策，会同有关部门做好进城务工农村居民的维权工作。</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实施劳动、人事争议调解仲裁制度；执行劳动关系法律、法规，完善劳动关系协调机制；负责依法打击非法使用童工和监督落实女工、未成年工的特殊劳动保护政策；组织实施劳动监察，协调劳动者维权工作，依法查处违法侵权案件。</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szCs w:val="21"/>
              </w:rPr>
            </w:pPr>
            <w:r>
              <w:rPr>
                <w:rFonts w:hint="eastAsia" w:ascii="仿宋_GB2312" w:hAnsi="仿宋_GB2312" w:eastAsia="仿宋_GB2312" w:cs="仿宋_GB2312"/>
                <w:sz w:val="21"/>
                <w:szCs w:val="21"/>
                <w:lang w:val="en-US" w:eastAsia="zh-CN"/>
              </w:rPr>
              <w:t>11</w:t>
            </w:r>
            <w:r>
              <w:rPr>
                <w:rFonts w:hint="eastAsia" w:ascii="仿宋_GB2312" w:hAnsi="仿宋_GB2312" w:eastAsia="仿宋_GB2312" w:cs="仿宋_GB2312"/>
                <w:sz w:val="21"/>
                <w:szCs w:val="21"/>
              </w:rPr>
              <w:t>、承办县人民政府交办的其他事项。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1、全年预算情况： </w:t>
            </w:r>
            <w:r>
              <w:rPr>
                <w:rFonts w:hint="eastAsia" w:ascii="仿宋_GB2312" w:hAnsi="仿宋_GB2312" w:eastAsia="仿宋_GB2312" w:cs="仿宋_GB2312"/>
                <w:sz w:val="21"/>
                <w:szCs w:val="21"/>
                <w:lang w:eastAsia="zh-CN"/>
              </w:rPr>
              <w:t>全</w:t>
            </w:r>
            <w:r>
              <w:rPr>
                <w:rFonts w:hint="eastAsia" w:ascii="仿宋_GB2312" w:hAnsi="仿宋_GB2312" w:eastAsia="仿宋_GB2312" w:cs="仿宋_GB2312"/>
                <w:sz w:val="21"/>
                <w:szCs w:val="21"/>
              </w:rPr>
              <w:t>年</w:t>
            </w:r>
            <w:r>
              <w:rPr>
                <w:rFonts w:hint="eastAsia" w:ascii="仿宋_GB2312" w:hAnsi="仿宋_GB2312" w:eastAsia="仿宋_GB2312" w:cs="仿宋_GB2312"/>
                <w:sz w:val="21"/>
                <w:szCs w:val="21"/>
                <w:lang w:eastAsia="zh-CN"/>
              </w:rPr>
              <w:t>预算安排</w:t>
            </w:r>
            <w:r>
              <w:rPr>
                <w:rFonts w:hint="eastAsia" w:ascii="仿宋_GB2312" w:hAnsi="仿宋_GB2312" w:eastAsia="仿宋_GB2312" w:cs="仿宋_GB2312"/>
                <w:sz w:val="21"/>
                <w:szCs w:val="21"/>
                <w:lang w:val="en-US" w:eastAsia="zh-CN"/>
              </w:rPr>
              <w:t xml:space="preserve"> 2059</w:t>
            </w:r>
            <w:r>
              <w:rPr>
                <w:rFonts w:hint="eastAsia" w:ascii="仿宋_GB2312" w:hAnsi="仿宋_GB2312" w:eastAsia="仿宋_GB2312" w:cs="仿宋_GB2312"/>
                <w:sz w:val="21"/>
                <w:szCs w:val="21"/>
              </w:rPr>
              <w:t>万元，其中年度财政拨款收入</w:t>
            </w:r>
            <w:r>
              <w:rPr>
                <w:rFonts w:hint="eastAsia" w:ascii="仿宋_GB2312" w:hAnsi="仿宋_GB2312" w:eastAsia="仿宋_GB2312" w:cs="仿宋_GB2312"/>
                <w:sz w:val="21"/>
                <w:szCs w:val="21"/>
                <w:lang w:val="en-US" w:eastAsia="zh-CN"/>
              </w:rPr>
              <w:t>2059</w:t>
            </w:r>
            <w:r>
              <w:rPr>
                <w:rFonts w:hint="eastAsia" w:ascii="仿宋_GB2312" w:hAnsi="仿宋_GB2312" w:eastAsia="仿宋_GB2312" w:cs="仿宋_GB2312"/>
                <w:sz w:val="21"/>
                <w:szCs w:val="21"/>
              </w:rPr>
              <w:t>万元。</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2、预算执行情况：1、</w:t>
            </w:r>
            <w:r>
              <w:rPr>
                <w:rFonts w:hint="eastAsia" w:ascii="仿宋_GB2312" w:hAnsi="仿宋_GB2312" w:eastAsia="仿宋_GB2312" w:cs="仿宋_GB2312"/>
                <w:sz w:val="21"/>
                <w:szCs w:val="21"/>
                <w:lang w:eastAsia="zh-CN"/>
              </w:rPr>
              <w:t>全</w:t>
            </w:r>
            <w:r>
              <w:rPr>
                <w:rFonts w:hint="eastAsia" w:ascii="仿宋_GB2312" w:hAnsi="仿宋_GB2312" w:eastAsia="仿宋_GB2312" w:cs="仿宋_GB2312"/>
                <w:sz w:val="21"/>
                <w:szCs w:val="21"/>
              </w:rPr>
              <w:t>年支出合计</w:t>
            </w:r>
            <w:r>
              <w:rPr>
                <w:rFonts w:hint="eastAsia" w:ascii="仿宋_GB2312" w:hAnsi="仿宋_GB2312" w:eastAsia="仿宋_GB2312" w:cs="仿宋_GB2312"/>
                <w:sz w:val="21"/>
                <w:szCs w:val="21"/>
                <w:lang w:val="en-US" w:eastAsia="zh-CN"/>
              </w:rPr>
              <w:t>2059</w:t>
            </w:r>
            <w:r>
              <w:rPr>
                <w:rFonts w:hint="eastAsia" w:ascii="仿宋_GB2312" w:hAnsi="仿宋_GB2312" w:eastAsia="仿宋_GB2312" w:cs="仿宋_GB2312"/>
                <w:sz w:val="21"/>
                <w:szCs w:val="21"/>
              </w:rPr>
              <w:t>万元，其中，</w:t>
            </w:r>
            <w:r>
              <w:rPr>
                <w:rFonts w:hint="eastAsia" w:ascii="仿宋_GB2312" w:hAnsi="仿宋_GB2312" w:eastAsia="仿宋_GB2312" w:cs="仿宋_GB2312"/>
                <w:sz w:val="21"/>
                <w:szCs w:val="21"/>
                <w:lang w:eastAsia="zh-CN"/>
              </w:rPr>
              <w:t>基本支出</w:t>
            </w:r>
            <w:r>
              <w:rPr>
                <w:rFonts w:hint="eastAsia" w:ascii="仿宋_GB2312" w:hAnsi="仿宋_GB2312" w:eastAsia="仿宋_GB2312" w:cs="仿宋_GB2312"/>
                <w:sz w:val="21"/>
                <w:szCs w:val="21"/>
                <w:lang w:val="en-US" w:eastAsia="zh-CN"/>
              </w:rPr>
              <w:t>1623万元（</w:t>
            </w:r>
            <w:r>
              <w:rPr>
                <w:rFonts w:hint="eastAsia" w:ascii="仿宋_GB2312" w:hAnsi="仿宋_GB2312" w:eastAsia="仿宋_GB2312" w:cs="仿宋_GB2312"/>
                <w:sz w:val="21"/>
                <w:szCs w:val="21"/>
              </w:rPr>
              <w:t>工资福利支出</w:t>
            </w:r>
            <w:r>
              <w:rPr>
                <w:rFonts w:hint="eastAsia" w:ascii="仿宋_GB2312" w:hAnsi="仿宋_GB2312" w:eastAsia="仿宋_GB2312" w:cs="仿宋_GB2312"/>
                <w:sz w:val="21"/>
                <w:szCs w:val="21"/>
                <w:lang w:val="en-US" w:eastAsia="zh-CN"/>
              </w:rPr>
              <w:t>1149</w:t>
            </w:r>
            <w:r>
              <w:rPr>
                <w:rFonts w:hint="eastAsia" w:ascii="仿宋_GB2312" w:hAnsi="仿宋_GB2312" w:eastAsia="仿宋_GB2312" w:cs="仿宋_GB2312"/>
                <w:sz w:val="21"/>
                <w:szCs w:val="21"/>
              </w:rPr>
              <w:t>万元，商品和服务支出</w:t>
            </w:r>
            <w:r>
              <w:rPr>
                <w:rFonts w:hint="eastAsia" w:ascii="仿宋_GB2312" w:hAnsi="仿宋_GB2312" w:eastAsia="仿宋_GB2312" w:cs="仿宋_GB2312"/>
                <w:sz w:val="21"/>
                <w:szCs w:val="21"/>
                <w:lang w:val="en-US" w:eastAsia="zh-CN"/>
              </w:rPr>
              <w:t>417</w:t>
            </w:r>
            <w:r>
              <w:rPr>
                <w:rFonts w:hint="eastAsia" w:ascii="仿宋_GB2312" w:hAnsi="仿宋_GB2312" w:eastAsia="仿宋_GB2312" w:cs="仿宋_GB2312"/>
                <w:sz w:val="21"/>
                <w:szCs w:val="21"/>
              </w:rPr>
              <w:t>万元，对个人和家庭的补助支出</w:t>
            </w:r>
            <w:r>
              <w:rPr>
                <w:rFonts w:hint="eastAsia" w:ascii="仿宋_GB2312" w:hAnsi="仿宋_GB2312" w:eastAsia="仿宋_GB2312" w:cs="仿宋_GB2312"/>
                <w:sz w:val="21"/>
                <w:szCs w:val="21"/>
                <w:lang w:val="en-US" w:eastAsia="zh-CN"/>
              </w:rPr>
              <w:t>55</w:t>
            </w:r>
            <w:r>
              <w:rPr>
                <w:rFonts w:hint="eastAsia" w:ascii="仿宋_GB2312" w:hAnsi="仿宋_GB2312" w:eastAsia="仿宋_GB2312" w:cs="仿宋_GB2312"/>
                <w:sz w:val="21"/>
                <w:szCs w:val="21"/>
              </w:rPr>
              <w:t>万元，资本性支出</w:t>
            </w: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rPr>
              <w:t>万元</w:t>
            </w:r>
            <w:r>
              <w:rPr>
                <w:rFonts w:hint="eastAsia" w:ascii="仿宋_GB2312" w:hAnsi="仿宋_GB2312" w:eastAsia="仿宋_GB2312" w:cs="仿宋_GB2312"/>
                <w:sz w:val="21"/>
                <w:szCs w:val="21"/>
                <w:lang w:eastAsia="zh-CN"/>
              </w:rPr>
              <w:t>），项目支出</w:t>
            </w:r>
            <w:r>
              <w:rPr>
                <w:rFonts w:hint="eastAsia" w:ascii="仿宋_GB2312" w:hAnsi="仿宋_GB2312" w:eastAsia="仿宋_GB2312" w:cs="仿宋_GB2312"/>
                <w:sz w:val="21"/>
                <w:szCs w:val="21"/>
                <w:lang w:val="en-US" w:eastAsia="zh-CN"/>
              </w:rPr>
              <w:t>436万元</w:t>
            </w:r>
            <w:r>
              <w:rPr>
                <w:rFonts w:hint="eastAsia" w:ascii="仿宋_GB2312" w:hAnsi="仿宋_GB2312" w:eastAsia="仿宋_GB2312" w:cs="仿宋_GB2312"/>
                <w:sz w:val="21"/>
                <w:szCs w:val="21"/>
              </w:rPr>
              <w:t>。年末</w:t>
            </w:r>
            <w:r>
              <w:rPr>
                <w:rFonts w:hint="eastAsia" w:ascii="仿宋_GB2312" w:hAnsi="仿宋_GB2312" w:eastAsia="仿宋_GB2312" w:cs="仿宋_GB2312"/>
                <w:sz w:val="21"/>
                <w:szCs w:val="21"/>
                <w:lang w:eastAsia="zh-CN"/>
              </w:rPr>
              <w:t>无余额</w:t>
            </w:r>
            <w:r>
              <w:rPr>
                <w:rFonts w:hint="eastAsia" w:ascii="仿宋_GB2312" w:hAnsi="仿宋_GB2312" w:eastAsia="仿宋_GB2312" w:cs="仿宋_GB2312"/>
                <w:sz w:val="21"/>
                <w:szCs w:val="21"/>
              </w:rPr>
              <w:t>。</w:t>
            </w:r>
          </w:p>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szCs w:val="21"/>
              </w:rPr>
            </w:pPr>
            <w:r>
              <w:rPr>
                <w:rFonts w:hint="eastAsia" w:ascii="仿宋_GB2312" w:hAnsi="仿宋_GB2312" w:eastAsia="仿宋_GB2312" w:cs="仿宋_GB2312"/>
                <w:sz w:val="21"/>
                <w:szCs w:val="21"/>
              </w:rPr>
              <w:t>3、“三公经费”</w:t>
            </w:r>
            <w:r>
              <w:rPr>
                <w:rFonts w:hint="eastAsia" w:ascii="仿宋_GB2312" w:hAnsi="仿宋_GB2312" w:eastAsia="仿宋_GB2312" w:cs="仿宋_GB2312"/>
                <w:sz w:val="21"/>
                <w:szCs w:val="21"/>
                <w:lang w:eastAsia="zh-CN"/>
              </w:rPr>
              <w:t>年初预算</w:t>
            </w:r>
            <w:r>
              <w:rPr>
                <w:rFonts w:hint="eastAsia" w:ascii="仿宋_GB2312" w:hAnsi="仿宋_GB2312" w:eastAsia="仿宋_GB2312" w:cs="仿宋_GB2312"/>
                <w:sz w:val="21"/>
                <w:szCs w:val="21"/>
                <w:lang w:val="en-US" w:eastAsia="zh-CN"/>
              </w:rPr>
              <w:t>15.3万元，</w:t>
            </w:r>
            <w:r>
              <w:rPr>
                <w:rFonts w:hint="eastAsia" w:ascii="仿宋_GB2312" w:hAnsi="仿宋_GB2312" w:eastAsia="仿宋_GB2312" w:cs="仿宋_GB2312"/>
                <w:sz w:val="21"/>
                <w:szCs w:val="21"/>
              </w:rPr>
              <w:t>支出合计</w:t>
            </w:r>
            <w:r>
              <w:rPr>
                <w:rFonts w:hint="eastAsia" w:ascii="仿宋_GB2312" w:hAnsi="仿宋_GB2312" w:eastAsia="仿宋_GB2312" w:cs="仿宋_GB2312"/>
                <w:sz w:val="21"/>
                <w:szCs w:val="21"/>
                <w:lang w:val="en-US" w:eastAsia="zh-CN"/>
              </w:rPr>
              <w:t>7.5</w:t>
            </w:r>
            <w:r>
              <w:rPr>
                <w:rFonts w:hint="eastAsia" w:ascii="仿宋_GB2312" w:hAnsi="仿宋_GB2312" w:eastAsia="仿宋_GB2312" w:cs="仿宋_GB2312"/>
                <w:sz w:val="21"/>
                <w:szCs w:val="21"/>
              </w:rPr>
              <w:t>万元</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rPr>
              <w:t>严格控制在财政年初预算内。</w:t>
            </w:r>
            <w:r>
              <w:rPr>
                <w:rFonts w:hint="eastAsia" w:ascii="仿宋_GB2312" w:hAnsi="仿宋_GB2312" w:eastAsia="仿宋_GB2312" w:cs="仿宋_GB2312"/>
                <w:sz w:val="21"/>
                <w:szCs w:val="21"/>
                <w:lang w:val="zh-CN"/>
              </w:rPr>
              <w:t>其中：公务接待费</w:t>
            </w:r>
            <w:r>
              <w:rPr>
                <w:rFonts w:hint="eastAsia" w:ascii="仿宋_GB2312" w:hAnsi="仿宋_GB2312" w:eastAsia="仿宋_GB2312" w:cs="仿宋_GB2312"/>
                <w:sz w:val="21"/>
                <w:szCs w:val="21"/>
                <w:lang w:val="en-US" w:eastAsia="zh-CN"/>
              </w:rPr>
              <w:t>4.3万元，</w:t>
            </w:r>
            <w:r>
              <w:rPr>
                <w:rFonts w:hint="eastAsia" w:ascii="仿宋_GB2312" w:hAnsi="仿宋_GB2312" w:eastAsia="仿宋_GB2312" w:cs="仿宋_GB2312"/>
                <w:sz w:val="21"/>
                <w:szCs w:val="21"/>
                <w:lang w:val="zh-CN"/>
              </w:rPr>
              <w:t>公务用车购置及运行维护费</w:t>
            </w:r>
            <w:r>
              <w:rPr>
                <w:rFonts w:hint="eastAsia" w:ascii="仿宋_GB2312" w:hAnsi="仿宋_GB2312" w:eastAsia="仿宋_GB2312" w:cs="仿宋_GB2312"/>
                <w:sz w:val="21"/>
                <w:szCs w:val="21"/>
                <w:lang w:val="en-US" w:eastAsia="zh-CN"/>
              </w:rPr>
              <w:t>3.2万元，无</w:t>
            </w:r>
            <w:r>
              <w:rPr>
                <w:rFonts w:hint="eastAsia" w:ascii="仿宋_GB2312" w:hAnsi="仿宋_GB2312" w:eastAsia="仿宋_GB2312" w:cs="仿宋_GB2312"/>
                <w:sz w:val="21"/>
                <w:szCs w:val="21"/>
                <w:lang w:val="zh-CN"/>
              </w:rPr>
              <w:t>因公出国（境）费。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5"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7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2" w:firstLineChars="200"/>
              <w:jc w:val="both"/>
              <w:textAlignment w:val="auto"/>
              <w:rPr>
                <w:rFonts w:hint="eastAsia" w:ascii="Times New Roman" w:hAnsi="Times New Roman" w:eastAsia="仿宋_GB2312" w:cs="Times New Roman"/>
                <w:color w:val="auto"/>
                <w:sz w:val="21"/>
                <w:szCs w:val="21"/>
                <w:highlight w:val="none"/>
                <w:lang w:val="en-US" w:eastAsia="zh-CN"/>
              </w:rPr>
            </w:pPr>
            <w:r>
              <w:rPr>
                <w:rFonts w:hint="eastAsia" w:ascii="仿宋_GB2312" w:eastAsia="仿宋_GB2312"/>
                <w:b/>
                <w:bCs/>
                <w:color w:val="000000"/>
                <w:sz w:val="21"/>
                <w:szCs w:val="21"/>
                <w:lang w:eastAsia="zh-CN"/>
              </w:rPr>
              <w:t>1、就业创业工作：</w:t>
            </w:r>
            <w:r>
              <w:rPr>
                <w:rFonts w:hint="eastAsia" w:ascii="Times New Roman" w:hAnsi="Times New Roman" w:eastAsia="仿宋_GB2312" w:cs="Times New Roman"/>
                <w:color w:val="auto"/>
                <w:sz w:val="21"/>
                <w:szCs w:val="21"/>
                <w:highlight w:val="none"/>
                <w:lang w:val="en-US" w:eastAsia="zh-CN"/>
              </w:rPr>
              <w:t>始终坚持就业优先战略，把支持企业稳定发展作为重中之重，以高校毕业生、返乡农民工、就业困难人员三类人群为重点，积极开展就业创业“三送”“双扩”系列活动，确保全县就业局势整体稳定。2021年，全县城镇新增就业6040人，完成目标任务的102%，城镇登记失业率保持在2.57%的较低水平；新增农村劳动力转移就业4308人、失业人员再就业1729人，分别完成目标任务的108%、133%；开展职业技能培训8522人，完成目标任务的106% ；参加就业见习181人，完成目标任务的150%。完善“乐业莲乡”微信公众号平台，开展“点亮万家灯火”“三送三稳”“招聘直播间”等系列招聘活动，举办线上线下招聘活动51场次，现场达成就业意向6003人。</w:t>
            </w:r>
            <w:r>
              <w:rPr>
                <w:rFonts w:hint="eastAsia" w:ascii="仿宋_GB2312" w:hAnsi="仿宋" w:eastAsia="仿宋_GB2312"/>
                <w:sz w:val="21"/>
                <w:szCs w:val="21"/>
                <w:lang w:eastAsia="zh-CN"/>
              </w:rPr>
              <w:t>包高铁专列助力农民工返岗复工被中央电视台报道。</w:t>
            </w:r>
            <w:r>
              <w:rPr>
                <w:rFonts w:hint="eastAsia" w:ascii="Times New Roman" w:hAnsi="Times New Roman" w:eastAsia="仿宋_GB2312" w:cs="Times New Roman"/>
                <w:color w:val="auto"/>
                <w:sz w:val="21"/>
                <w:szCs w:val="21"/>
                <w:highlight w:val="none"/>
                <w:lang w:val="en-US" w:eastAsia="zh-CN"/>
              </w:rPr>
              <w:t>共17个创业项目被评为市、县创业带动就业示范典型。重点建设22个充分就业标准社区（村），进一步夯实基层就业服务平台，提升就业服务能力。</w:t>
            </w:r>
          </w:p>
          <w:p>
            <w:pPr>
              <w:keepNext w:val="0"/>
              <w:keepLines w:val="0"/>
              <w:pageBreakBefore w:val="0"/>
              <w:widowControl w:val="0"/>
              <w:kinsoku/>
              <w:wordWrap/>
              <w:overflowPunct/>
              <w:topLinePunct w:val="0"/>
              <w:autoSpaceDE/>
              <w:autoSpaceDN/>
              <w:bidi w:val="0"/>
              <w:adjustRightInd/>
              <w:snapToGrid/>
              <w:spacing w:line="300" w:lineRule="exact"/>
              <w:ind w:firstLine="422" w:firstLineChars="200"/>
              <w:textAlignment w:val="auto"/>
              <w:rPr>
                <w:rFonts w:hint="eastAsia" w:ascii="Times New Roman" w:hAnsi="Times New Roman" w:eastAsia="仿宋_GB2312" w:cs="Times New Roman"/>
                <w:color w:val="auto"/>
                <w:sz w:val="21"/>
                <w:szCs w:val="21"/>
                <w:highlight w:val="none"/>
                <w:lang w:val="en-US" w:eastAsia="zh-CN"/>
              </w:rPr>
            </w:pPr>
            <w:r>
              <w:rPr>
                <w:rFonts w:hint="eastAsia" w:ascii="仿宋_GB2312" w:eastAsia="仿宋_GB2312"/>
                <w:b/>
                <w:bCs/>
                <w:color w:val="000000"/>
                <w:sz w:val="21"/>
                <w:szCs w:val="21"/>
                <w:lang w:eastAsia="zh-CN"/>
              </w:rPr>
              <w:t>2、社会保险工作: </w:t>
            </w:r>
            <w:r>
              <w:rPr>
                <w:rFonts w:hint="eastAsia" w:ascii="Times New Roman" w:hAnsi="Times New Roman" w:eastAsia="仿宋_GB2312" w:cs="Times New Roman"/>
                <w:color w:val="auto"/>
                <w:sz w:val="21"/>
                <w:szCs w:val="21"/>
                <w:highlight w:val="none"/>
                <w:lang w:val="en-US" w:eastAsia="zh-CN"/>
              </w:rPr>
              <w:t>持续推进全民参保计划，想方设法挖掘扩面征缴潜力，不断扩大社保覆盖面。2021年，城乡居民养老保险新增参保 3395人，完成目标任务的154%；工伤保险、失业保险参保分别达7.76万人、3.84万人，分别完成目标任务的102%、100%。城乡居民基本养老保险月人均养老金达118.42元。全县社保基金收入21.73亿元、支出24.04亿元，基金累计结余达到8.01亿元。严格基金监管，在全县范围内开展社会保险基金安全专项整治行动，共发现社保基金方面问题50项并全部整改到位，养老保险待遇核查“回头看”工作受市级通报表彰。社保卡建设加快推进，全县社保卡持卡86.9万人，快速制卡网点银行28个，2021年新增8个。服从机构改革大局，做好社会保险费征缴职能划转后续衔接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422" w:firstLineChars="200"/>
              <w:jc w:val="both"/>
              <w:textAlignment w:val="auto"/>
              <w:rPr>
                <w:rFonts w:hint="eastAsia" w:ascii="Times New Roman" w:hAnsi="Times New Roman" w:eastAsia="仿宋_GB2312" w:cs="Times New Roman"/>
                <w:color w:val="auto"/>
                <w:sz w:val="21"/>
                <w:szCs w:val="21"/>
                <w:highlight w:val="none"/>
                <w:lang w:val="en-US" w:eastAsia="zh-CN"/>
              </w:rPr>
            </w:pPr>
            <w:r>
              <w:rPr>
                <w:rFonts w:hint="eastAsia" w:ascii="仿宋_GB2312" w:eastAsia="仿宋_GB2312"/>
                <w:b/>
                <w:bCs/>
                <w:color w:val="000000"/>
                <w:sz w:val="21"/>
                <w:szCs w:val="21"/>
                <w:lang w:eastAsia="zh-CN"/>
              </w:rPr>
              <w:t>3、人事人才工作：</w:t>
            </w:r>
            <w:r>
              <w:rPr>
                <w:rFonts w:hint="eastAsia" w:ascii="Times New Roman" w:hAnsi="Times New Roman" w:eastAsia="仿宋_GB2312" w:cs="Times New Roman"/>
                <w:color w:val="auto"/>
                <w:sz w:val="21"/>
                <w:szCs w:val="21"/>
                <w:highlight w:val="none"/>
                <w:lang w:val="en-US" w:eastAsia="zh-CN"/>
              </w:rPr>
              <w:t>2021年，引进高层次、急需紧缺型人才17名，完成目标任务的100%。配合落实农村订单定向培养医学生、农技特岗生、水利特岗生共36人，充实基层专业技术人员队伍。圆满完成县一中公开招聘教师等6场考试、考核工作，做到零差错零事故。开展2021年退役士兵岗前培训、高层次急需紧缺型人才培训，事业单位工作人员网络培训、专业技术人员继续教育网络培训达1.16万人（次）。持续推进事业单位岗位设置和专业技术人员的职称评审工作，完成岗位动态管理备案及审核442次，涉及岗位调整3425人。完善档案库房配置，管理6.17万册人事档案，接待查借阅办事群众4000多人次。落实各项工资福利待遇，严格机关事业单位考核、奖惩，进一步规范编外人员管理及机关事业单位津贴补贴发放。</w:t>
            </w:r>
          </w:p>
          <w:p>
            <w:pPr>
              <w:keepNext w:val="0"/>
              <w:keepLines w:val="0"/>
              <w:pageBreakBefore w:val="0"/>
              <w:widowControl w:val="0"/>
              <w:kinsoku/>
              <w:wordWrap/>
              <w:overflowPunct/>
              <w:topLinePunct w:val="0"/>
              <w:autoSpaceDE/>
              <w:autoSpaceDN/>
              <w:bidi w:val="0"/>
              <w:adjustRightInd/>
              <w:snapToGrid/>
              <w:spacing w:line="300" w:lineRule="exact"/>
              <w:ind w:firstLine="422" w:firstLineChars="200"/>
              <w:textAlignment w:val="auto"/>
              <w:rPr>
                <w:rFonts w:hint="eastAsia" w:ascii="仿宋_GB2312" w:hAnsi="宋体" w:eastAsia="仿宋_GB2312" w:cs="宋体"/>
                <w:szCs w:val="21"/>
              </w:rPr>
            </w:pPr>
            <w:r>
              <w:rPr>
                <w:rFonts w:hint="eastAsia" w:ascii="仿宋_GB2312" w:eastAsia="仿宋_GB2312"/>
                <w:b/>
                <w:bCs/>
                <w:color w:val="000000"/>
                <w:sz w:val="21"/>
                <w:szCs w:val="21"/>
                <w:lang w:eastAsia="zh-CN"/>
              </w:rPr>
              <w:t>4、维权维稳工作:</w:t>
            </w:r>
            <w:r>
              <w:rPr>
                <w:rFonts w:hint="eastAsia" w:ascii="仿宋_GB2312" w:eastAsia="仿宋_GB2312"/>
                <w:color w:val="000000"/>
                <w:sz w:val="21"/>
                <w:szCs w:val="21"/>
                <w:lang w:eastAsia="zh-CN"/>
              </w:rPr>
              <w:t xml:space="preserve"> </w:t>
            </w:r>
            <w:r>
              <w:rPr>
                <w:rFonts w:hint="eastAsia" w:ascii="Times New Roman" w:hAnsi="Times New Roman" w:eastAsia="仿宋_GB2312" w:cs="Times New Roman"/>
                <w:color w:val="auto"/>
                <w:sz w:val="21"/>
                <w:szCs w:val="21"/>
                <w:highlight w:val="none"/>
                <w:lang w:val="en-US" w:eastAsia="zh-CN"/>
              </w:rPr>
              <w:t>深入开展“和谐同行”能力提升三年行动计划，组织全县企业相关负责人开展劳动关系协调员培训。2021年，处理全国欠薪平台案件线索60件、“12345”热线举报投诉326起，现场接待举报投诉和政策咨询2156人次，拖欠农民工工资举报投诉结案率100%，获“2018-2020年度湘潭市根治拖欠农民工工资先进集体”荣誉。认定工伤569起，向市级申报劳动能力鉴定379起。认定2家县级劳动人事争议优秀基层调解组织，县劳动人事争议调解中心被评选为省级金牌调解组织，全年处理各类劳动人事争议案件230件，其中，仲裁立案受理97件，结案96件，结案率99%，高于年度目标任务9个百分点；调解立案受理133件，达成调解协议及和解案件133件，通过仲裁和调解共为劳动争议双方当事人挽回经济损失545.8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5" w:hRule="atLeast"/>
        </w:trPr>
        <w:tc>
          <w:tcPr>
            <w:tcW w:w="1384" w:type="dxa"/>
            <w:vMerge w:val="restart"/>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_GB2312" w:hAnsi="Calibri" w:eastAsia="仿宋_GB2312" w:cs="Times New Roman"/>
                <w:kern w:val="2"/>
                <w:sz w:val="21"/>
                <w:szCs w:val="21"/>
                <w:lang w:val="en-US" w:eastAsia="zh-CN" w:bidi="ar-SA"/>
              </w:rPr>
            </w:pPr>
            <w:r>
              <w:rPr>
                <w:rFonts w:hint="eastAsia" w:ascii="仿宋_GB2312" w:hAnsi="Calibri" w:eastAsia="仿宋_GB2312"/>
                <w:kern w:val="2"/>
                <w:sz w:val="21"/>
                <w:szCs w:val="21"/>
                <w:lang w:val="en-US" w:eastAsia="zh-CN" w:bidi="ar-SA"/>
              </w:rPr>
              <w:t>1、预算控制有待加强：由于不可预见性政策调整人员经费、单位新增业务性专项资金等各项因素，经费预算在年初预算</w:t>
            </w:r>
            <w:r>
              <w:rPr>
                <w:rFonts w:hint="eastAsia" w:ascii="仿宋_GB2312" w:hAnsi="Calibri" w:eastAsia="仿宋_GB2312" w:cs="Times New Roman"/>
                <w:kern w:val="2"/>
                <w:sz w:val="21"/>
                <w:szCs w:val="21"/>
                <w:lang w:val="en-US" w:eastAsia="zh-CN" w:bidi="ar-SA"/>
              </w:rPr>
              <w:t>的基础上，调整幅度较大。</w:t>
            </w:r>
          </w:p>
          <w:p>
            <w:pPr>
              <w:keepNext w:val="0"/>
              <w:keepLines w:val="0"/>
              <w:pageBreakBefore w:val="0"/>
              <w:widowControl w:val="0"/>
              <w:kinsoku/>
              <w:wordWrap/>
              <w:overflowPunct/>
              <w:topLinePunct w:val="0"/>
              <w:autoSpaceDE/>
              <w:autoSpaceDN/>
              <w:bidi w:val="0"/>
              <w:adjustRightInd/>
              <w:snapToGrid/>
              <w:spacing w:line="300" w:lineRule="exact"/>
              <w:ind w:firstLine="518" w:firstLineChars="247"/>
              <w:textAlignment w:val="auto"/>
              <w:rPr>
                <w:rFonts w:hint="eastAsia" w:ascii="仿宋_GB2312" w:hAnsi="Calibri" w:eastAsia="仿宋_GB2312"/>
                <w:kern w:val="2"/>
                <w:sz w:val="32"/>
                <w:szCs w:val="32"/>
                <w:lang w:val="en-US" w:eastAsia="zh-CN" w:bidi="ar-SA"/>
              </w:rPr>
            </w:pPr>
            <w:r>
              <w:rPr>
                <w:rFonts w:hint="eastAsia" w:ascii="仿宋_GB2312" w:hAnsi="Calibri" w:eastAsia="仿宋_GB2312" w:cs="Times New Roman"/>
                <w:kern w:val="2"/>
                <w:sz w:val="21"/>
                <w:szCs w:val="21"/>
                <w:lang w:val="en-US" w:eastAsia="zh-CN" w:bidi="ar-SA"/>
              </w:rPr>
              <w:t>2、部分功能性科目规范使用有待加强。因财政资金紧张，所需资金指标很难按时到位，而单位有些必要支出项目不得已使用其他功能指标进行支付。</w:t>
            </w:r>
          </w:p>
          <w:p>
            <w:pPr>
              <w:pStyle w:val="5"/>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szCs w:val="21"/>
              </w:rPr>
            </w:pPr>
            <w:r>
              <w:rPr>
                <w:rFonts w:hint="eastAsia" w:ascii="仿宋_GB2312" w:eastAsia="仿宋_GB2312"/>
                <w:kern w:val="2"/>
                <w:sz w:val="21"/>
                <w:szCs w:val="21"/>
                <w:lang w:val="en-US" w:eastAsia="zh-CN" w:bidi="ar-SA"/>
              </w:rPr>
              <w:t>3、</w:t>
            </w:r>
            <w:r>
              <w:rPr>
                <w:rFonts w:hint="eastAsia" w:ascii="仿宋_GB2312" w:hAnsi="Calibri" w:eastAsia="仿宋_GB2312"/>
                <w:kern w:val="2"/>
                <w:sz w:val="21"/>
                <w:szCs w:val="21"/>
                <w:lang w:val="en-US" w:eastAsia="zh-CN" w:bidi="ar-SA"/>
              </w:rPr>
              <w:t>财务管理存在一定的风险：由于我局机构较多，人员较多，各项支出及各部门的上级政策口径难于把握，特别是认真贯彻执行中央八项规定后，原有的政策制度跟不上来，造成在实际执行中尺度把握不准。且我局业务性专项资金种类繁多，涉及面广，财务整体监管难度偏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5"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改进措施</w:t>
            </w:r>
          </w:p>
        </w:tc>
        <w:tc>
          <w:tcPr>
            <w:tcW w:w="5670"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Calibri"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1、</w:t>
            </w:r>
            <w:r>
              <w:rPr>
                <w:rFonts w:hint="eastAsia" w:ascii="仿宋_GB2312" w:hAnsi="Calibri" w:eastAsia="仿宋_GB2312" w:cs="Times New Roman"/>
                <w:kern w:val="2"/>
                <w:sz w:val="21"/>
                <w:szCs w:val="21"/>
                <w:lang w:val="en-US" w:eastAsia="zh-CN" w:bidi="ar-SA"/>
              </w:rPr>
              <w:t>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pPr>
              <w:pStyle w:val="5"/>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Calibri" w:eastAsia="仿宋_GB2312" w:cs="Times New Roman"/>
                <w:kern w:val="2"/>
                <w:sz w:val="21"/>
                <w:szCs w:val="21"/>
                <w:lang w:val="en-US" w:eastAsia="zh-CN" w:bidi="ar-SA"/>
              </w:rPr>
            </w:pPr>
            <w:r>
              <w:rPr>
                <w:rFonts w:hint="eastAsia" w:ascii="仿宋_GB2312" w:eastAsia="仿宋_GB2312" w:cs="Times New Roman"/>
                <w:kern w:val="2"/>
                <w:sz w:val="21"/>
                <w:szCs w:val="21"/>
                <w:lang w:val="en-US" w:eastAsia="zh-CN" w:bidi="ar-SA"/>
              </w:rPr>
              <w:t>2、</w:t>
            </w:r>
            <w:r>
              <w:rPr>
                <w:rFonts w:hint="eastAsia" w:ascii="仿宋_GB2312" w:hAnsi="Calibri" w:eastAsia="仿宋_GB2312" w:cs="Times New Roman"/>
                <w:kern w:val="2"/>
                <w:sz w:val="21"/>
                <w:szCs w:val="21"/>
                <w:lang w:val="en-US" w:eastAsia="zh-CN" w:bidi="ar-SA"/>
              </w:rPr>
              <w:t>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pPr>
              <w:pStyle w:val="5"/>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_GB2312" w:hAnsi="宋体" w:eastAsia="仿宋_GB2312" w:cs="宋体"/>
                <w:szCs w:val="21"/>
              </w:rPr>
            </w:pPr>
            <w:r>
              <w:rPr>
                <w:rFonts w:hint="eastAsia" w:ascii="仿宋_GB2312" w:eastAsia="仿宋_GB2312" w:cs="Times New Roman"/>
                <w:kern w:val="2"/>
                <w:sz w:val="21"/>
                <w:szCs w:val="21"/>
                <w:lang w:val="en-US" w:eastAsia="zh-CN" w:bidi="ar-SA"/>
              </w:rPr>
              <w:t>3、</w:t>
            </w:r>
            <w:r>
              <w:rPr>
                <w:rFonts w:hint="eastAsia" w:ascii="仿宋_GB2312" w:hAnsi="Calibri" w:eastAsia="仿宋_GB2312" w:cs="Times New Roman"/>
                <w:kern w:val="2"/>
                <w:sz w:val="21"/>
                <w:szCs w:val="21"/>
                <w:lang w:val="en-US" w:eastAsia="zh-CN" w:bidi="ar-SA"/>
              </w:rPr>
              <w:t>强化日常管理工作。一是及时掌握资金使用动态情况，了解资金使用过程中产生的效果以及满意度情况；二是加强资金使用各环节的管理，严格按政策、制度的规定用好每一笔资金。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trPr>
        <w:tc>
          <w:tcPr>
            <w:tcW w:w="1384" w:type="dxa"/>
            <w:vMerge w:val="continue"/>
            <w:noWrap w:val="0"/>
            <w:vAlign w:val="top"/>
          </w:tcPr>
          <w:p>
            <w:pPr>
              <w:spacing w:line="576" w:lineRule="exact"/>
              <w:jc w:val="center"/>
              <w:rPr>
                <w:rFonts w:hint="eastAsia" w:ascii="仿宋_GB2312" w:hAnsi="宋体" w:eastAsia="仿宋_GB2312" w:cs="宋体"/>
                <w:szCs w:val="21"/>
              </w:rPr>
            </w:pPr>
          </w:p>
        </w:tc>
        <w:tc>
          <w:tcPr>
            <w:tcW w:w="1985" w:type="dxa"/>
            <w:noWrap w:val="0"/>
            <w:vAlign w:val="center"/>
          </w:tcPr>
          <w:p>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70" w:type="dxa"/>
            <w:noWrap w:val="0"/>
            <w:vAlign w:val="center"/>
          </w:tcPr>
          <w:p>
            <w:pPr>
              <w:pStyle w:val="5"/>
              <w:ind w:firstLine="420" w:firstLineChars="200"/>
              <w:rPr>
                <w:rFonts w:hint="eastAsia" w:ascii="仿宋_GB2312" w:hAnsi="宋体" w:eastAsia="仿宋_GB2312" w:cs="宋体"/>
                <w:szCs w:val="21"/>
              </w:rPr>
            </w:pPr>
            <w:r>
              <w:rPr>
                <w:rFonts w:hint="eastAsia" w:ascii="仿宋_GB2312" w:hAnsi="Calibri" w:eastAsia="仿宋_GB2312" w:cs="Times New Roman"/>
                <w:kern w:val="2"/>
                <w:sz w:val="21"/>
                <w:szCs w:val="21"/>
                <w:lang w:val="en-US" w:eastAsia="zh-CN" w:bidi="ar-SA"/>
              </w:rPr>
              <w:t>因我局职能部门较多，业务性专项资金种类繁多，涉及面广，预算资金追加项目多，政策调整幅度大，很难准确对各项资金进行预算，故与年初预算相比执行偏差较大</w:t>
            </w:r>
            <w:r>
              <w:rPr>
                <w:rFonts w:hint="eastAsia" w:ascii="宋体" w:hAnsi="宋体" w:eastAsia="宋体" w:cs="宋体"/>
                <w:color w:val="000000"/>
                <w:kern w:val="0"/>
                <w:sz w:val="21"/>
                <w:szCs w:val="21"/>
                <w:lang w:val="en-US" w:eastAsia="zh-CN" w:bidi="ar-SA"/>
              </w:rPr>
              <w:t>。</w:t>
            </w:r>
          </w:p>
        </w:tc>
      </w:tr>
    </w:tbl>
    <w:p>
      <w:pPr>
        <w:pStyle w:val="2"/>
        <w:rPr>
          <w:rFonts w:hint="eastAsia" w:ascii="方正小标宋简体" w:hAnsi="方正小标宋简体" w:eastAsia="方正小标宋简体" w:cs="方正小标宋简体"/>
          <w:b/>
          <w:bCs/>
          <w:sz w:val="44"/>
          <w:szCs w:val="44"/>
          <w:lang w:val="en-US" w:eastAsia="zh-CN"/>
        </w:rPr>
      </w:pPr>
    </w:p>
    <w:p>
      <w:pPr>
        <w:jc w:val="center"/>
        <w:rPr>
          <w:rFonts w:hint="eastAsia" w:ascii="宋体" w:hAnsi="宋体"/>
          <w:b/>
          <w:sz w:val="44"/>
          <w:szCs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0OTMyMjJlNTBhYzFjNzNhOTc1MjJmYTQ4MGM4MjgifQ=="/>
  </w:docVars>
  <w:rsids>
    <w:rsidRoot w:val="7D730809"/>
    <w:rsid w:val="6F875874"/>
    <w:rsid w:val="7D730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3173</Words>
  <Characters>3364</Characters>
  <Lines>0</Lines>
  <Paragraphs>0</Paragraphs>
  <TotalTime>5</TotalTime>
  <ScaleCrop>false</ScaleCrop>
  <LinksUpToDate>false</LinksUpToDate>
  <CharactersWithSpaces>3370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2022-05-05T01:27:00Z</dcterms:created>
  <dc:creator>大道至简</dc:creator>
  <cp:lastModifiedBy>大道至简</cp:lastModifiedBy>
  <cp:lastPrinted>2022-05-05T02:25:46Z</cp:lastPrinted>
  <dcterms:modified xsi:type="dcterms:W3CDTF">2022-05-05T02:26:59Z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84A4001CDF3044FB81FA27BA94C24B01</vt:lpwstr>
  </property>
</Properties>
</file>