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center"/>
        <w:rPr>
          <w:rFonts w:ascii="宋体" w:hAnsi="宋体" w:cs="方正小标宋简体"/>
          <w:b/>
          <w:sz w:val="44"/>
          <w:szCs w:val="44"/>
        </w:rPr>
      </w:pPr>
      <w:r>
        <w:rPr>
          <w:rFonts w:hint="eastAsia" w:ascii="宋体" w:hAnsi="宋体"/>
          <w:b/>
          <w:color w:val="000000"/>
          <w:sz w:val="44"/>
          <w:szCs w:val="44"/>
        </w:rPr>
        <w:t>工伤保险基金</w:t>
      </w:r>
    </w:p>
    <w:p>
      <w:pPr>
        <w:spacing w:line="576" w:lineRule="exact"/>
        <w:jc w:val="center"/>
        <w:rPr>
          <w:rFonts w:hint="eastAsia" w:ascii="宋体" w:hAnsi="宋体" w:cs="方正小标宋简体"/>
          <w:b/>
          <w:sz w:val="44"/>
          <w:szCs w:val="44"/>
        </w:rPr>
      </w:pPr>
      <w:r>
        <w:rPr>
          <w:rFonts w:hint="eastAsia" w:ascii="宋体" w:hAnsi="宋体" w:cs="方正小标宋简体"/>
          <w:b/>
          <w:sz w:val="44"/>
          <w:szCs w:val="44"/>
        </w:rPr>
        <w:t>项目支出绩效评价报告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56" w:lineRule="exact"/>
        <w:jc w:val="center"/>
        <w:textAlignment w:val="auto"/>
        <w:rPr>
          <w:rFonts w:hint="default" w:ascii="宋体" w:hAnsi="宋体" w:eastAsia="宋体" w:cs="方正小标宋简体"/>
          <w:b/>
          <w:sz w:val="32"/>
          <w:szCs w:val="32"/>
          <w:lang w:val="en-US" w:eastAsia="zh-CN"/>
        </w:rPr>
      </w:pPr>
      <w:r>
        <w:rPr>
          <w:rFonts w:hint="eastAsia" w:ascii="宋体" w:hAnsi="宋体" w:cs="方正小标宋简体"/>
          <w:b/>
          <w:sz w:val="32"/>
          <w:szCs w:val="32"/>
          <w:lang w:eastAsia="zh-CN"/>
        </w:rPr>
        <w:t>（</w:t>
      </w:r>
      <w:r>
        <w:rPr>
          <w:rFonts w:hint="eastAsia" w:ascii="宋体" w:hAnsi="宋体" w:cs="方正小标宋简体"/>
          <w:b/>
          <w:sz w:val="32"/>
          <w:szCs w:val="32"/>
          <w:lang w:val="en-US" w:eastAsia="zh-CN"/>
        </w:rPr>
        <w:t>2021年度）</w:t>
      </w:r>
    </w:p>
    <w:tbl>
      <w:tblPr>
        <w:tblStyle w:val="2"/>
        <w:tblpPr w:leftFromText="180" w:rightFromText="180" w:vertAnchor="text" w:horzAnchor="margin" w:tblpXSpec="center" w:tblpY="18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985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部门概况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专项名称</w:t>
            </w:r>
          </w:p>
        </w:tc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工伤保险基金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年度预算金额</w:t>
            </w:r>
          </w:p>
        </w:tc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10334万元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1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项目主管部门</w:t>
            </w:r>
          </w:p>
        </w:tc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湘潭县人力资源和社会保障局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1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项目立项目的</w:t>
            </w:r>
          </w:p>
        </w:tc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落实国家有关工伤保险待遇政策，保障工伤职工获得医疗救治和经济补偿，分散用人单位工伤风险，开展工伤预防和职业康复，落实国家有关破产改制企业老工伤人员待遇，维护老工伤人员合法权益，维护社会和谐稳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6" w:hRule="atLeast"/>
        </w:trPr>
        <w:tc>
          <w:tcPr>
            <w:tcW w:w="15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绩效情况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项目支出管理和使用基本情况</w:t>
            </w:r>
          </w:p>
        </w:tc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据国务院《工伤保险条例》（国务院令第375号）、湖南省实施《工伤保险条例》办法（湖南省人民政府令第185号）、湘潭市工伤保险实施细则（湘潭市人民政府令第8号）文件规定，我县工伤保险管理服务中心于2005年3月正式成立，2019年更名为湘潭县工伤保险服务中心，2020年7月我县工伤保险服务中心市统筹，为财政全额拨款的副科级事业单位，归口县人社局管理。主要职责是负责全县工伤保险基金的征缴、审核和支出的管理；负责工伤保险协议医疗机构和康复机构的资格审查和管理。通过10多年的运行，工伤保险事业稳步推进，至2020年底止，基金累计结余34002万元（含湘潭矿业集团公司预留老工伤费用）。2021年预计参保缴费人数50022人；工伤保险基金收入3159万元（其中工伤保险费收入3057万元，利息收入2万元,财政补助收入100万元），上级补助收入7185万元，收入合计10344万元。工伤保险基金支出7175万元（其中工伤保险待遇支出7133万元，工伤预防费用支出40万元，劳动能力鉴定费支出2万元），上解上级支出3159万元,支出合计10334万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1" w:hRule="atLeast"/>
        </w:trPr>
        <w:tc>
          <w:tcPr>
            <w:tcW w:w="1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项目绩效目标完成情况</w:t>
            </w:r>
          </w:p>
        </w:tc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2021实际支出41910万元，用于工伤保险待遇支出7116万元，劳动能力鉴定支出1万元，工伤预防费用支出17万元，上解上级支出34424万元，其他支出351万元。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7" w:hRule="atLeast"/>
        </w:trPr>
        <w:tc>
          <w:tcPr>
            <w:tcW w:w="15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存在的问题分析及改进</w:t>
            </w: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措施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存在的问题</w:t>
            </w:r>
          </w:p>
        </w:tc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一、绩效目标出现偏差</w:t>
            </w:r>
          </w:p>
          <w:p>
            <w:pPr>
              <w:pStyle w:val="4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出现偏差的原因：</w:t>
            </w:r>
          </w:p>
          <w:p>
            <w:pPr>
              <w:pStyle w:val="4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1、工伤保险待遇支出：12月份定点医院医疗费和门诊费应支未支约450万元。</w:t>
            </w:r>
          </w:p>
          <w:p>
            <w:pPr>
              <w:pStyle w:val="4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2、2020年7月份到2021年12月，我县市统筹定期到期全部上解市财政专户，上解上级支出34424万元。 </w:t>
            </w:r>
          </w:p>
          <w:p>
            <w:pPr>
              <w:pStyle w:val="4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3、2020年加大工伤保险预防宣传力度，增加公交站牌灯箱广告制作等广告宣传费20余万元,2021年没有此项支出。</w:t>
            </w:r>
          </w:p>
          <w:p>
            <w:pPr>
              <w:pStyle w:val="4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4、其他支出系工伤认定调查费及2020年12月保费征缴移交地税代征后企业预缴保费退费。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</w:trPr>
        <w:tc>
          <w:tcPr>
            <w:tcW w:w="1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改进措施</w:t>
            </w:r>
          </w:p>
        </w:tc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一是加强协议医疗机构管理，规范医疗服务行为，严控医疗费用支出；二是进一步加强待遇领取人员的资格认证工作，确保基金安全。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1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其他需要说明问题</w:t>
            </w:r>
          </w:p>
        </w:tc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</w:tr>
    </w:tbl>
    <w:p>
      <w:pPr>
        <w:pStyle w:val="4"/>
        <w:ind w:firstLine="420" w:firstLineChars="200"/>
        <w:rPr>
          <w:rFonts w:hint="eastAsia" w:ascii="仿宋_GB2312" w:hAnsi="宋体" w:eastAsia="仿宋_GB2312" w:cs="仿宋_GB2312"/>
          <w:i w:val="0"/>
          <w:color w:val="000000"/>
          <w:kern w:val="0"/>
          <w:sz w:val="21"/>
          <w:szCs w:val="21"/>
          <w:u w:val="none"/>
          <w:lang w:val="en-US" w:eastAsia="zh-CN" w:bidi="ar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0OTMyMjJlNTBhYzFjNzNhOTc1MjJmYTQ4MGM4MjgifQ=="/>
  </w:docVars>
  <w:rsids>
    <w:rsidRoot w:val="59CA2210"/>
    <w:rsid w:val="03247D11"/>
    <w:rsid w:val="0B183F48"/>
    <w:rsid w:val="34884FD5"/>
    <w:rsid w:val="366D4898"/>
    <w:rsid w:val="3B20012B"/>
    <w:rsid w:val="51281690"/>
    <w:rsid w:val="571921A6"/>
    <w:rsid w:val="59CA2210"/>
    <w:rsid w:val="5F0433D1"/>
    <w:rsid w:val="604C539B"/>
    <w:rsid w:val="65AA44C4"/>
    <w:rsid w:val="6FE543B9"/>
    <w:rsid w:val="7C1F1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 Spacing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944</Words>
  <Characters>1051</Characters>
  <Lines>0</Lines>
  <Paragraphs>0</Paragraphs>
  <TotalTime>13</TotalTime>
  <ScaleCrop>false</ScaleCrop>
  <LinksUpToDate>false</LinksUpToDate>
  <CharactersWithSpaces>1052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2022-04-26T01:36:00Z</dcterms:created>
  <dc:creator>大道至简</dc:creator>
  <cp:lastModifiedBy>大道至简</cp:lastModifiedBy>
  <cp:lastPrinted>2022-05-05T02:12:10Z</cp:lastPrinted>
  <dcterms:modified xsi:type="dcterms:W3CDTF">2022-05-05T03:42:13Z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1FD2786DE90440E496BABB0773EC0858</vt:lpwstr>
  </property>
</Properties>
</file>