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shd w:val="clear" w:color="auto" w:fill="auto"/>
        <w:tblLayout w:type="fixed"/>
        <w:tblCellMar>
          <w:top w:w="0" w:type="dxa"/>
          <w:left w:w="0" w:type="dxa"/>
          <w:bottom w:w="0" w:type="dxa"/>
          <w:right w:w="0" w:type="dxa"/>
        </w:tblCellMar>
      </w:tblPr>
      <w:tblGrid>
        <w:gridCol w:w="261"/>
        <w:gridCol w:w="540"/>
        <w:gridCol w:w="7535"/>
      </w:tblGrid>
      <w:tr>
        <w:tblPrEx>
          <w:shd w:val="clear" w:color="auto" w:fill="auto"/>
          <w:tblCellMar>
            <w:top w:w="0" w:type="dxa"/>
            <w:left w:w="0" w:type="dxa"/>
            <w:bottom w:w="0" w:type="dxa"/>
            <w:right w:w="0" w:type="dxa"/>
          </w:tblCellMar>
        </w:tblPrEx>
        <w:trPr>
          <w:trHeight w:val="450" w:hRule="atLeast"/>
        </w:trPr>
        <w:tc>
          <w:tcPr>
            <w:tcW w:w="5000" w:type="pct"/>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bookmarkStart w:id="0" w:name="_GoBack"/>
            <w:r>
              <w:rPr>
                <w:rFonts w:hint="eastAsia" w:ascii="宋体" w:hAnsi="宋体" w:eastAsia="宋体" w:cs="宋体"/>
                <w:b/>
                <w:i w:val="0"/>
                <w:color w:val="000000"/>
                <w:kern w:val="0"/>
                <w:sz w:val="30"/>
                <w:szCs w:val="30"/>
                <w:u w:val="none"/>
                <w:lang w:val="en-US" w:eastAsia="zh-CN" w:bidi="ar"/>
              </w:rPr>
              <w:t>湘潭县科技和工业信息化局2020年中小微企业服务体系建设及公共服务平台建设经费项目支出绩效评价报告</w:t>
            </w:r>
            <w:bookmarkEnd w:id="0"/>
          </w:p>
        </w:tc>
      </w:tr>
      <w:tr>
        <w:tblPrEx>
          <w:shd w:val="clear" w:color="auto" w:fill="auto"/>
          <w:tblCellMar>
            <w:top w:w="0" w:type="dxa"/>
            <w:left w:w="0" w:type="dxa"/>
            <w:bottom w:w="0" w:type="dxa"/>
            <w:right w:w="0" w:type="dxa"/>
          </w:tblCellMar>
        </w:tblPrEx>
        <w:trPr>
          <w:trHeight w:val="270" w:hRule="atLeast"/>
        </w:trPr>
        <w:tc>
          <w:tcPr>
            <w:tcW w:w="156" w:type="pct"/>
            <w:tcBorders>
              <w:top w:val="nil"/>
              <w:left w:val="nil"/>
              <w:bottom w:val="nil"/>
              <w:right w:val="nil"/>
            </w:tcBorders>
            <w:shd w:val="clear" w:color="auto" w:fill="auto"/>
            <w:noWrap/>
            <w:tcMar>
              <w:top w:w="15" w:type="dxa"/>
              <w:left w:w="15" w:type="dxa"/>
              <w:right w:w="15" w:type="dxa"/>
            </w:tcMar>
            <w:vAlign w:val="center"/>
          </w:tcPr>
          <w:p>
            <w:pPr>
              <w:rPr>
                <w:rFonts w:hint="eastAsia" w:ascii="Arial" w:hAnsi="Arial" w:eastAsia="宋体" w:cs="Arial"/>
                <w:i w:val="0"/>
                <w:color w:val="000000"/>
                <w:sz w:val="20"/>
                <w:szCs w:val="20"/>
                <w:u w:val="none"/>
              </w:rPr>
            </w:pPr>
          </w:p>
        </w:tc>
        <w:tc>
          <w:tcPr>
            <w:tcW w:w="323"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c>
          <w:tcPr>
            <w:tcW w:w="4519"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r>
      <w:tr>
        <w:tblPrEx>
          <w:shd w:val="clear" w:color="auto" w:fill="auto"/>
          <w:tblCellMar>
            <w:top w:w="0" w:type="dxa"/>
            <w:left w:w="0" w:type="dxa"/>
            <w:bottom w:w="0" w:type="dxa"/>
            <w:right w:w="0" w:type="dxa"/>
          </w:tblCellMar>
        </w:tblPrEx>
        <w:trPr>
          <w:trHeight w:val="880" w:hRule="atLeast"/>
        </w:trPr>
        <w:tc>
          <w:tcPr>
            <w:tcW w:w="15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部门概况</w:t>
            </w: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专项名称</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中小微企业服务体系建设及公共服务平台建设经费</w:t>
            </w:r>
          </w:p>
        </w:tc>
      </w:tr>
      <w:tr>
        <w:tblPrEx>
          <w:shd w:val="clear" w:color="auto" w:fill="auto"/>
          <w:tblCellMar>
            <w:top w:w="0" w:type="dxa"/>
            <w:left w:w="0" w:type="dxa"/>
            <w:bottom w:w="0" w:type="dxa"/>
            <w:right w:w="0" w:type="dxa"/>
          </w:tblCellMar>
        </w:tblPrEx>
        <w:trPr>
          <w:trHeight w:val="700"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年度预算金额</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50万</w:t>
            </w:r>
          </w:p>
        </w:tc>
      </w:tr>
      <w:tr>
        <w:tblPrEx>
          <w:shd w:val="clear" w:color="auto" w:fill="auto"/>
          <w:tblCellMar>
            <w:top w:w="0" w:type="dxa"/>
            <w:left w:w="0" w:type="dxa"/>
            <w:bottom w:w="0" w:type="dxa"/>
            <w:right w:w="0" w:type="dxa"/>
          </w:tblCellMar>
        </w:tblPrEx>
        <w:trPr>
          <w:trHeight w:val="880"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项目主管部门</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湘潭县科技和工业信息化局</w:t>
            </w:r>
          </w:p>
        </w:tc>
      </w:tr>
      <w:tr>
        <w:tblPrEx>
          <w:shd w:val="clear" w:color="auto" w:fill="auto"/>
          <w:tblCellMar>
            <w:top w:w="0" w:type="dxa"/>
            <w:left w:w="0" w:type="dxa"/>
            <w:bottom w:w="0" w:type="dxa"/>
            <w:right w:w="0" w:type="dxa"/>
          </w:tblCellMar>
        </w:tblPrEx>
        <w:trPr>
          <w:trHeight w:val="570"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评价结果</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优</w:t>
            </w:r>
          </w:p>
        </w:tc>
      </w:tr>
      <w:tr>
        <w:tblPrEx>
          <w:shd w:val="clear" w:color="auto" w:fill="auto"/>
          <w:tblCellMar>
            <w:top w:w="0" w:type="dxa"/>
            <w:left w:w="0" w:type="dxa"/>
            <w:bottom w:w="0" w:type="dxa"/>
            <w:right w:w="0" w:type="dxa"/>
          </w:tblCellMar>
        </w:tblPrEx>
        <w:trPr>
          <w:trHeight w:val="1420"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项目立项目的</w:t>
            </w:r>
          </w:p>
        </w:tc>
        <w:tc>
          <w:tcPr>
            <w:tcW w:w="4519"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仿宋_GB2312" w:hAnsi="仿宋_GB2312" w:eastAsia="仿宋_GB2312"/>
                <w:color w:val="000000"/>
                <w:szCs w:val="21"/>
              </w:rPr>
              <w:t>湘潭县中小企业公共服务平台建设将按照打造全县中小微企业发展环境总体要求，通过统筹规划、集聚资源、营造环境、加强服务，建立和完善满足中小微企业发展需求的支撑体系和良好的外部环境，提升全县中小微企业培育和创新能力，实现整体产业又好又快发展。</w:t>
            </w:r>
          </w:p>
        </w:tc>
      </w:tr>
      <w:tr>
        <w:tblPrEx>
          <w:shd w:val="clear" w:color="auto" w:fill="auto"/>
          <w:tblCellMar>
            <w:top w:w="0" w:type="dxa"/>
            <w:left w:w="0" w:type="dxa"/>
            <w:bottom w:w="0" w:type="dxa"/>
            <w:right w:w="0" w:type="dxa"/>
          </w:tblCellMar>
        </w:tblPrEx>
        <w:trPr>
          <w:trHeight w:val="1495" w:hRule="atLeast"/>
        </w:trPr>
        <w:tc>
          <w:tcPr>
            <w:tcW w:w="15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绩效情况</w:t>
            </w:r>
          </w:p>
        </w:tc>
        <w:tc>
          <w:tcPr>
            <w:tcW w:w="32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项目支出管理和使用基本情况</w:t>
            </w:r>
          </w:p>
        </w:tc>
        <w:tc>
          <w:tcPr>
            <w:tcW w:w="4519"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olor w:val="000000"/>
                <w:szCs w:val="21"/>
              </w:rPr>
            </w:pPr>
            <w:r>
              <w:rPr>
                <w:rFonts w:hint="eastAsia" w:ascii="仿宋_GB2312" w:hAnsi="仿宋_GB2312" w:eastAsia="仿宋_GB2312"/>
                <w:color w:val="000000"/>
                <w:szCs w:val="21"/>
                <w:lang w:val="en-US" w:eastAsia="zh-CN"/>
              </w:rPr>
              <w:t>2020年度该项目设立了具体、量化的目标，健全了制度，核算规范，遵循了相关法律法规的规定，项目的立项、申报、批复、决策等符合相关管理办法的程序要求，资金拨付到位、及时，且没有虚列、截留、超标和超预算等违纪违规行为，符合县域经济社会发展和我局年度工作计划的要求。</w:t>
            </w:r>
          </w:p>
        </w:tc>
      </w:tr>
      <w:tr>
        <w:tblPrEx>
          <w:shd w:val="clear" w:color="auto" w:fill="auto"/>
          <w:tblCellMar>
            <w:top w:w="0" w:type="dxa"/>
            <w:left w:w="0" w:type="dxa"/>
            <w:bottom w:w="0" w:type="dxa"/>
            <w:right w:w="0" w:type="dxa"/>
          </w:tblCellMar>
        </w:tblPrEx>
        <w:trPr>
          <w:trHeight w:val="1495" w:hRule="atLeast"/>
        </w:trPr>
        <w:tc>
          <w:tcPr>
            <w:tcW w:w="156" w:type="pct"/>
            <w:vMerge w:val="continue"/>
            <w:tcBorders>
              <w:left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项目绩效目标完成情况</w:t>
            </w:r>
          </w:p>
        </w:tc>
        <w:tc>
          <w:tcPr>
            <w:tcW w:w="4519"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olor w:val="000000"/>
                <w:szCs w:val="21"/>
              </w:rPr>
            </w:pPr>
            <w:r>
              <w:rPr>
                <w:rFonts w:hint="eastAsia" w:ascii="仿宋_GB2312" w:hAnsi="仿宋_GB2312" w:eastAsia="仿宋_GB2312"/>
                <w:color w:val="000000"/>
                <w:szCs w:val="21"/>
                <w:lang w:val="en-US" w:eastAsia="zh-CN"/>
              </w:rPr>
              <w:t>1、</w:t>
            </w:r>
            <w:r>
              <w:rPr>
                <w:rFonts w:hint="eastAsia" w:ascii="仿宋_GB2312" w:hAnsi="仿宋_GB2312" w:eastAsia="仿宋_GB2312"/>
                <w:color w:val="000000"/>
                <w:szCs w:val="21"/>
              </w:rPr>
              <w:t>组织市电机车厂、市离心机等企业先后参加湖南省中小企业工业电子商务专题培训班、创新方法与创新能力提升专题培训班、两化融合管理体系贯标专题培训班、中小企业公共服务平台网络建设运营专题培训班、纳税筹划和税务风险管理专题培训班等各类活动10余次，今年以来平台共举办或协办大小活动15次，培训中小企业近2000人次。</w:t>
            </w:r>
          </w:p>
          <w:p>
            <w:pPr>
              <w:keepNext w:val="0"/>
              <w:keepLines w:val="0"/>
              <w:widowControl/>
              <w:suppressLineNumbers w:val="0"/>
              <w:jc w:val="left"/>
              <w:textAlignment w:val="center"/>
              <w:rPr>
                <w:rFonts w:hint="eastAsia" w:ascii="仿宋_GB2312" w:hAnsi="仿宋_GB2312" w:eastAsia="仿宋_GB2312"/>
                <w:color w:val="000000"/>
                <w:szCs w:val="21"/>
              </w:rPr>
            </w:pPr>
            <w:r>
              <w:rPr>
                <w:rFonts w:hint="eastAsia" w:ascii="仿宋_GB2312" w:hAnsi="仿宋_GB2312" w:eastAsia="仿宋_GB2312"/>
                <w:color w:val="000000"/>
                <w:szCs w:val="21"/>
                <w:lang w:val="en-US" w:eastAsia="zh-CN"/>
              </w:rPr>
              <w:t>2、</w:t>
            </w:r>
            <w:r>
              <w:rPr>
                <w:rFonts w:hint="eastAsia" w:ascii="仿宋_GB2312" w:hAnsi="仿宋_GB2312" w:eastAsia="仿宋_GB2312"/>
                <w:color w:val="000000"/>
                <w:szCs w:val="21"/>
              </w:rPr>
              <w:t>成功举办了2020“创客中国”中小微企业创新创业大赛湘潭县赛区比赛，本次大赛通过宣传动员、网络报名、线上审核、赛前培训等环节，12个项目脱颖而出，涵盖新材料、智能制造、生物科技、医药等领域。12支创业团队经过项目路演、评委点评打分环节展开激烈角逐。最终，湘潭市特种线缆获得大赛企业组一等奖，湖南沃地生态肥业有限公司获得大赛创客组一等奖，在湘潭市复赛中，湘潭市特种线缆有限公司、湖南亚安智控设备有限公司获得全市复赛企业组三等奖，湖南青展环保科技有限公司获得全市复赛创客组三等奖。</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rPr>
              <w:t>3、参加了《湖南省实施&lt;中小企业促进法&gt;办法》知识竞赛湘潭市复赛，并成功获得全市二等奖。</w:t>
            </w:r>
          </w:p>
        </w:tc>
      </w:tr>
      <w:tr>
        <w:tblPrEx>
          <w:shd w:val="clear" w:color="auto" w:fill="auto"/>
          <w:tblCellMar>
            <w:top w:w="0" w:type="dxa"/>
            <w:left w:w="0" w:type="dxa"/>
            <w:bottom w:w="0" w:type="dxa"/>
            <w:right w:w="0" w:type="dxa"/>
          </w:tblCellMar>
        </w:tblPrEx>
        <w:trPr>
          <w:trHeight w:val="1954" w:hRule="atLeast"/>
        </w:trPr>
        <w:tc>
          <w:tcPr>
            <w:tcW w:w="156" w:type="pct"/>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存在的问题分析及改进措施</w:t>
            </w: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仿宋_GB2312" w:hAnsi="仿宋_GB2312" w:eastAsia="仿宋_GB2312"/>
                <w:color w:val="000000"/>
                <w:szCs w:val="21"/>
              </w:rPr>
            </w:pPr>
            <w:r>
              <w:rPr>
                <w:rFonts w:hint="eastAsia" w:ascii="仿宋_GB2312" w:hAnsi="仿宋_GB2312" w:eastAsia="仿宋_GB2312"/>
                <w:color w:val="000000"/>
                <w:szCs w:val="21"/>
              </w:rPr>
              <w:t>平台模块分散而全面</w:t>
            </w:r>
            <w:r>
              <w:rPr>
                <w:rFonts w:hint="eastAsia" w:ascii="仿宋_GB2312" w:hAnsi="仿宋_GB2312" w:eastAsia="仿宋_GB2312"/>
                <w:color w:val="000000"/>
                <w:szCs w:val="21"/>
                <w:lang w:eastAsia="zh-CN"/>
              </w:rPr>
              <w:t>，</w:t>
            </w:r>
            <w:r>
              <w:rPr>
                <w:rFonts w:hint="eastAsia" w:ascii="仿宋_GB2312" w:hAnsi="仿宋_GB2312" w:eastAsia="仿宋_GB2312"/>
                <w:color w:val="000000"/>
                <w:szCs w:val="21"/>
              </w:rPr>
              <w:t>但不聚焦</w:t>
            </w:r>
            <w:r>
              <w:rPr>
                <w:rFonts w:hint="eastAsia" w:ascii="仿宋_GB2312" w:hAnsi="仿宋_GB2312" w:eastAsia="仿宋_GB2312"/>
                <w:color w:val="000000"/>
                <w:szCs w:val="21"/>
                <w:lang w:val="en-US" w:eastAsia="zh-CN"/>
              </w:rPr>
              <w:t>未能满足并解决企业用户的核心</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eastAsia="zh-CN"/>
              </w:rPr>
              <w:t>需求</w:t>
            </w:r>
            <w:r>
              <w:rPr>
                <w:rFonts w:hint="eastAsia" w:ascii="仿宋_GB2312" w:hAnsi="仿宋_GB2312" w:eastAsia="仿宋_GB2312"/>
                <w:color w:val="000000"/>
                <w:szCs w:val="21"/>
                <w:lang w:val="en-US" w:eastAsia="zh-CN"/>
              </w:rPr>
              <w:t>，导致用户对平台的依赖性不够、黏性不高、参与性不强。</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版式设计较为传统，未分析用户需求及用户心理，平台操作不够</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直观、简便，导致用户体验不佳。</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平台工作人员缺少相关工作经验，知识结构、业务水平和企业需求</w:t>
            </w:r>
          </w:p>
          <w:p>
            <w:pPr>
              <w:keepNext w:val="0"/>
              <w:keepLines w:val="0"/>
              <w:widowControl/>
              <w:suppressLineNumbers w:val="0"/>
              <w:jc w:val="left"/>
              <w:textAlignment w:val="center"/>
              <w:rPr>
                <w:rFonts w:hint="eastAsia" w:ascii="仿宋_GB2312" w:hAnsi="仿宋_GB2312" w:eastAsia="仿宋_GB2312"/>
                <w:color w:val="000000"/>
                <w:szCs w:val="21"/>
              </w:rPr>
            </w:pPr>
            <w:r>
              <w:rPr>
                <w:rFonts w:hint="eastAsia" w:ascii="仿宋_GB2312" w:hAnsi="仿宋_GB2312" w:eastAsia="仿宋_GB2312"/>
                <w:color w:val="000000"/>
                <w:szCs w:val="21"/>
                <w:lang w:val="en-US" w:eastAsia="zh-CN"/>
              </w:rPr>
              <w:t>之间存在一定的差距。</w:t>
            </w:r>
          </w:p>
        </w:tc>
      </w:tr>
      <w:tr>
        <w:tblPrEx>
          <w:shd w:val="clear" w:color="auto" w:fill="auto"/>
          <w:tblCellMar>
            <w:top w:w="0" w:type="dxa"/>
            <w:left w:w="0" w:type="dxa"/>
            <w:bottom w:w="0" w:type="dxa"/>
            <w:right w:w="0" w:type="dxa"/>
          </w:tblCellMar>
        </w:tblPrEx>
        <w:trPr>
          <w:trHeight w:val="1654"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改进措施</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 xml:space="preserve">1、完善平台各项功能。平台在完成硬件建设的同时，将重点完善辅导功能、融资功能、市场功能、人才功能及宣传功能。打造设施完善、功能完备、资源丰富、专业高效的新型服务平台，形成一整套的培训体系、运营体系、考核体系、服务标准与流程。   </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2、围绕企业需求，全面提升服务水平。我们将服从中小企业管理部门的正确领导，积极配合工作，充分发挥自身作用，组织、集聚社会服务资源，做好服务中小企业的大文章，在高效服务过程中发展壮大自己。贴近企业需求做好服务，定期开展调查研究，建立企业需求信息库，提供个性化和量身定做的个性化服务。通过夯实基础工作，提高工作主动性和针对性，更好地拓展服务内容，提升服务实效。</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3、拓展服务领域，完善实体平台。我们将在管理升级、人才培育、应急互助、融资服务和技术创新等方面进一步拓展服务领域，积极整合资源，构建和完善实体化公共服务平台。</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4、进一步加强融资调研工作，积极争取各类专项资金对中小企业的扶持，多渠道拓展服务范围。与中小企业加强沟通，与银行建立长期合作关系，为解决中小企业“贷款难”问题提供实实在在的服务。</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5、加强平台宣传推广力度。让企业了解平台线上线下的作用，吸引企业在平台网站注册、使用，提升平台活跃度。加大平台线上品牌的媒体宣传与推介，组织开展各类服务活动，持续扩大平台网络的社会影响力。</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6、数据分析的挖掘，继续做好平台线上线下服务数据的报送和分析，加强服务运营情况的跟踪与分析，积极配合政府部门开展中小企业相关市场调研和问卷调查。</w:t>
            </w:r>
          </w:p>
          <w:p>
            <w:pPr>
              <w:keepNext w:val="0"/>
              <w:keepLines w:val="0"/>
              <w:widowControl/>
              <w:suppressLineNumbers w:val="0"/>
              <w:jc w:val="left"/>
              <w:textAlignment w:val="center"/>
              <w:rPr>
                <w:rFonts w:hint="eastAsia" w:ascii="仿宋_GB2312" w:hAnsi="仿宋_GB2312" w:eastAsia="仿宋_GB2312"/>
                <w:color w:val="000000"/>
                <w:szCs w:val="21"/>
                <w:lang w:val="en-US" w:eastAsia="zh-CN"/>
              </w:rPr>
            </w:pPr>
            <w:r>
              <w:rPr>
                <w:rFonts w:hint="eastAsia" w:ascii="仿宋_GB2312" w:hAnsi="仿宋_GB2312" w:eastAsia="仿宋_GB2312"/>
                <w:color w:val="000000"/>
                <w:szCs w:val="21"/>
                <w:lang w:val="en-US" w:eastAsia="zh-CN"/>
              </w:rPr>
              <w:tab/>
            </w:r>
          </w:p>
        </w:tc>
      </w:tr>
      <w:tr>
        <w:tblPrEx>
          <w:tblCellMar>
            <w:top w:w="0" w:type="dxa"/>
            <w:left w:w="0" w:type="dxa"/>
            <w:bottom w:w="0" w:type="dxa"/>
            <w:right w:w="0" w:type="dxa"/>
          </w:tblCellMar>
        </w:tblPrEx>
        <w:trPr>
          <w:trHeight w:val="680" w:hRule="atLeast"/>
        </w:trPr>
        <w:tc>
          <w:tcPr>
            <w:tcW w:w="156"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其他需要说明问题</w:t>
            </w:r>
          </w:p>
        </w:tc>
        <w:tc>
          <w:tcPr>
            <w:tcW w:w="4519"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jc w:val="left"/>
              <w:rPr>
                <w:rFonts w:hint="eastAsia" w:ascii="宋体" w:hAnsi="宋体" w:eastAsia="宋体" w:cs="宋体"/>
                <w:i w:val="0"/>
                <w:color w:val="000000"/>
                <w:sz w:val="21"/>
                <w:szCs w:val="21"/>
                <w:u w:val="none"/>
              </w:rPr>
            </w:pPr>
          </w:p>
        </w:tc>
      </w:tr>
    </w:tbl>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tbl>
      <w:tblPr>
        <w:tblStyle w:val="2"/>
        <w:tblW w:w="5000" w:type="pct"/>
        <w:tblInd w:w="0" w:type="dxa"/>
        <w:shd w:val="clear" w:color="auto" w:fill="auto"/>
        <w:tblLayout w:type="autofit"/>
        <w:tblCellMar>
          <w:top w:w="0" w:type="dxa"/>
          <w:left w:w="0" w:type="dxa"/>
          <w:bottom w:w="0" w:type="dxa"/>
          <w:right w:w="0" w:type="dxa"/>
        </w:tblCellMar>
      </w:tblPr>
      <w:tblGrid>
        <w:gridCol w:w="456"/>
        <w:gridCol w:w="392"/>
        <w:gridCol w:w="472"/>
        <w:gridCol w:w="347"/>
        <w:gridCol w:w="482"/>
        <w:gridCol w:w="402"/>
        <w:gridCol w:w="2476"/>
        <w:gridCol w:w="2936"/>
        <w:gridCol w:w="373"/>
      </w:tblGrid>
      <w:tr>
        <w:tblPrEx>
          <w:shd w:val="clear" w:color="auto" w:fill="auto"/>
          <w:tblCellMar>
            <w:top w:w="0" w:type="dxa"/>
            <w:left w:w="0" w:type="dxa"/>
            <w:bottom w:w="0" w:type="dxa"/>
            <w:right w:w="0" w:type="dxa"/>
          </w:tblCellMar>
        </w:tblPrEx>
        <w:trPr>
          <w:trHeight w:val="940" w:hRule="atLeast"/>
        </w:trPr>
        <w:tc>
          <w:tcPr>
            <w:tcW w:w="5000" w:type="pct"/>
            <w:gridSpan w:val="9"/>
            <w:tcBorders>
              <w:top w:val="nil"/>
              <w:left w:val="nil"/>
              <w:bottom w:val="nil"/>
              <w:right w:val="nil"/>
            </w:tcBorders>
            <w:shd w:val="clear" w:color="auto" w:fill="auto"/>
            <w:tcMar>
              <w:top w:w="15" w:type="dxa"/>
              <w:left w:w="15" w:type="dxa"/>
              <w:right w:w="15" w:type="dxa"/>
            </w:tcMar>
            <w:vAlign w:val="center"/>
          </w:tcPr>
          <w:p>
            <w:pPr>
              <w:jc w:val="center"/>
              <w:rPr>
                <w:rFonts w:hint="eastAsia"/>
                <w:b/>
                <w:bCs/>
                <w:sz w:val="24"/>
                <w:szCs w:val="24"/>
                <w:lang w:val="en-US" w:eastAsia="zh-CN"/>
              </w:rPr>
            </w:pPr>
            <w:r>
              <w:rPr>
                <w:rFonts w:hint="eastAsia"/>
                <w:b/>
                <w:bCs/>
                <w:sz w:val="24"/>
                <w:szCs w:val="24"/>
                <w:lang w:val="en-US" w:eastAsia="zh-CN"/>
              </w:rPr>
              <w:t>2020年中小微企业服务体系建设及公共服务平台建设经费</w:t>
            </w:r>
          </w:p>
          <w:p>
            <w:pPr>
              <w:jc w:val="center"/>
              <w:rPr>
                <w:rFonts w:hint="eastAsia"/>
              </w:rPr>
            </w:pPr>
            <w:r>
              <w:rPr>
                <w:rFonts w:hint="eastAsia"/>
                <w:b/>
                <w:bCs/>
                <w:sz w:val="24"/>
                <w:szCs w:val="24"/>
                <w:lang w:val="en-US" w:eastAsia="zh-CN"/>
              </w:rPr>
              <w:t>项目支出绩效评价评分表</w:t>
            </w:r>
          </w:p>
        </w:tc>
      </w:tr>
      <w:tr>
        <w:tblPrEx>
          <w:shd w:val="clear" w:color="auto" w:fill="auto"/>
          <w:tblCellMar>
            <w:top w:w="0" w:type="dxa"/>
            <w:left w:w="0" w:type="dxa"/>
            <w:bottom w:w="0" w:type="dxa"/>
            <w:right w:w="0" w:type="dxa"/>
          </w:tblCellMar>
        </w:tblPrEx>
        <w:trPr>
          <w:trHeight w:val="600" w:hRule="atLeast"/>
        </w:trPr>
        <w:tc>
          <w:tcPr>
            <w:tcW w:w="27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一级指标</w:t>
            </w:r>
          </w:p>
        </w:tc>
        <w:tc>
          <w:tcPr>
            <w:tcW w:w="23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二级指标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三级指标</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148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指标解释</w:t>
            </w:r>
          </w:p>
        </w:tc>
        <w:tc>
          <w:tcPr>
            <w:tcW w:w="1761" w:type="pc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rPr>
                <w:rFonts w:hint="eastAsia"/>
                <w:sz w:val="18"/>
                <w:szCs w:val="18"/>
              </w:rPr>
            </w:pPr>
            <w:r>
              <w:rPr>
                <w:rFonts w:hint="eastAsia"/>
                <w:sz w:val="18"/>
                <w:szCs w:val="18"/>
                <w:lang w:val="en-US" w:eastAsia="zh-CN"/>
              </w:rPr>
              <w:t>评价标准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得分</w:t>
            </w:r>
          </w:p>
        </w:tc>
      </w:tr>
      <w:tr>
        <w:tblPrEx>
          <w:shd w:val="clear" w:color="auto" w:fill="auto"/>
          <w:tblCellMar>
            <w:top w:w="0" w:type="dxa"/>
            <w:left w:w="0" w:type="dxa"/>
            <w:bottom w:w="0" w:type="dxa"/>
            <w:right w:w="0" w:type="dxa"/>
          </w:tblCellMar>
        </w:tblPrEx>
        <w:trPr>
          <w:trHeight w:val="570"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项目决策</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20</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5" name="Line_1"/>
                  <wp:cNvGraphicFramePr/>
                  <a:graphic xmlns:a="http://schemas.openxmlformats.org/drawingml/2006/main">
                    <a:graphicData uri="http://schemas.openxmlformats.org/drawingml/2006/picture">
                      <pic:pic xmlns:pic="http://schemas.openxmlformats.org/drawingml/2006/picture">
                        <pic:nvPicPr>
                          <pic:cNvPr id="5" name="Line_1"/>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6" name="Line_3"/>
                  <wp:cNvGraphicFramePr/>
                  <a:graphic xmlns:a="http://schemas.openxmlformats.org/drawingml/2006/main">
                    <a:graphicData uri="http://schemas.openxmlformats.org/drawingml/2006/picture">
                      <pic:pic xmlns:pic="http://schemas.openxmlformats.org/drawingml/2006/picture">
                        <pic:nvPicPr>
                          <pic:cNvPr id="6" name="Line_3"/>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7" name="Line_2"/>
                  <wp:cNvGraphicFramePr/>
                  <a:graphic xmlns:a="http://schemas.openxmlformats.org/drawingml/2006/main">
                    <a:graphicData uri="http://schemas.openxmlformats.org/drawingml/2006/picture">
                      <pic:pic xmlns:pic="http://schemas.openxmlformats.org/drawingml/2006/picture">
                        <pic:nvPicPr>
                          <pic:cNvPr id="7" name="Line_2"/>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8" name="Line_5"/>
                  <wp:cNvGraphicFramePr/>
                  <a:graphic xmlns:a="http://schemas.openxmlformats.org/drawingml/2006/main">
                    <a:graphicData uri="http://schemas.openxmlformats.org/drawingml/2006/picture">
                      <pic:pic xmlns:pic="http://schemas.openxmlformats.org/drawingml/2006/picture">
                        <pic:nvPicPr>
                          <pic:cNvPr id="8" name="Line_5"/>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t>项目目标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目标内容</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目标是否明确、细化、量化</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目标明确（1分），目标细化（1分），目标量化（2分）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r>
      <w:tr>
        <w:tblPrEx>
          <w:shd w:val="clear" w:color="auto" w:fill="auto"/>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决策过程</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决策依据</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项目是否符合经济社会发展规划和部门年度工作计划；是否根据需要制定中长期实施规划</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项目符合经济社会发展规划和部门年度工作计划（2分），根据需要制定中长期实施规划（1分）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100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决策程序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项目是否符合申报条件；申报、批复程序是否符合相关管理办法；项目调整是否履行相应手续</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项目符合申报条件（2分），申报、批复程序符合相关管理办法（2分），项目实施调整履行相应手续（1分）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r>
      <w:tr>
        <w:tblPrEx>
          <w:shd w:val="clear" w:color="auto" w:fill="auto"/>
          <w:tblCellMar>
            <w:top w:w="0" w:type="dxa"/>
            <w:left w:w="0" w:type="dxa"/>
            <w:bottom w:w="0" w:type="dxa"/>
            <w:right w:w="0" w:type="dxa"/>
          </w:tblCellMar>
        </w:tblPrEx>
        <w:trPr>
          <w:trHeight w:val="122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分配办法</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是否根据需要制定相关资金管理办法，并在管理办法中明确资金分配办法；资金分配因素是否全面、合理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办法健全、规范（1分），因素选择全面、合理（1分）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shd w:val="clear" w:color="auto" w:fill="auto"/>
          <w:tblCellMar>
            <w:top w:w="0" w:type="dxa"/>
            <w:left w:w="0" w:type="dxa"/>
            <w:bottom w:w="0" w:type="dxa"/>
            <w:right w:w="0" w:type="dxa"/>
          </w:tblCellMar>
        </w:tblPrEx>
        <w:trPr>
          <w:trHeight w:val="7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分配结果</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资金分配是否符合相关管理办法；分配结果是否合理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项目符合相关分配办法（2分），资金分配合理（4分）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r>
      <w:tr>
        <w:tblPrEx>
          <w:shd w:val="clear" w:color="auto" w:fill="auto"/>
          <w:tblCellMar>
            <w:top w:w="0" w:type="dxa"/>
            <w:left w:w="0" w:type="dxa"/>
            <w:bottom w:w="0" w:type="dxa"/>
            <w:right w:w="0" w:type="dxa"/>
          </w:tblCellMar>
        </w:tblPrEx>
        <w:trPr>
          <w:trHeight w:val="61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项目管理</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资金到位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到位率</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实际到位/计划到位×100%</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根据项目实际到位资金占计划的比重计算得分（3分）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94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资金是否及时到位；若未及时到位，是否影响项目进度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及时到位（2分），未及时到位但未影响项目进度（1.5分），未及时到位并影响项目进度（0-1分）。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shd w:val="clear" w:color="auto" w:fill="auto"/>
          <w:tblCellMar>
            <w:top w:w="0" w:type="dxa"/>
            <w:left w:w="0" w:type="dxa"/>
            <w:bottom w:w="0" w:type="dxa"/>
            <w:right w:w="0" w:type="dxa"/>
          </w:tblCellMar>
        </w:tblPrEx>
        <w:trPr>
          <w:trHeight w:val="12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资金使用</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是否存在支出依据不合规、虚列项目支出的情况；是否存在截留、挤占、挪用项目资金情况；是否存在超标准开支情况</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虚列（套取）扣4-7分，支出依据不合规扣1分，截留、挤占、挪用扣3-6分，超标准开支扣2-5分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r>
      <w:tr>
        <w:tblPrEx>
          <w:shd w:val="clear" w:color="auto" w:fill="auto"/>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财务管理</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资金管理、费用支出等制度是否健全，是否严格执行；会计核算是否规范</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财务制度健全（1分），严格执行制度（1分），会计核算规范（1分）。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组织实施</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组织机构</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机构是否健全、分工是否明确</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机构健全、分工明确（1分）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r>
      <w:tr>
        <w:tblPrEx>
          <w:shd w:val="clear" w:color="auto" w:fill="auto"/>
          <w:tblCellMar>
            <w:top w:w="0" w:type="dxa"/>
            <w:left w:w="0" w:type="dxa"/>
            <w:bottom w:w="0" w:type="dxa"/>
            <w:right w:w="0" w:type="dxa"/>
          </w:tblCellMar>
        </w:tblPrEx>
        <w:trPr>
          <w:trHeight w:val="6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管理制度</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是否建立健全项目管理制度；是否严格执行相关项目管理制度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建立健全项目管理制度（2分）；严格执行相关项目管理制度（7分）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r>
      <w:tr>
        <w:tblPrEx>
          <w:shd w:val="clear" w:color="auto" w:fill="auto"/>
          <w:tblCellMar>
            <w:top w:w="0" w:type="dxa"/>
            <w:left w:w="0" w:type="dxa"/>
            <w:bottom w:w="0" w:type="dxa"/>
            <w:right w:w="0" w:type="dxa"/>
          </w:tblCellMar>
        </w:tblPrEx>
        <w:trPr>
          <w:trHeight w:val="76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项目绩效</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产出数量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项目产出数量是否达到绩效目标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对照绩效目标评价产出数量（5分）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产出质量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项目产出质量是否达到绩效目标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对照绩效目标评价产出质量（4分）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项目产出时效是否达到绩效目标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对照绩效目标评价产出时效（3分）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产出成本</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项目产出成本是否按绩效目标控制</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对照绩效目标评价产出成本（3分）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项目效果</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经济效益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项目实施是否产生直接或间接经济效益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对照绩效目标评价经济效益（8分）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48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社会效益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项目实施是否产生社会综合效益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对照绩效目标评价社会效益（8分）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57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环境效益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项目实施是否对环境产生积极或消极影响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对照绩效目标评价环境效益（8分）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61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可持续影响</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项目实施对人、自然、资源是否带来可持续影响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对照绩效目标评价可持续影响（8分）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服务对象满意度</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项目预期服务对象对项目实施的满意程度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对照绩效目标评价服务对象满意度（8分）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390" w:hRule="atLeast"/>
        </w:trPr>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总分</w:t>
            </w:r>
          </w:p>
        </w:tc>
        <w:tc>
          <w:tcPr>
            <w:tcW w:w="2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120EE"/>
    <w:rsid w:val="03385CC9"/>
    <w:rsid w:val="07A4640A"/>
    <w:rsid w:val="07C56C4C"/>
    <w:rsid w:val="0F0E5499"/>
    <w:rsid w:val="10034445"/>
    <w:rsid w:val="212C23BD"/>
    <w:rsid w:val="259120EE"/>
    <w:rsid w:val="34242AEA"/>
    <w:rsid w:val="40086A87"/>
    <w:rsid w:val="4F1F402D"/>
    <w:rsid w:val="54D56341"/>
    <w:rsid w:val="6F2A4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2020-10-29T03:35:00Z</dcterms:created>
  <dc:creator>Administrator</dc:creator>
  <cp:lastModifiedBy>相濡以沫</cp:lastModifiedBy>
  <dcterms:modified xsi:type="dcterms:W3CDTF">2022-01-25T08:03:38Z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E816E8C451994749B4846A393CA7DC3D</vt:lpwstr>
  </property>
</Properties>
</file>