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5000" w:type="pct"/>
        <w:tblInd w:w="0" w:type="dxa"/>
        <w:shd w:val="clear" w:color="auto" w:fill="auto"/>
        <w:tblLayout w:type="autofit"/>
        <w:tblCellMar>
          <w:top w:w="0" w:type="dxa"/>
          <w:left w:w="0" w:type="dxa"/>
          <w:bottom w:w="0" w:type="dxa"/>
          <w:right w:w="0" w:type="dxa"/>
        </w:tblCellMar>
      </w:tblPr>
      <w:tblGrid>
        <w:gridCol w:w="679"/>
        <w:gridCol w:w="1004"/>
        <w:gridCol w:w="6653"/>
      </w:tblGrid>
      <w:tr>
        <w:tblPrEx>
          <w:shd w:val="clear" w:color="auto" w:fill="auto"/>
          <w:tblCellMar>
            <w:top w:w="0" w:type="dxa"/>
            <w:left w:w="0" w:type="dxa"/>
            <w:bottom w:w="0" w:type="dxa"/>
            <w:right w:w="0" w:type="dxa"/>
          </w:tblCellMar>
        </w:tblPrEx>
        <w:trPr>
          <w:trHeight w:val="450" w:hRule="atLeast"/>
        </w:trPr>
        <w:tc>
          <w:tcPr>
            <w:tcW w:w="5000" w:type="pct"/>
            <w:gridSpan w:val="3"/>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bookmarkStart w:id="0" w:name="_GoBack"/>
            <w:r>
              <w:rPr>
                <w:rFonts w:hint="eastAsia" w:ascii="宋体" w:hAnsi="宋体" w:eastAsia="宋体" w:cs="宋体"/>
                <w:b/>
                <w:i w:val="0"/>
                <w:color w:val="000000"/>
                <w:kern w:val="0"/>
                <w:sz w:val="36"/>
                <w:szCs w:val="36"/>
                <w:u w:val="none"/>
                <w:lang w:val="en-US" w:eastAsia="zh-CN" w:bidi="ar"/>
              </w:rPr>
              <w:t>湘潭县科技和工业信息化局2020年湘潭县科技特派员项目支出绩效评价报告</w:t>
            </w:r>
            <w:bookmarkEnd w:id="0"/>
          </w:p>
        </w:tc>
      </w:tr>
      <w:tr>
        <w:tblPrEx>
          <w:shd w:val="clear" w:color="auto" w:fill="auto"/>
          <w:tblCellMar>
            <w:top w:w="0" w:type="dxa"/>
            <w:left w:w="0" w:type="dxa"/>
            <w:bottom w:w="0" w:type="dxa"/>
            <w:right w:w="0" w:type="dxa"/>
          </w:tblCellMar>
        </w:tblPrEx>
        <w:trPr>
          <w:trHeight w:val="270" w:hRule="atLeast"/>
        </w:trPr>
        <w:tc>
          <w:tcPr>
            <w:tcW w:w="386" w:type="pct"/>
            <w:tcBorders>
              <w:top w:val="nil"/>
              <w:left w:val="nil"/>
              <w:bottom w:val="nil"/>
              <w:right w:val="nil"/>
            </w:tcBorders>
            <w:shd w:val="clear" w:color="auto" w:fill="auto"/>
            <w:noWrap/>
            <w:tcMar>
              <w:top w:w="15" w:type="dxa"/>
              <w:left w:w="15" w:type="dxa"/>
              <w:right w:w="15" w:type="dxa"/>
            </w:tcMar>
            <w:vAlign w:val="center"/>
          </w:tcPr>
          <w:p>
            <w:pPr>
              <w:rPr>
                <w:rFonts w:hint="eastAsia" w:ascii="Arial" w:hAnsi="Arial" w:eastAsia="宋体" w:cs="Arial"/>
                <w:i w:val="0"/>
                <w:color w:val="000000"/>
                <w:sz w:val="20"/>
                <w:szCs w:val="20"/>
                <w:u w:val="none"/>
              </w:rPr>
            </w:pPr>
          </w:p>
        </w:tc>
        <w:tc>
          <w:tcPr>
            <w:tcW w:w="570" w:type="pct"/>
            <w:tcBorders>
              <w:top w:val="nil"/>
              <w:left w:val="nil"/>
              <w:bottom w:val="nil"/>
              <w:right w:val="nil"/>
            </w:tcBorders>
            <w:shd w:val="clear" w:color="auto" w:fill="auto"/>
            <w:noWrap/>
            <w:tcMar>
              <w:top w:w="15" w:type="dxa"/>
              <w:left w:w="15" w:type="dxa"/>
              <w:right w:w="15" w:type="dxa"/>
            </w:tcMar>
            <w:vAlign w:val="center"/>
          </w:tcPr>
          <w:p>
            <w:pPr>
              <w:rPr>
                <w:rFonts w:hint="default" w:ascii="Arial" w:hAnsi="Arial" w:eastAsia="宋体" w:cs="Arial"/>
                <w:i w:val="0"/>
                <w:color w:val="000000"/>
                <w:sz w:val="20"/>
                <w:szCs w:val="20"/>
                <w:u w:val="none"/>
              </w:rPr>
            </w:pPr>
          </w:p>
        </w:tc>
        <w:tc>
          <w:tcPr>
            <w:tcW w:w="4043" w:type="pct"/>
            <w:tcBorders>
              <w:top w:val="nil"/>
              <w:left w:val="nil"/>
              <w:bottom w:val="nil"/>
              <w:right w:val="nil"/>
            </w:tcBorders>
            <w:shd w:val="clear" w:color="auto" w:fill="auto"/>
            <w:noWrap/>
            <w:tcMar>
              <w:top w:w="15" w:type="dxa"/>
              <w:left w:w="15" w:type="dxa"/>
              <w:right w:w="15" w:type="dxa"/>
            </w:tcMar>
            <w:vAlign w:val="center"/>
          </w:tcPr>
          <w:p>
            <w:pPr>
              <w:rPr>
                <w:rFonts w:hint="default" w:ascii="Arial" w:hAnsi="Arial" w:eastAsia="宋体" w:cs="Arial"/>
                <w:i w:val="0"/>
                <w:color w:val="000000"/>
                <w:sz w:val="20"/>
                <w:szCs w:val="20"/>
                <w:u w:val="none"/>
              </w:rPr>
            </w:pPr>
          </w:p>
        </w:tc>
      </w:tr>
      <w:tr>
        <w:tblPrEx>
          <w:shd w:val="clear" w:color="auto" w:fill="auto"/>
          <w:tblCellMar>
            <w:top w:w="0" w:type="dxa"/>
            <w:left w:w="0" w:type="dxa"/>
            <w:bottom w:w="0" w:type="dxa"/>
            <w:right w:w="0" w:type="dxa"/>
          </w:tblCellMar>
        </w:tblPrEx>
        <w:trPr>
          <w:trHeight w:val="785" w:hRule="atLeast"/>
        </w:trPr>
        <w:tc>
          <w:tcPr>
            <w:tcW w:w="386" w:type="pct"/>
            <w:vMerge w:val="restar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en-US" w:eastAsia="zh-CN"/>
              </w:rPr>
              <w:t>部门概况</w:t>
            </w:r>
          </w:p>
        </w:tc>
        <w:tc>
          <w:tcPr>
            <w:tcW w:w="570"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en-US" w:eastAsia="zh-CN"/>
              </w:rPr>
              <w:t>专项名称</w:t>
            </w:r>
          </w:p>
        </w:tc>
        <w:tc>
          <w:tcPr>
            <w:tcW w:w="404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eastAsia="仿宋_GB2312"/>
                <w:sz w:val="24"/>
                <w:lang w:val="zh-CN" w:eastAsia="zh-CN"/>
              </w:rPr>
            </w:pPr>
            <w:r>
              <w:rPr>
                <w:rFonts w:hint="eastAsia" w:ascii="仿宋_GB2312" w:eastAsia="仿宋_GB2312"/>
                <w:sz w:val="24"/>
                <w:lang w:val="en-US" w:eastAsia="zh-CN"/>
              </w:rPr>
              <w:t>湘潭县科技特派员</w:t>
            </w:r>
          </w:p>
        </w:tc>
      </w:tr>
      <w:tr>
        <w:tblPrEx>
          <w:shd w:val="clear" w:color="auto" w:fill="auto"/>
          <w:tblCellMar>
            <w:top w:w="0" w:type="dxa"/>
            <w:left w:w="0" w:type="dxa"/>
            <w:bottom w:w="0" w:type="dxa"/>
            <w:right w:w="0" w:type="dxa"/>
          </w:tblCellMar>
        </w:tblPrEx>
        <w:trPr>
          <w:trHeight w:val="700" w:hRule="atLeast"/>
        </w:trPr>
        <w:tc>
          <w:tcPr>
            <w:tcW w:w="3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p>
        </w:tc>
        <w:tc>
          <w:tcPr>
            <w:tcW w:w="570"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en-US" w:eastAsia="zh-CN"/>
              </w:rPr>
              <w:t>年度预算金额</w:t>
            </w:r>
          </w:p>
        </w:tc>
        <w:tc>
          <w:tcPr>
            <w:tcW w:w="404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eastAsia="仿宋_GB2312"/>
                <w:sz w:val="24"/>
                <w:lang w:val="zh-CN" w:eastAsia="zh-CN"/>
              </w:rPr>
            </w:pPr>
            <w:r>
              <w:rPr>
                <w:rFonts w:hint="eastAsia" w:ascii="仿宋_GB2312" w:eastAsia="仿宋_GB2312"/>
                <w:sz w:val="24"/>
                <w:lang w:val="en-US" w:eastAsia="zh-CN"/>
              </w:rPr>
              <w:t>112万</w:t>
            </w:r>
          </w:p>
        </w:tc>
      </w:tr>
      <w:tr>
        <w:tblPrEx>
          <w:shd w:val="clear" w:color="auto" w:fill="auto"/>
          <w:tblCellMar>
            <w:top w:w="0" w:type="dxa"/>
            <w:left w:w="0" w:type="dxa"/>
            <w:bottom w:w="0" w:type="dxa"/>
            <w:right w:w="0" w:type="dxa"/>
          </w:tblCellMar>
        </w:tblPrEx>
        <w:trPr>
          <w:trHeight w:val="880" w:hRule="atLeast"/>
        </w:trPr>
        <w:tc>
          <w:tcPr>
            <w:tcW w:w="3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p>
        </w:tc>
        <w:tc>
          <w:tcPr>
            <w:tcW w:w="570"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en-US" w:eastAsia="zh-CN"/>
              </w:rPr>
              <w:t>项目主管部门</w:t>
            </w:r>
          </w:p>
        </w:tc>
        <w:tc>
          <w:tcPr>
            <w:tcW w:w="404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eastAsia="仿宋_GB2312"/>
                <w:sz w:val="24"/>
                <w:lang w:val="zh-CN" w:eastAsia="zh-CN"/>
              </w:rPr>
            </w:pPr>
            <w:r>
              <w:rPr>
                <w:rFonts w:hint="eastAsia" w:ascii="仿宋_GB2312" w:eastAsia="仿宋_GB2312"/>
                <w:sz w:val="24"/>
                <w:lang w:val="en-US" w:eastAsia="zh-CN"/>
              </w:rPr>
              <w:t>湘潭县科技和工业信息化局</w:t>
            </w:r>
          </w:p>
        </w:tc>
      </w:tr>
      <w:tr>
        <w:tblPrEx>
          <w:shd w:val="clear" w:color="auto" w:fill="auto"/>
          <w:tblCellMar>
            <w:top w:w="0" w:type="dxa"/>
            <w:left w:w="0" w:type="dxa"/>
            <w:bottom w:w="0" w:type="dxa"/>
            <w:right w:w="0" w:type="dxa"/>
          </w:tblCellMar>
        </w:tblPrEx>
        <w:trPr>
          <w:trHeight w:val="570" w:hRule="atLeast"/>
        </w:trPr>
        <w:tc>
          <w:tcPr>
            <w:tcW w:w="3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p>
        </w:tc>
        <w:tc>
          <w:tcPr>
            <w:tcW w:w="570"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en-US" w:eastAsia="zh-CN"/>
              </w:rPr>
              <w:t>评价结果</w:t>
            </w:r>
          </w:p>
        </w:tc>
        <w:tc>
          <w:tcPr>
            <w:tcW w:w="404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_GB2312" w:eastAsia="仿宋_GB2312"/>
                <w:sz w:val="24"/>
                <w:lang w:val="zh-CN" w:eastAsia="zh-CN"/>
              </w:rPr>
            </w:pPr>
            <w:r>
              <w:rPr>
                <w:rFonts w:hint="eastAsia" w:ascii="仿宋_GB2312" w:eastAsia="仿宋_GB2312"/>
                <w:sz w:val="24"/>
                <w:lang w:val="en-US" w:eastAsia="zh-CN"/>
              </w:rPr>
              <w:t>优</w:t>
            </w:r>
          </w:p>
        </w:tc>
      </w:tr>
      <w:tr>
        <w:tblPrEx>
          <w:shd w:val="clear" w:color="auto" w:fill="auto"/>
          <w:tblCellMar>
            <w:top w:w="0" w:type="dxa"/>
            <w:left w:w="0" w:type="dxa"/>
            <w:bottom w:w="0" w:type="dxa"/>
            <w:right w:w="0" w:type="dxa"/>
          </w:tblCellMar>
        </w:tblPrEx>
        <w:trPr>
          <w:trHeight w:val="1420" w:hRule="atLeast"/>
        </w:trPr>
        <w:tc>
          <w:tcPr>
            <w:tcW w:w="386" w:type="pct"/>
            <w:vMerge w:val="continue"/>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p>
        </w:tc>
        <w:tc>
          <w:tcPr>
            <w:tcW w:w="570"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en-US" w:eastAsia="zh-CN"/>
              </w:rPr>
              <w:t>项目立项目的</w:t>
            </w:r>
          </w:p>
        </w:tc>
        <w:tc>
          <w:tcPr>
            <w:tcW w:w="4043"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szCs w:val="24"/>
                <w:lang w:val="zh-CN" w:eastAsia="zh-CN"/>
              </w:rPr>
            </w:pPr>
            <w:r>
              <w:rPr>
                <w:rFonts w:hint="eastAsia" w:ascii="仿宋_GB2312" w:eastAsia="仿宋_GB2312"/>
                <w:sz w:val="24"/>
                <w:szCs w:val="24"/>
                <w:lang w:val="en-US" w:eastAsia="zh-CN"/>
              </w:rPr>
              <w:t>为充分调动科技特派员（含特派专家，以下简称科技特派员）工作积极性，推动特派员与派驻单位良性互动，更好地发挥特派员在帮扶企业发展和促进县域经济发展壮大中的职能作用。</w:t>
            </w:r>
          </w:p>
        </w:tc>
      </w:tr>
      <w:tr>
        <w:tblPrEx>
          <w:shd w:val="clear" w:color="auto" w:fill="auto"/>
          <w:tblCellMar>
            <w:top w:w="0" w:type="dxa"/>
            <w:left w:w="0" w:type="dxa"/>
            <w:bottom w:w="0" w:type="dxa"/>
            <w:right w:w="0" w:type="dxa"/>
          </w:tblCellMar>
        </w:tblPrEx>
        <w:trPr>
          <w:trHeight w:val="1495" w:hRule="atLeast"/>
        </w:trPr>
        <w:tc>
          <w:tcPr>
            <w:tcW w:w="386" w:type="pct"/>
            <w:vMerge w:val="restar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en-US" w:eastAsia="zh-CN"/>
              </w:rPr>
              <w:t>绩效情况</w:t>
            </w:r>
          </w:p>
        </w:tc>
        <w:tc>
          <w:tcPr>
            <w:tcW w:w="570"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zh-CN" w:eastAsia="zh-CN"/>
              </w:rPr>
            </w:pPr>
            <w:r>
              <w:rPr>
                <w:rFonts w:hint="eastAsia" w:ascii="仿宋_GB2312" w:eastAsia="仿宋_GB2312"/>
                <w:sz w:val="24"/>
                <w:lang w:val="en-US" w:eastAsia="zh-CN"/>
              </w:rPr>
              <w:t>项目支出管理和使用基本情况</w:t>
            </w:r>
          </w:p>
        </w:tc>
        <w:tc>
          <w:tcPr>
            <w:tcW w:w="4043"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szCs w:val="24"/>
                <w:lang w:val="zh-CN" w:eastAsia="zh-CN"/>
              </w:rPr>
            </w:pPr>
            <w:r>
              <w:rPr>
                <w:rFonts w:hint="eastAsia" w:ascii="仿宋_GB2312" w:eastAsia="仿宋_GB2312"/>
                <w:sz w:val="24"/>
                <w:szCs w:val="24"/>
                <w:lang w:val="en-US" w:eastAsia="zh-CN"/>
              </w:rPr>
              <w:t>2020年度该项目设立了具体、量化的目标，健全了制度，核算规范，遵循了相关法律法规的规定，项目的立项、申报、批复、决策等符合相关管理办法的程序要求，资金拨付到位、及时，且没有虚列、截留、超标和超预算等违纪违规行为，符合县域经济社会发展和我局年度工作计划的要求。</w:t>
            </w:r>
          </w:p>
        </w:tc>
      </w:tr>
      <w:tr>
        <w:tblPrEx>
          <w:shd w:val="clear" w:color="auto" w:fill="auto"/>
          <w:tblCellMar>
            <w:top w:w="0" w:type="dxa"/>
            <w:left w:w="0" w:type="dxa"/>
            <w:bottom w:w="0" w:type="dxa"/>
            <w:right w:w="0" w:type="dxa"/>
          </w:tblCellMar>
        </w:tblPrEx>
        <w:trPr>
          <w:trHeight w:val="1495" w:hRule="atLeast"/>
        </w:trPr>
        <w:tc>
          <w:tcPr>
            <w:tcW w:w="386" w:type="pct"/>
            <w:vMerge w:val="continue"/>
            <w:tcBorders>
              <w:left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en-US" w:eastAsia="zh-CN"/>
              </w:rPr>
            </w:pPr>
          </w:p>
        </w:tc>
        <w:tc>
          <w:tcPr>
            <w:tcW w:w="570"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eastAsia="仿宋_GB2312"/>
                <w:sz w:val="24"/>
                <w:lang w:val="en-US" w:eastAsia="zh-CN"/>
              </w:rPr>
            </w:pPr>
            <w:r>
              <w:rPr>
                <w:rFonts w:hint="eastAsia" w:ascii="仿宋_GB2312" w:eastAsia="仿宋_GB2312"/>
                <w:sz w:val="24"/>
                <w:lang w:val="en-US" w:eastAsia="zh-CN"/>
              </w:rPr>
              <w:t>项目绩效目标完成情况</w:t>
            </w:r>
          </w:p>
        </w:tc>
        <w:tc>
          <w:tcPr>
            <w:tcW w:w="4043"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Times New Roman" w:eastAsia="仿宋_GB2312"/>
                <w:sz w:val="24"/>
                <w:szCs w:val="24"/>
                <w:lang w:val="en-US" w:eastAsia="zh-CN"/>
              </w:rPr>
            </w:pPr>
            <w:r>
              <w:rPr>
                <w:rFonts w:hint="eastAsia" w:ascii="仿宋_GB2312" w:hAnsi="Times New Roman" w:eastAsia="仿宋_GB2312"/>
                <w:sz w:val="24"/>
                <w:szCs w:val="24"/>
              </w:rPr>
              <w:t>2020年，我县科技特派员工作在县委、县政府的正确领导下，坚持服务基层，服务发展，创新推进，通过组织部门牵头抓总，科工、卫健部门主推实施，全县科技特派员工作取得显著成效。全年共选派科技特派员（专家）128人次。其中，省派5名，市派39名，市派农业类科技特派员32名，县派66名，县派科技特派专家22名。派驻到村上的41名。今年县级科技特派员专项收集项目60项，立项49项。</w:t>
            </w:r>
          </w:p>
        </w:tc>
      </w:tr>
      <w:tr>
        <w:tblPrEx>
          <w:shd w:val="clear" w:color="auto" w:fill="auto"/>
          <w:tblCellMar>
            <w:top w:w="0" w:type="dxa"/>
            <w:left w:w="0" w:type="dxa"/>
            <w:bottom w:w="0" w:type="dxa"/>
            <w:right w:w="0" w:type="dxa"/>
          </w:tblCellMar>
        </w:tblPrEx>
        <w:trPr>
          <w:trHeight w:val="700" w:hRule="atLeast"/>
        </w:trPr>
        <w:tc>
          <w:tcPr>
            <w:tcW w:w="386" w:type="pct"/>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存在的问题分析及改进措施</w:t>
            </w:r>
          </w:p>
        </w:tc>
        <w:tc>
          <w:tcPr>
            <w:tcW w:w="570"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存在的问题</w:t>
            </w:r>
          </w:p>
        </w:tc>
        <w:tc>
          <w:tcPr>
            <w:tcW w:w="404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top"/>
          </w:tcPr>
          <w:p>
            <w:pPr>
              <w:keepNext w:val="0"/>
              <w:keepLines w:val="0"/>
              <w:widowControl/>
              <w:suppressLineNumbers w:val="0"/>
              <w:jc w:val="left"/>
              <w:textAlignment w:val="center"/>
              <w:rPr>
                <w:rFonts w:hint="eastAsia" w:ascii="仿宋_GB2312" w:hAnsi="Times New Roman" w:eastAsia="仿宋_GB2312"/>
                <w:sz w:val="24"/>
                <w:szCs w:val="24"/>
              </w:rPr>
            </w:pPr>
            <w:r>
              <w:rPr>
                <w:rFonts w:hint="eastAsia" w:ascii="仿宋_GB2312" w:hAnsi="Times New Roman" w:eastAsia="仿宋_GB2312"/>
                <w:sz w:val="24"/>
                <w:szCs w:val="24"/>
              </w:rPr>
              <w:t>绝大多数派驻单位对科技特派员工作非常满意，但能够评为优秀的科技特派员比例较小。</w:t>
            </w:r>
          </w:p>
        </w:tc>
      </w:tr>
      <w:tr>
        <w:tblPrEx>
          <w:tblCellMar>
            <w:top w:w="0" w:type="dxa"/>
            <w:left w:w="0" w:type="dxa"/>
            <w:bottom w:w="0" w:type="dxa"/>
            <w:right w:w="0" w:type="dxa"/>
          </w:tblCellMar>
        </w:tblPrEx>
        <w:trPr>
          <w:trHeight w:val="640" w:hRule="atLeast"/>
        </w:trPr>
        <w:tc>
          <w:tcPr>
            <w:tcW w:w="386" w:type="pct"/>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570"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改进措施</w:t>
            </w:r>
          </w:p>
        </w:tc>
        <w:tc>
          <w:tcPr>
            <w:tcW w:w="404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top"/>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仿宋_GB2312" w:hAnsi="Times New Roman" w:eastAsia="仿宋_GB2312"/>
                <w:sz w:val="24"/>
                <w:szCs w:val="24"/>
              </w:rPr>
              <w:t>增大对科技特派员评优（良）的比例，鼓励广大科技特派员更加积极的开展工作。</w:t>
            </w:r>
          </w:p>
        </w:tc>
      </w:tr>
      <w:tr>
        <w:tblPrEx>
          <w:tblCellMar>
            <w:top w:w="0" w:type="dxa"/>
            <w:left w:w="0" w:type="dxa"/>
            <w:bottom w:w="0" w:type="dxa"/>
            <w:right w:w="0" w:type="dxa"/>
          </w:tblCellMar>
        </w:tblPrEx>
        <w:trPr>
          <w:trHeight w:val="680" w:hRule="atLeast"/>
        </w:trPr>
        <w:tc>
          <w:tcPr>
            <w:tcW w:w="386" w:type="pct"/>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570"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其他需要说明问题</w:t>
            </w:r>
          </w:p>
        </w:tc>
        <w:tc>
          <w:tcPr>
            <w:tcW w:w="4043" w:type="pc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top"/>
          </w:tcPr>
          <w:p>
            <w:pPr>
              <w:jc w:val="left"/>
              <w:rPr>
                <w:rFonts w:hint="eastAsia" w:ascii="宋体" w:hAnsi="宋体" w:eastAsia="宋体" w:cs="宋体"/>
                <w:i w:val="0"/>
                <w:color w:val="000000"/>
                <w:sz w:val="24"/>
                <w:szCs w:val="24"/>
                <w:u w:val="none"/>
              </w:rPr>
            </w:pPr>
          </w:p>
        </w:tc>
      </w:tr>
    </w:tbl>
    <w:p/>
    <w:p/>
    <w:p/>
    <w:p/>
    <w:p/>
    <w:tbl>
      <w:tblPr>
        <w:tblStyle w:val="2"/>
        <w:tblW w:w="5000" w:type="pct"/>
        <w:tblInd w:w="0" w:type="dxa"/>
        <w:shd w:val="clear" w:color="auto" w:fill="auto"/>
        <w:tblLayout w:type="autofit"/>
        <w:tblCellMar>
          <w:top w:w="0" w:type="dxa"/>
          <w:left w:w="0" w:type="dxa"/>
          <w:bottom w:w="0" w:type="dxa"/>
          <w:right w:w="0" w:type="dxa"/>
        </w:tblCellMar>
      </w:tblPr>
      <w:tblGrid>
        <w:gridCol w:w="456"/>
        <w:gridCol w:w="392"/>
        <w:gridCol w:w="472"/>
        <w:gridCol w:w="347"/>
        <w:gridCol w:w="482"/>
        <w:gridCol w:w="402"/>
        <w:gridCol w:w="2476"/>
        <w:gridCol w:w="2936"/>
        <w:gridCol w:w="373"/>
      </w:tblGrid>
      <w:tr>
        <w:tblPrEx>
          <w:shd w:val="clear" w:color="auto" w:fill="auto"/>
          <w:tblCellMar>
            <w:top w:w="0" w:type="dxa"/>
            <w:left w:w="0" w:type="dxa"/>
            <w:bottom w:w="0" w:type="dxa"/>
            <w:right w:w="0" w:type="dxa"/>
          </w:tblCellMar>
        </w:tblPrEx>
        <w:trPr>
          <w:trHeight w:val="940" w:hRule="atLeast"/>
        </w:trPr>
        <w:tc>
          <w:tcPr>
            <w:tcW w:w="5000" w:type="pct"/>
            <w:gridSpan w:val="9"/>
            <w:tcBorders>
              <w:top w:val="nil"/>
              <w:left w:val="nil"/>
              <w:bottom w:val="nil"/>
              <w:right w:val="nil"/>
            </w:tcBorders>
            <w:shd w:val="clear" w:color="auto" w:fill="auto"/>
            <w:tcMar>
              <w:top w:w="15" w:type="dxa"/>
              <w:left w:w="15" w:type="dxa"/>
              <w:right w:w="15" w:type="dxa"/>
            </w:tcMar>
            <w:vAlign w:val="center"/>
          </w:tcPr>
          <w:p>
            <w:pPr>
              <w:jc w:val="center"/>
              <w:rPr>
                <w:rFonts w:hint="eastAsia"/>
                <w:b/>
                <w:bCs/>
                <w:sz w:val="24"/>
                <w:szCs w:val="24"/>
                <w:lang w:val="en-US" w:eastAsia="zh-CN"/>
              </w:rPr>
            </w:pPr>
            <w:r>
              <w:rPr>
                <w:rFonts w:hint="eastAsia"/>
                <w:b/>
                <w:bCs/>
                <w:sz w:val="24"/>
                <w:szCs w:val="24"/>
                <w:lang w:val="en-US" w:eastAsia="zh-CN"/>
              </w:rPr>
              <w:t>2020年湘潭县科技特派员</w:t>
            </w:r>
          </w:p>
          <w:p>
            <w:pPr>
              <w:jc w:val="center"/>
              <w:rPr>
                <w:rFonts w:hint="eastAsia"/>
              </w:rPr>
            </w:pPr>
            <w:r>
              <w:rPr>
                <w:rFonts w:hint="eastAsia"/>
                <w:b/>
                <w:bCs/>
                <w:sz w:val="24"/>
                <w:szCs w:val="24"/>
                <w:lang w:val="en-US" w:eastAsia="zh-CN"/>
              </w:rPr>
              <w:t>项目支出绩效评价评分表</w:t>
            </w:r>
          </w:p>
        </w:tc>
      </w:tr>
      <w:tr>
        <w:tblPrEx>
          <w:shd w:val="clear" w:color="auto" w:fill="auto"/>
          <w:tblCellMar>
            <w:top w:w="0" w:type="dxa"/>
            <w:left w:w="0" w:type="dxa"/>
            <w:bottom w:w="0" w:type="dxa"/>
            <w:right w:w="0" w:type="dxa"/>
          </w:tblCellMar>
        </w:tblPrEx>
        <w:trPr>
          <w:trHeight w:val="600" w:hRule="atLeast"/>
        </w:trPr>
        <w:tc>
          <w:tcPr>
            <w:tcW w:w="274"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一级指标</w:t>
            </w:r>
          </w:p>
        </w:tc>
        <w:tc>
          <w:tcPr>
            <w:tcW w:w="235"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分值</w:t>
            </w:r>
          </w:p>
        </w:tc>
        <w:tc>
          <w:tcPr>
            <w:tcW w:w="28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二级指标</w:t>
            </w:r>
          </w:p>
        </w:tc>
        <w:tc>
          <w:tcPr>
            <w:tcW w:w="208"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分值</w:t>
            </w:r>
          </w:p>
        </w:tc>
        <w:tc>
          <w:tcPr>
            <w:tcW w:w="289"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三级指标</w:t>
            </w:r>
          </w:p>
        </w:tc>
        <w:tc>
          <w:tcPr>
            <w:tcW w:w="241"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分值</w:t>
            </w:r>
          </w:p>
        </w:tc>
        <w:tc>
          <w:tcPr>
            <w:tcW w:w="1485"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指标解释</w:t>
            </w:r>
          </w:p>
        </w:tc>
        <w:tc>
          <w:tcPr>
            <w:tcW w:w="1761" w:type="pct"/>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rPr>
                <w:rFonts w:hint="eastAsia"/>
                <w:sz w:val="18"/>
                <w:szCs w:val="18"/>
              </w:rPr>
            </w:pPr>
            <w:r>
              <w:rPr>
                <w:rFonts w:hint="eastAsia"/>
                <w:sz w:val="18"/>
                <w:szCs w:val="18"/>
                <w:lang w:val="en-US" w:eastAsia="zh-CN"/>
              </w:rPr>
              <w:t>评价标准</w:t>
            </w:r>
          </w:p>
        </w:tc>
        <w:tc>
          <w:tcPr>
            <w:tcW w:w="22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得分</w:t>
            </w:r>
          </w:p>
        </w:tc>
      </w:tr>
      <w:tr>
        <w:tblPrEx>
          <w:shd w:val="clear" w:color="auto" w:fill="auto"/>
          <w:tblCellMar>
            <w:top w:w="0" w:type="dxa"/>
            <w:left w:w="0" w:type="dxa"/>
            <w:bottom w:w="0" w:type="dxa"/>
            <w:right w:w="0" w:type="dxa"/>
          </w:tblCellMar>
        </w:tblPrEx>
        <w:trPr>
          <w:trHeight w:val="570" w:hRule="atLeast"/>
        </w:trPr>
        <w:tc>
          <w:tcPr>
            <w:tcW w:w="274"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项目决策</w:t>
            </w:r>
          </w:p>
        </w:tc>
        <w:tc>
          <w:tcPr>
            <w:tcW w:w="2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20</w:t>
            </w:r>
          </w:p>
        </w:tc>
        <w:tc>
          <w:tcPr>
            <w:tcW w:w="28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635" cy="0"/>
                  <wp:effectExtent l="0" t="0" r="0" b="0"/>
                  <wp:wrapNone/>
                  <wp:docPr id="5" name="Line_1"/>
                  <wp:cNvGraphicFramePr/>
                  <a:graphic xmlns:a="http://schemas.openxmlformats.org/drawingml/2006/main">
                    <a:graphicData uri="http://schemas.openxmlformats.org/drawingml/2006/picture">
                      <pic:pic xmlns:pic="http://schemas.openxmlformats.org/drawingml/2006/picture">
                        <pic:nvPicPr>
                          <pic:cNvPr id="5" name="Line_1"/>
                          <pic:cNvPicPr/>
                        </pic:nvPicPr>
                        <pic:blipFill>
                          <a:blip r:embed="rId4"/>
                          <a:stretch>
                            <a:fillRect/>
                          </a:stretch>
                        </pic:blipFill>
                        <pic:spPr>
                          <a:xfrm>
                            <a:off x="0" y="0"/>
                            <a:ext cx="635" cy="0"/>
                          </a:xfrm>
                          <a:prstGeom prst="rect">
                            <a:avLst/>
                          </a:prstGeom>
                          <a:noFill/>
                          <a:ln>
                            <a:noFill/>
                          </a:ln>
                        </pic:spPr>
                      </pic:pic>
                    </a:graphicData>
                  </a:graphic>
                </wp:anchor>
              </w:drawing>
            </w:r>
            <w:r>
              <w:rPr>
                <w:rFonts w:hint="eastAsia"/>
                <w:sz w:val="18"/>
                <w:szCs w:val="18"/>
                <w:lang w:val="en-US"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635" cy="0"/>
                  <wp:effectExtent l="0" t="0" r="0" b="0"/>
                  <wp:wrapNone/>
                  <wp:docPr id="6" name="Line_3"/>
                  <wp:cNvGraphicFramePr/>
                  <a:graphic xmlns:a="http://schemas.openxmlformats.org/drawingml/2006/main">
                    <a:graphicData uri="http://schemas.openxmlformats.org/drawingml/2006/picture">
                      <pic:pic xmlns:pic="http://schemas.openxmlformats.org/drawingml/2006/picture">
                        <pic:nvPicPr>
                          <pic:cNvPr id="6" name="Line_3"/>
                          <pic:cNvPicPr/>
                        </pic:nvPicPr>
                        <pic:blipFill>
                          <a:blip r:embed="rId4"/>
                          <a:stretch>
                            <a:fillRect/>
                          </a:stretch>
                        </pic:blipFill>
                        <pic:spPr>
                          <a:xfrm>
                            <a:off x="0" y="0"/>
                            <a:ext cx="635" cy="0"/>
                          </a:xfrm>
                          <a:prstGeom prst="rect">
                            <a:avLst/>
                          </a:prstGeom>
                          <a:noFill/>
                          <a:ln>
                            <a:noFill/>
                          </a:ln>
                        </pic:spPr>
                      </pic:pic>
                    </a:graphicData>
                  </a:graphic>
                </wp:anchor>
              </w:drawing>
            </w:r>
            <w:r>
              <w:rPr>
                <w:rFonts w:hint="eastAsia"/>
                <w:sz w:val="18"/>
                <w:szCs w:val="18"/>
                <w:lang w:val="en-US"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635" cy="0"/>
                  <wp:effectExtent l="0" t="0" r="0" b="0"/>
                  <wp:wrapNone/>
                  <wp:docPr id="7" name="Line_2"/>
                  <wp:cNvGraphicFramePr/>
                  <a:graphic xmlns:a="http://schemas.openxmlformats.org/drawingml/2006/main">
                    <a:graphicData uri="http://schemas.openxmlformats.org/drawingml/2006/picture">
                      <pic:pic xmlns:pic="http://schemas.openxmlformats.org/drawingml/2006/picture">
                        <pic:nvPicPr>
                          <pic:cNvPr id="7" name="Line_2"/>
                          <pic:cNvPicPr/>
                        </pic:nvPicPr>
                        <pic:blipFill>
                          <a:blip r:embed="rId4"/>
                          <a:stretch>
                            <a:fillRect/>
                          </a:stretch>
                        </pic:blipFill>
                        <pic:spPr>
                          <a:xfrm>
                            <a:off x="0" y="0"/>
                            <a:ext cx="635" cy="0"/>
                          </a:xfrm>
                          <a:prstGeom prst="rect">
                            <a:avLst/>
                          </a:prstGeom>
                          <a:noFill/>
                          <a:ln>
                            <a:noFill/>
                          </a:ln>
                        </pic:spPr>
                      </pic:pic>
                    </a:graphicData>
                  </a:graphic>
                </wp:anchor>
              </w:drawing>
            </w:r>
            <w:r>
              <w:rPr>
                <w:rFonts w:hint="eastAsia"/>
                <w:sz w:val="18"/>
                <w:szCs w:val="18"/>
                <w:lang w:val="en-US"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635" cy="0"/>
                  <wp:effectExtent l="0" t="0" r="0" b="0"/>
                  <wp:wrapNone/>
                  <wp:docPr id="8" name="Line_5"/>
                  <wp:cNvGraphicFramePr/>
                  <a:graphic xmlns:a="http://schemas.openxmlformats.org/drawingml/2006/main">
                    <a:graphicData uri="http://schemas.openxmlformats.org/drawingml/2006/picture">
                      <pic:pic xmlns:pic="http://schemas.openxmlformats.org/drawingml/2006/picture">
                        <pic:nvPicPr>
                          <pic:cNvPr id="8" name="Line_5"/>
                          <pic:cNvPicPr/>
                        </pic:nvPicPr>
                        <pic:blipFill>
                          <a:blip r:embed="rId4"/>
                          <a:stretch>
                            <a:fillRect/>
                          </a:stretch>
                        </pic:blipFill>
                        <pic:spPr>
                          <a:xfrm>
                            <a:off x="0" y="0"/>
                            <a:ext cx="635" cy="0"/>
                          </a:xfrm>
                          <a:prstGeom prst="rect">
                            <a:avLst/>
                          </a:prstGeom>
                          <a:noFill/>
                          <a:ln>
                            <a:noFill/>
                          </a:ln>
                        </pic:spPr>
                      </pic:pic>
                    </a:graphicData>
                  </a:graphic>
                </wp:anchor>
              </w:drawing>
            </w:r>
            <w:r>
              <w:rPr>
                <w:rFonts w:hint="eastAsia"/>
                <w:sz w:val="18"/>
                <w:szCs w:val="18"/>
                <w:lang w:val="en-US" w:eastAsia="zh-CN"/>
              </w:rPr>
              <w:t>项目目标</w:t>
            </w:r>
          </w:p>
        </w:tc>
        <w:tc>
          <w:tcPr>
            <w:tcW w:w="208"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4</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目标内容</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4</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目标是否明确、细化、量化</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目标明确（1分），目标细化（1分），目标量化（2分）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4</w:t>
            </w:r>
          </w:p>
        </w:tc>
      </w:tr>
      <w:tr>
        <w:tblPrEx>
          <w:shd w:val="clear" w:color="auto" w:fill="auto"/>
          <w:tblCellMar>
            <w:top w:w="0" w:type="dxa"/>
            <w:left w:w="0" w:type="dxa"/>
            <w:bottom w:w="0" w:type="dxa"/>
            <w:right w:w="0" w:type="dxa"/>
          </w:tblCellMar>
        </w:tblPrEx>
        <w:trPr>
          <w:trHeight w:val="96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决策过程</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决策依据</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项目是否符合经济社会发展规划和部门年度工作计划；是否根据需要制定中长期实施规划</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项目符合经济社会发展规划和部门年度工作计划（2分），根据需要制定中长期实施规划（1分）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r>
      <w:tr>
        <w:tblPrEx>
          <w:shd w:val="clear" w:color="auto" w:fill="auto"/>
          <w:tblCellMar>
            <w:top w:w="0" w:type="dxa"/>
            <w:left w:w="0" w:type="dxa"/>
            <w:bottom w:w="0" w:type="dxa"/>
            <w:right w:w="0" w:type="dxa"/>
          </w:tblCellMar>
        </w:tblPrEx>
        <w:trPr>
          <w:trHeight w:val="100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决策程序</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5</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项目是否符合申报条件；申报、批复程序是否符合相关管理办法；项目调整是否履行相应手续</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项目符合申报条件（2分），申报、批复程序符合相关管理办法（2分），项目实施调整履行相应手续（1分）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5</w:t>
            </w:r>
          </w:p>
        </w:tc>
      </w:tr>
      <w:tr>
        <w:tblPrEx>
          <w:shd w:val="clear" w:color="auto" w:fill="auto"/>
          <w:tblCellMar>
            <w:top w:w="0" w:type="dxa"/>
            <w:left w:w="0" w:type="dxa"/>
            <w:bottom w:w="0" w:type="dxa"/>
            <w:right w:w="0" w:type="dxa"/>
          </w:tblCellMar>
        </w:tblPrEx>
        <w:trPr>
          <w:trHeight w:val="122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资金分配</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分配办法</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2</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是否根据需要制定相关资金管理办法，并在管理办法中明确资金分配办法；资金分配因素是否全面、合理</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办法健全、规范（1分），因素选择全面、合理（1分）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2</w:t>
            </w:r>
          </w:p>
        </w:tc>
      </w:tr>
      <w:tr>
        <w:tblPrEx>
          <w:shd w:val="clear" w:color="auto" w:fill="auto"/>
          <w:tblCellMar>
            <w:top w:w="0" w:type="dxa"/>
            <w:left w:w="0" w:type="dxa"/>
            <w:bottom w:w="0" w:type="dxa"/>
            <w:right w:w="0" w:type="dxa"/>
          </w:tblCellMar>
        </w:tblPrEx>
        <w:trPr>
          <w:trHeight w:val="76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分配结果</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6</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资金分配是否符合相关管理办法；分配结果是否合理</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项目符合相关分配办法（2分），资金分配合理（4分）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6</w:t>
            </w:r>
          </w:p>
        </w:tc>
      </w:tr>
      <w:tr>
        <w:tblPrEx>
          <w:shd w:val="clear" w:color="auto" w:fill="auto"/>
          <w:tblCellMar>
            <w:top w:w="0" w:type="dxa"/>
            <w:left w:w="0" w:type="dxa"/>
            <w:bottom w:w="0" w:type="dxa"/>
            <w:right w:w="0" w:type="dxa"/>
          </w:tblCellMar>
        </w:tblPrEx>
        <w:trPr>
          <w:trHeight w:val="615" w:hRule="atLeast"/>
        </w:trPr>
        <w:tc>
          <w:tcPr>
            <w:tcW w:w="274"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项目管理</w:t>
            </w:r>
          </w:p>
        </w:tc>
        <w:tc>
          <w:tcPr>
            <w:tcW w:w="2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25</w:t>
            </w: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资金到位</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5</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到位率</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实际到位/计划到位×100%</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根据项目实际到位资金占计划的比重计算得分（3分）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r>
      <w:tr>
        <w:tblPrEx>
          <w:shd w:val="clear" w:color="auto" w:fill="auto"/>
          <w:tblCellMar>
            <w:top w:w="0" w:type="dxa"/>
            <w:left w:w="0" w:type="dxa"/>
            <w:bottom w:w="0" w:type="dxa"/>
            <w:right w:w="0" w:type="dxa"/>
          </w:tblCellMar>
        </w:tblPrEx>
        <w:trPr>
          <w:trHeight w:val="945"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到位时效</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2</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资金是否及时到位；若未及时到位，是否影响项目进度</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及时到位（2分），未及时到位但未影响项目进度（1.5分），未及时到位并影响项目进度（0-1分）。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2</w:t>
            </w:r>
          </w:p>
        </w:tc>
      </w:tr>
      <w:tr>
        <w:tblPrEx>
          <w:shd w:val="clear" w:color="auto" w:fill="auto"/>
          <w:tblCellMar>
            <w:top w:w="0" w:type="dxa"/>
            <w:left w:w="0" w:type="dxa"/>
            <w:bottom w:w="0" w:type="dxa"/>
            <w:right w:w="0" w:type="dxa"/>
          </w:tblCellMar>
        </w:tblPrEx>
        <w:trPr>
          <w:trHeight w:val="124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资金管理</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10</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资金使用</w:t>
            </w:r>
          </w:p>
        </w:tc>
        <w:tc>
          <w:tcPr>
            <w:tcW w:w="241"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7</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是否存在支出依据不合规、虚列项目支出的情况；是否存在截留、挤占、挪用项目资金情况；是否存在超标准开支情况</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虚列（套取）扣4-7分，支出依据不合规扣1分，截留、挤占、挪用扣3-6分，超标准开支扣2-5分</w:t>
            </w:r>
          </w:p>
        </w:tc>
        <w:tc>
          <w:tcPr>
            <w:tcW w:w="22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7</w:t>
            </w:r>
          </w:p>
        </w:tc>
      </w:tr>
      <w:tr>
        <w:tblPrEx>
          <w:shd w:val="clear" w:color="auto" w:fill="auto"/>
          <w:tblCellMar>
            <w:top w:w="0" w:type="dxa"/>
            <w:left w:w="0" w:type="dxa"/>
            <w:bottom w:w="0" w:type="dxa"/>
            <w:right w:w="0" w:type="dxa"/>
          </w:tblCellMar>
        </w:tblPrEx>
        <w:trPr>
          <w:trHeight w:val="96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财务管理</w:t>
            </w:r>
          </w:p>
        </w:tc>
        <w:tc>
          <w:tcPr>
            <w:tcW w:w="241"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资金管理、费用支出等制度是否健全，是否严格执行；会计核算是否规范</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财务制度健全（1分），严格执行制度（1分），会计核算规范（1分）。</w:t>
            </w:r>
          </w:p>
        </w:tc>
        <w:tc>
          <w:tcPr>
            <w:tcW w:w="22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r>
      <w:tr>
        <w:tblPrEx>
          <w:shd w:val="clear" w:color="auto" w:fill="auto"/>
          <w:tblCellMar>
            <w:top w:w="0" w:type="dxa"/>
            <w:left w:w="0" w:type="dxa"/>
            <w:bottom w:w="0" w:type="dxa"/>
            <w:right w:w="0" w:type="dxa"/>
          </w:tblCellMar>
        </w:tblPrEx>
        <w:trPr>
          <w:trHeight w:val="56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组织实施</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10</w:t>
            </w:r>
          </w:p>
        </w:tc>
        <w:tc>
          <w:tcPr>
            <w:tcW w:w="289"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组织机构</w:t>
            </w:r>
          </w:p>
        </w:tc>
        <w:tc>
          <w:tcPr>
            <w:tcW w:w="241"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机构是否健全、分工是否明确</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机构健全、分工明确（1分）</w:t>
            </w:r>
          </w:p>
        </w:tc>
        <w:tc>
          <w:tcPr>
            <w:tcW w:w="22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w:t>
            </w:r>
          </w:p>
        </w:tc>
      </w:tr>
      <w:tr>
        <w:tblPrEx>
          <w:shd w:val="clear" w:color="auto" w:fill="auto"/>
          <w:tblCellMar>
            <w:top w:w="0" w:type="dxa"/>
            <w:left w:w="0" w:type="dxa"/>
            <w:bottom w:w="0" w:type="dxa"/>
            <w:right w:w="0" w:type="dxa"/>
          </w:tblCellMar>
        </w:tblPrEx>
        <w:trPr>
          <w:trHeight w:val="66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管理制度</w:t>
            </w:r>
          </w:p>
        </w:tc>
        <w:tc>
          <w:tcPr>
            <w:tcW w:w="241"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9</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是否建立健全项目管理制度；是否严格执行相关项目管理制度</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建立健全项目管理制度（2分）；严格执行相关项目管理制度（7分）</w:t>
            </w:r>
          </w:p>
        </w:tc>
        <w:tc>
          <w:tcPr>
            <w:tcW w:w="223" w:type="pc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9</w:t>
            </w:r>
          </w:p>
        </w:tc>
      </w:tr>
      <w:tr>
        <w:tblPrEx>
          <w:shd w:val="clear" w:color="auto" w:fill="auto"/>
          <w:tblCellMar>
            <w:top w:w="0" w:type="dxa"/>
            <w:left w:w="0" w:type="dxa"/>
            <w:bottom w:w="0" w:type="dxa"/>
            <w:right w:w="0" w:type="dxa"/>
          </w:tblCellMar>
        </w:tblPrEx>
        <w:trPr>
          <w:trHeight w:val="765" w:hRule="atLeast"/>
        </w:trPr>
        <w:tc>
          <w:tcPr>
            <w:tcW w:w="274"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项目绩效</w:t>
            </w:r>
          </w:p>
        </w:tc>
        <w:tc>
          <w:tcPr>
            <w:tcW w:w="23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55</w:t>
            </w: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项目产出</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15</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产出数量</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 xml:space="preserve">5 </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项目产出数量是否达到绩效目标</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对照绩效目标评价产出数量（5分）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 xml:space="preserve">5 </w:t>
            </w:r>
          </w:p>
        </w:tc>
      </w:tr>
      <w:tr>
        <w:tblPrEx>
          <w:shd w:val="clear" w:color="auto" w:fill="auto"/>
          <w:tblCellMar>
            <w:top w:w="0" w:type="dxa"/>
            <w:left w:w="0" w:type="dxa"/>
            <w:bottom w:w="0" w:type="dxa"/>
            <w:right w:w="0" w:type="dxa"/>
          </w:tblCellMar>
        </w:tblPrEx>
        <w:trPr>
          <w:trHeight w:val="54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产出质量</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 xml:space="preserve">4 </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项目产出质量是否达到绩效目标</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对照绩效目标评价产出质量（4分）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 xml:space="preserve">4 </w:t>
            </w:r>
          </w:p>
        </w:tc>
      </w:tr>
      <w:tr>
        <w:tblPrEx>
          <w:shd w:val="clear" w:color="auto" w:fill="auto"/>
          <w:tblCellMar>
            <w:top w:w="0" w:type="dxa"/>
            <w:left w:w="0" w:type="dxa"/>
            <w:bottom w:w="0" w:type="dxa"/>
            <w:right w:w="0" w:type="dxa"/>
          </w:tblCellMar>
        </w:tblPrEx>
        <w:trPr>
          <w:trHeight w:val="54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产出时效</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项目产出时效是否达到绩效目标</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对照绩效目标评价产出时效（3分）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r>
      <w:tr>
        <w:tblPrEx>
          <w:shd w:val="clear" w:color="auto" w:fill="auto"/>
          <w:tblCellMar>
            <w:top w:w="0" w:type="dxa"/>
            <w:left w:w="0" w:type="dxa"/>
            <w:bottom w:w="0" w:type="dxa"/>
            <w:right w:w="0" w:type="dxa"/>
          </w:tblCellMar>
        </w:tblPrEx>
        <w:trPr>
          <w:trHeight w:val="54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产出成本</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项目产出成本是否按绩效目标控制</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对照绩效目标评价产出成本（3分）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3</w:t>
            </w:r>
          </w:p>
        </w:tc>
      </w:tr>
      <w:tr>
        <w:tblPrEx>
          <w:shd w:val="clear" w:color="auto" w:fill="auto"/>
          <w:tblCellMar>
            <w:top w:w="0" w:type="dxa"/>
            <w:left w:w="0" w:type="dxa"/>
            <w:bottom w:w="0" w:type="dxa"/>
            <w:right w:w="0" w:type="dxa"/>
          </w:tblCellMar>
        </w:tblPrEx>
        <w:trPr>
          <w:trHeight w:val="54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项目效果</w:t>
            </w:r>
          </w:p>
        </w:tc>
        <w:tc>
          <w:tcPr>
            <w:tcW w:w="208"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40</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经济效益</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项目实施是否产生直接或间接经济效益</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对照绩效目标评价经济效益（8分）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r>
      <w:tr>
        <w:tblPrEx>
          <w:shd w:val="clear" w:color="auto" w:fill="auto"/>
          <w:tblCellMar>
            <w:top w:w="0" w:type="dxa"/>
            <w:left w:w="0" w:type="dxa"/>
            <w:bottom w:w="0" w:type="dxa"/>
            <w:right w:w="0" w:type="dxa"/>
          </w:tblCellMar>
        </w:tblPrEx>
        <w:trPr>
          <w:trHeight w:val="48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社会效益</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项目实施是否产生社会综合效益</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对照绩效目标评价社会效益（8分）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r>
      <w:tr>
        <w:tblPrEx>
          <w:shd w:val="clear" w:color="auto" w:fill="auto"/>
          <w:tblCellMar>
            <w:top w:w="0" w:type="dxa"/>
            <w:left w:w="0" w:type="dxa"/>
            <w:bottom w:w="0" w:type="dxa"/>
            <w:right w:w="0" w:type="dxa"/>
          </w:tblCellMar>
        </w:tblPrEx>
        <w:trPr>
          <w:trHeight w:val="57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环境效益</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项目实施是否对环境产生积极或消极影响</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对照绩效目标评价环境效益（8分）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r>
      <w:tr>
        <w:tblPrEx>
          <w:shd w:val="clear" w:color="auto" w:fill="auto"/>
          <w:tblCellMar>
            <w:top w:w="0" w:type="dxa"/>
            <w:left w:w="0" w:type="dxa"/>
            <w:bottom w:w="0" w:type="dxa"/>
            <w:right w:w="0" w:type="dxa"/>
          </w:tblCellMar>
        </w:tblPrEx>
        <w:trPr>
          <w:trHeight w:val="615"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可持续影响</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项目实施对人、自然、资源是否带来可持续影响</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对照绩效目标评价可持续影响（8分）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r>
      <w:tr>
        <w:tblPrEx>
          <w:tblCellMar>
            <w:top w:w="0" w:type="dxa"/>
            <w:left w:w="0" w:type="dxa"/>
            <w:bottom w:w="0" w:type="dxa"/>
            <w:right w:w="0" w:type="dxa"/>
          </w:tblCellMar>
        </w:tblPrEx>
        <w:trPr>
          <w:trHeight w:val="540" w:hRule="atLeast"/>
        </w:trPr>
        <w:tc>
          <w:tcPr>
            <w:tcW w:w="27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3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服务对象满意度</w:t>
            </w: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项目预期服务对象对项目实施的满意程度</w:t>
            </w: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对照绩效目标评价服务对象满意度（8分）</w:t>
            </w: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8</w:t>
            </w:r>
          </w:p>
        </w:tc>
      </w:tr>
      <w:tr>
        <w:tblPrEx>
          <w:tblCellMar>
            <w:top w:w="0" w:type="dxa"/>
            <w:left w:w="0" w:type="dxa"/>
            <w:bottom w:w="0" w:type="dxa"/>
            <w:right w:w="0" w:type="dxa"/>
          </w:tblCellMar>
        </w:tblPrEx>
        <w:trPr>
          <w:trHeight w:val="390" w:hRule="atLeast"/>
        </w:trPr>
        <w:tc>
          <w:tcPr>
            <w:tcW w:w="27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总分</w:t>
            </w:r>
          </w:p>
        </w:tc>
        <w:tc>
          <w:tcPr>
            <w:tcW w:w="23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100</w:t>
            </w:r>
          </w:p>
        </w:tc>
        <w:tc>
          <w:tcPr>
            <w:tcW w:w="28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100</w:t>
            </w:r>
          </w:p>
        </w:tc>
        <w:tc>
          <w:tcPr>
            <w:tcW w:w="148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176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sz w:val="18"/>
                <w:szCs w:val="18"/>
              </w:rPr>
            </w:pPr>
            <w:r>
              <w:rPr>
                <w:rFonts w:hint="eastAsia"/>
                <w:sz w:val="18"/>
                <w:szCs w:val="18"/>
                <w:lang w:val="en-US" w:eastAsia="zh-CN"/>
              </w:rPr>
              <w:t>100</w:t>
            </w:r>
          </w:p>
        </w:tc>
      </w:tr>
    </w:tbl>
    <w:p>
      <w:pPr>
        <w:rPr>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9120EE"/>
    <w:rsid w:val="199473BC"/>
    <w:rsid w:val="1E0B0C8B"/>
    <w:rsid w:val="259120EE"/>
    <w:rsid w:val="28047A62"/>
    <w:rsid w:val="2A257B94"/>
    <w:rsid w:val="37BA2B6C"/>
    <w:rsid w:val="3CCB07B9"/>
    <w:rsid w:val="41D72D67"/>
    <w:rsid w:val="50C25FB4"/>
    <w:rsid w:val="593751B0"/>
    <w:rsid w:val="74037F35"/>
    <w:rsid w:val="77A70A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2020-10-29T03:35:00Z</dcterms:created>
  <dc:creator>Administrator</dc:creator>
  <cp:lastModifiedBy>相濡以沫</cp:lastModifiedBy>
  <dcterms:modified xsi:type="dcterms:W3CDTF">2022-01-25T08:02:41Z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C4683C95B3994D528E94E73D342EBA61</vt:lpwstr>
  </property>
</Properties>
</file>