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6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392"/>
        <w:gridCol w:w="460"/>
        <w:gridCol w:w="12"/>
        <w:gridCol w:w="347"/>
        <w:gridCol w:w="482"/>
        <w:gridCol w:w="402"/>
        <w:gridCol w:w="406"/>
        <w:gridCol w:w="2070"/>
        <w:gridCol w:w="2936"/>
        <w:gridCol w:w="278"/>
        <w:gridCol w:w="9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450" w:hRule="atLeast"/>
        </w:trPr>
        <w:tc>
          <w:tcPr>
            <w:tcW w:w="824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湘潭县科技和工业信息化局2020年改制企业遗留问题及维稳经费项目支出绩效评价报告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270" w:hRule="atLeast"/>
        </w:trPr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665" w:hRule="atLeast"/>
        </w:trPr>
        <w:tc>
          <w:tcPr>
            <w:tcW w:w="130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部门概况</w:t>
            </w: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专项名称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改制企业遗留问题及维稳经费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46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年度预算金额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57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项目主管部门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湘潭县科技和工业信息化局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43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评价结果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1555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项目立项目的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  <w:szCs w:val="21"/>
              </w:rPr>
              <w:t>主要用于改制企业的扫尾、维稳、经直企业精简人员及遗孀的各类生活补助、经直企业7-10级伤残军人的补助、湘潭范围内的市直改制企业</w:t>
            </w:r>
            <w:r>
              <w:rPr>
                <w:rFonts w:hint="eastAsia" w:ascii="仿宋_GB2312" w:hAnsi="仿宋_GB2312" w:eastAsia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1"/>
                <w:szCs w:val="21"/>
              </w:rPr>
              <w:t>改制企业后续工作社会事务及企业军转干部等涉军人员信访维稳</w:t>
            </w:r>
            <w:r>
              <w:rPr>
                <w:rFonts w:hint="eastAsia" w:ascii="仿宋_GB2312" w:hAnsi="仿宋_GB2312" w:eastAsia="仿宋_GB2312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1"/>
                <w:szCs w:val="21"/>
                <w:lang w:val="en-US" w:eastAsia="zh-CN"/>
              </w:rPr>
              <w:t>矽沙矿资产保护与处置等。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2180" w:hRule="atLeast"/>
        </w:trPr>
        <w:tc>
          <w:tcPr>
            <w:tcW w:w="130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绩效情况</w:t>
            </w: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项目支出管理和使 用基本情况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2020年度该项目设立了具体、量化的目标，健全了制度，核算规范，遵循了相关法律法规的规定，项目的立项、申报、批复、决策等符合相关管理办法的程序要求，资金拨付到位、及时，且没有虚列、截留、超标和超预算等违纪违规行为，符合县域经济社会发展和我局年度工作计划的要求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1965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项目绩效目标完成 情况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面做好了群众信访综合维稳工作；做好了经直国有集体企业改制后善后工作的处理；全力配合县重点项目工作。处理好了相关改制和资产处置遗留问题；处理好了湘潭牛头化工有限责任公司信访维稳矛盾，确保了重大节日及敏感期间的社会稳定工作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1285" w:hRule="atLeast"/>
        </w:trPr>
        <w:tc>
          <w:tcPr>
            <w:tcW w:w="130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存在的问题分析及改进措施</w:t>
            </w: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存在的问题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1、企业涉军人员及下岗职工是我局信访问题的重点，现企业改制职工已全部安置，社会事务已移交到当地政府部门，建议上报政府应该按属地管理原则谁管理谁负责。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2、维稳经费不足。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200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改进措施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1、企业涉军人员及下岗职工是我局信访问题的重点，现企业改制职工已全部安置，社会事务已移交到当地政府部门，建议上报政府应该按属地管理原则谁管理谁负责。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2、因工作的特殊性，每月需要下乡无交通工具，对工作的开展存在较大的困难，请领导酌情考虑。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3、在信访处突方面，请适当安排人员和工作经费。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5" w:type="dxa"/>
          <w:trHeight w:val="680" w:hRule="atLeast"/>
        </w:trPr>
        <w:tc>
          <w:tcPr>
            <w:tcW w:w="130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其他需要说明问题</w:t>
            </w:r>
          </w:p>
        </w:tc>
        <w:tc>
          <w:tcPr>
            <w:tcW w:w="5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3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2020年改制企业遗留问题及维稳经费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项目支出绩效评价评分表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一级指标</w:t>
            </w:r>
          </w:p>
        </w:tc>
        <w:tc>
          <w:tcPr>
            <w:tcW w:w="3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47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二级指标</w:t>
            </w: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三级指标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分值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指标解释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评价标准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得分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项目决策</w:t>
            </w: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47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in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Line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Line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8" name="Line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Line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项目目标</w:t>
            </w: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目标内容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目标是否明确、细化、量化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目标明确（1分），目标细化（1分），目标量化（2分）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决策过程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决策依据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项目是否符合经济社会发展规划和部门年度工作计划；是否根据需要制定中长期实施规划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项目符合经济社会发展规划和部门年度工作计划（2分），根据需要制定中长期实施规划（1分）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决策程序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项目是否符合申报条件；申报、批复程序是否符合相关管理办法；项目调整是否履行相应手续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项目符合申报条件（2分），申报、批复程序符合相关管理办法（2分），项目实施调整履行相应手续（1分）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资金分配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分配办法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是否根据需要制定相关资金管理办法，并在管理办法中明确资金分配办法；资金分配因素是否全面、合理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办法健全、规范（1分），因素选择全面、合理（1分）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分配结果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资金分配是否符合相关管理办法；分配结果是否合理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项目符合相关分配办法（2分），资金分配合理（4分）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项目管理</w:t>
            </w: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资金到位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到位率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实际到位/计划到位×100%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根据项目实际到位资金占计划的比重计算得分（3分）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到位时效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资金是否及时到位；若未及时到位，是否影响项目进度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及时到位（2分），未及时到位但未影响项目进度（1.5分），未及时到位并影响项目进度（0-1分）。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资金管理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资金使用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是否存在支出依据不合规、虚列项目支出的情况；是否存在截留、挤占、挪用项目资金情况；是否存在超标准开支情况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虚列（套取）扣4-7分，支出依据不合规扣1分，截留、挤占、挪用扣3-6分，超标准开支扣2-5分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财务管理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资金管理、费用支出等制度是否健全，是否严格执行；会计核算是否规范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财务制度健全（1分），严格执行制度（1分），会计核算规范（1分）。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组织实施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组织机构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机构是否健全、分工是否明确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机构健全、分工明确（1分）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管理制度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是否建立健全项目管理制度；是否严格执行相关项目管理制度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建立健全项目管理制度（2分）；严格执行相关项目管理制度（7分）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项目绩效</w:t>
            </w: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产出数量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5 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项目产出数量是否达到绩效目标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对照绩效目标评价产出数量（5分）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产出质量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4 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项目产出质量是否达到绩效目标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对照绩效目标评价产出质量（4分）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产出时效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项目产出时效是否达到绩效目标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对照绩效目标评价产出时效（3分）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产出成本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项目产出成本是否按绩效目标控制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对照绩效目标评价产出成本（3分）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项目效果</w:t>
            </w:r>
          </w:p>
        </w:tc>
        <w:tc>
          <w:tcPr>
            <w:tcW w:w="3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经济效益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项目实施是否产生直接或间接经济效益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对照绩效目标评价经济效益（8分）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社会效益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项目实施是否产生社会综合效益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对照绩效目标评价社会效益（8分）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环境效益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项目实施是否对环境产生积极或消极影响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对照绩效目标评价环境效益（8分）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可持续影响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项目实施对人、自然、资源是否带来可持续影响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对照绩效目标评价可持续影响（8分）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服务对象满意度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项目预期服务对象对项目实施的满意程度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对照绩效目标评价服务对象满意度（8分）</w:t>
            </w: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总分</w:t>
            </w:r>
          </w:p>
        </w:tc>
        <w:tc>
          <w:tcPr>
            <w:tcW w:w="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2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D5399"/>
    <w:rsid w:val="165A08FB"/>
    <w:rsid w:val="1A4D5399"/>
    <w:rsid w:val="2CB20820"/>
    <w:rsid w:val="3A7D2A37"/>
    <w:rsid w:val="45030707"/>
    <w:rsid w:val="573D15ED"/>
    <w:rsid w:val="587A76C2"/>
    <w:rsid w:val="6D326151"/>
    <w:rsid w:val="759F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2020-10-29T04:58:00Z</dcterms:created>
  <dc:creator>Administrator</dc:creator>
  <cp:lastModifiedBy>相濡以沫</cp:lastModifiedBy>
  <dcterms:modified xsi:type="dcterms:W3CDTF">2022-01-25T08:01:25Z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BF0B063DDEDE4CC189D5E969D5C49EB2</vt:lpwstr>
  </property>
</Properties>
</file>