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6"/>
          <w:szCs w:val="36"/>
          <w:lang w:eastAsia="zh-CN"/>
        </w:rPr>
      </w:pPr>
      <w:r>
        <w:rPr>
          <w:rFonts w:hint="eastAsia"/>
          <w:b/>
          <w:sz w:val="36"/>
          <w:szCs w:val="36"/>
        </w:rPr>
        <w:t>湘潭县计划生育协会20</w:t>
      </w:r>
      <w:r>
        <w:rPr>
          <w:rFonts w:hint="eastAsia"/>
          <w:b/>
          <w:sz w:val="36"/>
          <w:szCs w:val="36"/>
          <w:lang w:val="en-US" w:eastAsia="zh-CN"/>
        </w:rPr>
        <w:t>19</w:t>
      </w:r>
      <w:r>
        <w:rPr>
          <w:rFonts w:hint="eastAsia"/>
          <w:b/>
          <w:sz w:val="36"/>
          <w:szCs w:val="36"/>
        </w:rPr>
        <w:t>年部门预算</w:t>
      </w:r>
      <w:r>
        <w:rPr>
          <w:rFonts w:hint="eastAsia"/>
          <w:b/>
          <w:sz w:val="36"/>
          <w:szCs w:val="36"/>
          <w:lang w:eastAsia="zh-CN"/>
        </w:rPr>
        <w:t>和“三公”经费预算公开</w:t>
      </w:r>
    </w:p>
    <w:p>
      <w:pPr>
        <w:jc w:val="center"/>
        <w:rPr>
          <w:rFonts w:hint="eastAsia"/>
          <w:b/>
          <w:sz w:val="36"/>
          <w:szCs w:val="36"/>
          <w:lang w:eastAsia="zh-CN"/>
        </w:rPr>
      </w:pPr>
    </w:p>
    <w:p>
      <w:pPr>
        <w:widowControl/>
        <w:spacing w:line="600" w:lineRule="exact"/>
        <w:jc w:val="center"/>
        <w:rPr>
          <w:rFonts w:eastAsia="黑体"/>
          <w:bCs/>
          <w:kern w:val="0"/>
          <w:sz w:val="32"/>
          <w:szCs w:val="32"/>
        </w:rPr>
      </w:pPr>
      <w:r>
        <w:rPr>
          <w:rFonts w:eastAsia="黑体"/>
          <w:bCs/>
          <w:kern w:val="0"/>
          <w:sz w:val="32"/>
          <w:szCs w:val="32"/>
        </w:rPr>
        <w:t>目 录</w:t>
      </w:r>
    </w:p>
    <w:p>
      <w:pPr>
        <w:widowControl/>
        <w:numPr>
          <w:ilvl w:val="0"/>
          <w:numId w:val="1"/>
        </w:numPr>
        <w:spacing w:line="600" w:lineRule="exact"/>
        <w:ind w:firstLine="643" w:firstLineChars="200"/>
        <w:rPr>
          <w:rFonts w:eastAsia="仿宋_GB2312"/>
          <w:b/>
          <w:bCs/>
          <w:kern w:val="0"/>
          <w:sz w:val="32"/>
          <w:szCs w:val="32"/>
        </w:rPr>
      </w:pPr>
      <w:r>
        <w:rPr>
          <w:rFonts w:hint="eastAsia" w:eastAsia="仿宋_GB2312"/>
          <w:b/>
          <w:bCs/>
          <w:kern w:val="0"/>
          <w:sz w:val="32"/>
          <w:szCs w:val="32"/>
          <w:lang w:val="en-US" w:eastAsia="zh-CN"/>
        </w:rPr>
        <w:t>2019</w:t>
      </w:r>
      <w:r>
        <w:rPr>
          <w:rFonts w:eastAsia="仿宋_GB2312"/>
          <w:b/>
          <w:bCs/>
          <w:kern w:val="0"/>
          <w:sz w:val="32"/>
          <w:szCs w:val="32"/>
        </w:rPr>
        <w:t>年部门预算说明</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一、部门基本概况</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二、部门预算单位构成</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三、部门收支总体情况</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四、一般公共预算拨款支出</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五、政府性基金预算支出</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六、其他重要事项的情况说明</w:t>
      </w:r>
    </w:p>
    <w:p>
      <w:pPr>
        <w:widowControl/>
        <w:spacing w:line="600" w:lineRule="exact"/>
        <w:ind w:firstLine="640" w:firstLineChars="200"/>
        <w:rPr>
          <w:rFonts w:hint="eastAsia" w:eastAsia="仿宋_GB2312"/>
          <w:kern w:val="0"/>
          <w:sz w:val="32"/>
          <w:szCs w:val="32"/>
        </w:rPr>
      </w:pPr>
      <w:r>
        <w:rPr>
          <w:rFonts w:hint="eastAsia" w:eastAsia="仿宋_GB2312"/>
          <w:kern w:val="0"/>
          <w:sz w:val="32"/>
          <w:szCs w:val="32"/>
        </w:rPr>
        <w:t>七、名词解释</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 xml:space="preserve">第二部分 </w:t>
      </w:r>
      <w:r>
        <w:rPr>
          <w:rFonts w:hint="eastAsia" w:eastAsia="仿宋_GB2312"/>
          <w:b/>
          <w:bCs/>
          <w:kern w:val="0"/>
          <w:sz w:val="32"/>
          <w:szCs w:val="32"/>
          <w:lang w:val="en-US" w:eastAsia="zh-CN"/>
        </w:rPr>
        <w:t>2019</w:t>
      </w:r>
      <w:r>
        <w:rPr>
          <w:rFonts w:eastAsia="仿宋_GB2312"/>
          <w:b/>
          <w:bCs/>
          <w:kern w:val="0"/>
          <w:sz w:val="32"/>
          <w:szCs w:val="32"/>
        </w:rPr>
        <w:t>年部门预算表</w:t>
      </w:r>
    </w:p>
    <w:p>
      <w:pPr>
        <w:widowControl/>
        <w:spacing w:line="600" w:lineRule="exact"/>
        <w:ind w:firstLine="640" w:firstLineChars="200"/>
        <w:rPr>
          <w:rFonts w:hint="eastAsia" w:eastAsia="仿宋_GB2312"/>
          <w:sz w:val="32"/>
          <w:szCs w:val="32"/>
        </w:rPr>
      </w:pPr>
      <w:r>
        <w:rPr>
          <w:rFonts w:hint="eastAsia" w:eastAsia="仿宋_GB2312"/>
          <w:sz w:val="32"/>
          <w:szCs w:val="32"/>
        </w:rPr>
        <w:t>1、部门收支总体情况表</w:t>
      </w:r>
    </w:p>
    <w:p>
      <w:pPr>
        <w:widowControl/>
        <w:spacing w:line="600" w:lineRule="exact"/>
        <w:ind w:firstLine="640" w:firstLineChars="200"/>
        <w:rPr>
          <w:rFonts w:hint="eastAsia" w:eastAsia="仿宋_GB2312"/>
          <w:sz w:val="32"/>
          <w:szCs w:val="32"/>
        </w:rPr>
      </w:pPr>
      <w:r>
        <w:rPr>
          <w:rFonts w:hint="eastAsia" w:eastAsia="仿宋_GB2312"/>
          <w:sz w:val="32"/>
          <w:szCs w:val="32"/>
        </w:rPr>
        <w:t>2、部门收入总体情况表</w:t>
      </w:r>
    </w:p>
    <w:p>
      <w:pPr>
        <w:widowControl/>
        <w:spacing w:line="600" w:lineRule="exact"/>
        <w:ind w:firstLine="640" w:firstLineChars="200"/>
        <w:rPr>
          <w:rFonts w:hint="eastAsia" w:eastAsia="仿宋_GB2312"/>
          <w:sz w:val="32"/>
          <w:szCs w:val="32"/>
        </w:rPr>
      </w:pPr>
      <w:r>
        <w:rPr>
          <w:rFonts w:hint="eastAsia" w:eastAsia="仿宋_GB2312"/>
          <w:sz w:val="32"/>
          <w:szCs w:val="32"/>
        </w:rPr>
        <w:t>3、部门支出总体情况表</w:t>
      </w:r>
    </w:p>
    <w:p>
      <w:pPr>
        <w:widowControl/>
        <w:spacing w:line="600" w:lineRule="exact"/>
        <w:ind w:firstLine="640" w:firstLineChars="200"/>
        <w:rPr>
          <w:rFonts w:hint="eastAsia" w:eastAsia="仿宋_GB2312"/>
          <w:sz w:val="32"/>
          <w:szCs w:val="32"/>
        </w:rPr>
      </w:pPr>
      <w:r>
        <w:rPr>
          <w:rFonts w:hint="eastAsia" w:eastAsia="仿宋_GB2312"/>
          <w:sz w:val="32"/>
          <w:szCs w:val="32"/>
        </w:rPr>
        <w:t>4、财政拨款收支情况表</w:t>
      </w:r>
    </w:p>
    <w:p>
      <w:pPr>
        <w:widowControl/>
        <w:spacing w:line="600" w:lineRule="exact"/>
        <w:ind w:firstLine="640" w:firstLineChars="200"/>
        <w:rPr>
          <w:rFonts w:hint="eastAsia" w:eastAsia="仿宋_GB2312"/>
          <w:sz w:val="32"/>
          <w:szCs w:val="32"/>
        </w:rPr>
      </w:pPr>
      <w:r>
        <w:rPr>
          <w:rFonts w:hint="eastAsia" w:eastAsia="仿宋_GB2312"/>
          <w:sz w:val="32"/>
          <w:szCs w:val="32"/>
        </w:rPr>
        <w:t>5、一般公共预算支出表</w:t>
      </w:r>
    </w:p>
    <w:p>
      <w:pPr>
        <w:widowControl/>
        <w:spacing w:line="600" w:lineRule="exact"/>
        <w:ind w:firstLine="640" w:firstLineChars="200"/>
        <w:rPr>
          <w:rFonts w:hint="eastAsia" w:eastAsia="仿宋_GB2312"/>
          <w:sz w:val="32"/>
          <w:szCs w:val="32"/>
        </w:rPr>
      </w:pPr>
      <w:r>
        <w:rPr>
          <w:rFonts w:hint="eastAsia" w:eastAsia="仿宋_GB2312"/>
          <w:sz w:val="32"/>
          <w:szCs w:val="32"/>
        </w:rPr>
        <w:t>6、一般公共预算基本支出表</w:t>
      </w:r>
    </w:p>
    <w:p>
      <w:pPr>
        <w:widowControl/>
        <w:spacing w:line="600" w:lineRule="exact"/>
        <w:ind w:firstLine="640" w:firstLineChars="200"/>
        <w:rPr>
          <w:rFonts w:hint="eastAsia" w:eastAsia="仿宋_GB2312"/>
          <w:sz w:val="32"/>
          <w:szCs w:val="32"/>
        </w:rPr>
      </w:pPr>
      <w:r>
        <w:rPr>
          <w:rFonts w:hint="eastAsia" w:eastAsia="仿宋_GB2312"/>
          <w:sz w:val="32"/>
          <w:szCs w:val="32"/>
        </w:rPr>
        <w:t>7、一般公共预算“三公”经费支出表</w:t>
      </w:r>
    </w:p>
    <w:p>
      <w:pPr>
        <w:widowControl/>
        <w:spacing w:line="600" w:lineRule="exact"/>
        <w:ind w:firstLine="640" w:firstLineChars="200"/>
        <w:rPr>
          <w:rFonts w:hint="eastAsia" w:eastAsia="仿宋_GB2312"/>
          <w:sz w:val="32"/>
          <w:szCs w:val="32"/>
        </w:rPr>
      </w:pPr>
      <w:r>
        <w:rPr>
          <w:rFonts w:hint="eastAsia" w:eastAsia="仿宋_GB2312"/>
          <w:sz w:val="32"/>
          <w:szCs w:val="32"/>
        </w:rPr>
        <w:t>8、政府性基金预算支出情况表</w:t>
      </w:r>
    </w:p>
    <w:p>
      <w:pPr>
        <w:widowControl/>
        <w:spacing w:line="600" w:lineRule="exact"/>
        <w:jc w:val="left"/>
        <w:rPr>
          <w:rFonts w:ascii="华文仿宋" w:hAnsi="华文仿宋" w:eastAsia="华文仿宋"/>
          <w:bCs/>
          <w:kern w:val="0"/>
          <w:sz w:val="32"/>
          <w:szCs w:val="32"/>
        </w:rPr>
      </w:pPr>
    </w:p>
    <w:p>
      <w:pPr>
        <w:jc w:val="center"/>
        <w:rPr>
          <w:rFonts w:hint="eastAsia" w:ascii="Times New Roman" w:hAnsi="Times New Roman" w:eastAsia="宋体" w:cs="Times New Roman"/>
          <w:b/>
          <w:sz w:val="36"/>
          <w:szCs w:val="36"/>
        </w:rPr>
      </w:pPr>
    </w:p>
    <w:p>
      <w:pPr>
        <w:widowControl/>
        <w:spacing w:line="600" w:lineRule="exact"/>
        <w:jc w:val="center"/>
        <w:rPr>
          <w:rFonts w:hint="eastAsia" w:ascii="Times New Roman" w:hAnsi="Times New Roman" w:eastAsia="方正小标宋_GBK" w:cs="Times New Roman"/>
          <w:bCs/>
          <w:kern w:val="0"/>
          <w:sz w:val="36"/>
          <w:szCs w:val="36"/>
        </w:rPr>
      </w:pPr>
      <w:r>
        <w:rPr>
          <w:rFonts w:hint="eastAsia" w:ascii="宋体" w:hAnsi="宋体" w:eastAsia="宋体" w:cs="Times New Roman"/>
          <w:b/>
          <w:bCs/>
          <w:sz w:val="28"/>
          <w:szCs w:val="28"/>
          <w:lang w:val="en-US" w:eastAsia="zh-CN"/>
        </w:rPr>
        <w:t>　</w:t>
      </w:r>
      <w:r>
        <w:rPr>
          <w:rFonts w:hint="eastAsia" w:ascii="Times New Roman" w:hAnsi="Times New Roman" w:eastAsia="方正小标宋_GBK" w:cs="Times New Roman"/>
          <w:bCs/>
          <w:kern w:val="0"/>
          <w:sz w:val="36"/>
          <w:szCs w:val="36"/>
          <w:lang w:val="en-US" w:eastAsia="zh-CN"/>
        </w:rPr>
        <w:t>第一部分  2019</w:t>
      </w:r>
      <w:r>
        <w:rPr>
          <w:rFonts w:hint="eastAsia" w:ascii="Times New Roman" w:hAnsi="Times New Roman" w:eastAsia="方正小标宋_GBK" w:cs="Times New Roman"/>
          <w:bCs/>
          <w:kern w:val="0"/>
          <w:sz w:val="36"/>
          <w:szCs w:val="36"/>
        </w:rPr>
        <w:t>年部门预算说明</w:t>
      </w:r>
    </w:p>
    <w:p>
      <w:pPr>
        <w:spacing w:line="520" w:lineRule="exact"/>
        <w:jc w:val="both"/>
        <w:rPr>
          <w:rFonts w:hint="eastAsia" w:ascii="仿宋" w:hAnsi="仿宋" w:eastAsia="仿宋" w:cs="仿宋"/>
          <w:sz w:val="32"/>
          <w:szCs w:val="32"/>
          <w:lang w:val="en-US" w:eastAsia="zh-CN"/>
        </w:rPr>
      </w:pPr>
    </w:p>
    <w:p>
      <w:pPr>
        <w:widowControl/>
        <w:spacing w:line="600" w:lineRule="exact"/>
        <w:ind w:firstLine="627" w:firstLineChars="196"/>
        <w:jc w:val="left"/>
        <w:rPr>
          <w:rFonts w:hint="eastAsia"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一、部门基本概况</w:t>
      </w:r>
    </w:p>
    <w:p>
      <w:pPr>
        <w:spacing w:line="520" w:lineRule="exact"/>
        <w:ind w:firstLine="321" w:firstLineChars="100"/>
        <w:jc w:val="left"/>
        <w:outlineLvl w:val="1"/>
        <w:rPr>
          <w:rFonts w:hint="eastAsia" w:ascii="仿宋" w:hAnsi="仿宋" w:eastAsia="仿宋" w:cs="仿宋"/>
          <w:sz w:val="32"/>
          <w:szCs w:val="32"/>
          <w:lang w:eastAsia="zh-CN"/>
        </w:rPr>
      </w:pPr>
      <w:r>
        <w:rPr>
          <w:rFonts w:hint="eastAsia" w:ascii="仿宋" w:hAnsi="仿宋" w:eastAsia="仿宋" w:cs="仿宋"/>
          <w:b/>
          <w:sz w:val="32"/>
          <w:szCs w:val="32"/>
        </w:rPr>
        <w:t>（一）职能职责</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负责宣传、贯彻落实国家、省、市有关计划生育的法律、法规和政策，协助政府有关部门推动计划生育工作；开展群众性计划生育宣传工作，广泛普及有关性与生殖健康、青春健康、计划生育、避孕节育和预防艾滋病等科学知识。</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2、负责组织会员发挥带头、宣传、服务、监督和交流的作用，开展计划生育“三结合”、幸福工程等项目和生育关怀行动，动员组织计生协会员和志愿者，为育龄群众提供生育、生活、生产服务和优生、优育、优教服务；在流动人口聚居区建立流动人口计划生育协会组织，为流动育龄群众提供生产、生活、生育、维权等多方面的指导与服务</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3、负责指导开展计生基层群众自治，组织和发动会员依法参与基层计划生育工作民主决策、民主管理、民主监督，依法维护会员及所联系的广大育龄群众的合法权益；指导全县各级计划生育协会的组织建设和业务工作。</w:t>
      </w:r>
    </w:p>
    <w:p>
      <w:pPr>
        <w:spacing w:line="520" w:lineRule="exact"/>
        <w:ind w:firstLine="643" w:firstLineChars="200"/>
        <w:jc w:val="left"/>
        <w:rPr>
          <w:rFonts w:hint="eastAsia" w:ascii="仿宋" w:hAnsi="仿宋" w:eastAsia="仿宋" w:cs="仿宋"/>
          <w:b/>
          <w:sz w:val="32"/>
          <w:szCs w:val="32"/>
        </w:rPr>
      </w:pPr>
      <w:r>
        <w:rPr>
          <w:rFonts w:hint="eastAsia" w:ascii="仿宋" w:hAnsi="仿宋" w:eastAsia="仿宋" w:cs="仿宋"/>
          <w:b/>
          <w:sz w:val="32"/>
          <w:szCs w:val="32"/>
        </w:rPr>
        <w:t>（二）机构设置</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湘潭县计划生育协会为群团组织，机构规格为正科级，属全额拨款参公事业单位，2个内设机构（办公室和业务指导股），现有在岗在编人数 6人，全部为财政统发人员 ，无退休人员，无公务用车。</w:t>
      </w:r>
    </w:p>
    <w:p>
      <w:pPr>
        <w:spacing w:line="520" w:lineRule="exact"/>
        <w:ind w:firstLine="640" w:firstLineChars="200"/>
        <w:jc w:val="left"/>
        <w:rPr>
          <w:rFonts w:hint="eastAsia" w:eastAsia="黑体"/>
          <w:sz w:val="32"/>
          <w:szCs w:val="32"/>
          <w:lang w:eastAsia="zh-CN"/>
        </w:rPr>
      </w:pPr>
      <w:r>
        <w:rPr>
          <w:rFonts w:hint="eastAsia" w:eastAsia="黑体"/>
          <w:sz w:val="32"/>
          <w:szCs w:val="32"/>
          <w:lang w:eastAsia="zh-CN"/>
        </w:rPr>
        <w:t>二、部门预算单位构成</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湘潭县计划生育协会只有本级，没有其他二级预算单位，因此，纳入2019年部门预算编制范围的只有湘潭县计划生育协会本级。</w:t>
      </w:r>
    </w:p>
    <w:p>
      <w:pPr>
        <w:widowControl/>
        <w:spacing w:line="600" w:lineRule="exact"/>
        <w:ind w:firstLine="660"/>
        <w:jc w:val="left"/>
        <w:rPr>
          <w:rFonts w:hint="eastAsia" w:eastAsia="黑体"/>
          <w:sz w:val="32"/>
          <w:szCs w:val="32"/>
          <w:lang w:eastAsia="zh-CN"/>
        </w:rPr>
      </w:pPr>
      <w:r>
        <w:rPr>
          <w:rFonts w:hint="eastAsia" w:eastAsia="黑体"/>
          <w:sz w:val="32"/>
          <w:szCs w:val="32"/>
          <w:lang w:eastAsia="zh-CN"/>
        </w:rPr>
        <w:t>三、部门收支总体情况</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（一）收入预算，2019年年初预算数143.59万元，其中本级财政补助收入143.59万元，上级补助收入0万元，上年结转收入0万元。收入较去年预算减少70.45万元，主要是上级补助预算收入减少。</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支出预算，2019年年初预算数143.59万元，其中：预算拨款安排支出143.59万元，纳入预算管理的非税收入安排支出0万元，上级补助收入安排支出0万元，其他资金（含上年结转收入）安排支出0万元。支出较去年预算减少70.45万元，主要是上级补助预算支出减少。</w:t>
      </w:r>
    </w:p>
    <w:p>
      <w:pPr>
        <w:widowControl/>
        <w:spacing w:line="600" w:lineRule="exact"/>
        <w:ind w:firstLine="660"/>
        <w:jc w:val="left"/>
        <w:rPr>
          <w:rFonts w:hint="eastAsia" w:eastAsia="黑体"/>
          <w:sz w:val="32"/>
          <w:szCs w:val="32"/>
          <w:lang w:eastAsia="zh-CN"/>
        </w:rPr>
      </w:pPr>
      <w:r>
        <w:rPr>
          <w:rFonts w:hint="eastAsia" w:eastAsia="黑体"/>
          <w:sz w:val="32"/>
          <w:szCs w:val="32"/>
          <w:lang w:eastAsia="zh-CN"/>
        </w:rPr>
        <w:t>四、一般公共预算拨款支出预算</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2019年一般公共预算拨款收入143.59万元，其中，一般公共服务支出143.59万元，占100 %，具体安排情况如下：</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（一）基本支出情况</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财政全额拨款人员工资福利支出58.96万元，商品服务支出 10.83万元，对个人和家庭补助支出0万元，合计为69.79万元。主要是为保障部门正常运转、完成日常工作任务而发生的各项支出，包括用于基本工资、津贴补贴等人员经费以及办公费、印刷费、水电费、办公设备购置等公用经费。</w:t>
      </w:r>
    </w:p>
    <w:p>
      <w:pPr>
        <w:numPr>
          <w:ilvl w:val="0"/>
          <w:numId w:val="2"/>
        </w:num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项目支出</w:t>
      </w:r>
    </w:p>
    <w:p>
      <w:pPr>
        <w:spacing w:line="520" w:lineRule="exact"/>
        <w:ind w:firstLine="640" w:firstLineChars="200"/>
        <w:jc w:val="left"/>
        <w:outlineLvl w:val="2"/>
        <w:rPr>
          <w:rFonts w:hint="eastAsia" w:ascii="仿宋" w:hAnsi="仿宋" w:eastAsia="仿宋" w:cs="仿宋"/>
          <w:sz w:val="32"/>
          <w:szCs w:val="32"/>
          <w:lang w:val="en-US" w:eastAsia="zh-CN"/>
        </w:rPr>
      </w:pPr>
      <w:r>
        <w:rPr>
          <w:rFonts w:hint="eastAsia" w:eastAsia="仿宋_GB2312"/>
          <w:color w:val="auto"/>
          <w:sz w:val="32"/>
          <w:szCs w:val="32"/>
        </w:rPr>
        <w:t>2019</w:t>
      </w:r>
      <w:r>
        <w:rPr>
          <w:rFonts w:eastAsia="仿宋_GB2312"/>
          <w:color w:val="auto"/>
          <w:sz w:val="32"/>
          <w:szCs w:val="32"/>
        </w:rPr>
        <w:t>年本部门项目支出预算</w:t>
      </w:r>
      <w:r>
        <w:rPr>
          <w:rFonts w:hint="eastAsia" w:eastAsia="仿宋_GB2312"/>
          <w:color w:val="auto"/>
          <w:sz w:val="32"/>
          <w:szCs w:val="32"/>
          <w:lang w:val="en-US" w:eastAsia="zh-CN"/>
        </w:rPr>
        <w:t>73.8</w:t>
      </w:r>
      <w:r>
        <w:rPr>
          <w:rFonts w:eastAsia="仿宋_GB2312"/>
          <w:color w:val="auto"/>
          <w:sz w:val="32"/>
          <w:szCs w:val="32"/>
        </w:rPr>
        <w:t>万元，</w:t>
      </w:r>
      <w:r>
        <w:rPr>
          <w:rFonts w:hint="eastAsia" w:ascii="仿宋" w:hAnsi="仿宋" w:eastAsia="仿宋" w:cs="仿宋"/>
          <w:sz w:val="32"/>
          <w:szCs w:val="32"/>
          <w:lang w:val="en-US" w:eastAsia="zh-CN"/>
        </w:rPr>
        <w:t>主要是部门为完成特定行政工作任务或事业发展目标而发生的支出，具体用于以下项目：</w:t>
      </w:r>
      <w:bookmarkStart w:id="0" w:name="_GoBack"/>
      <w:bookmarkEnd w:id="0"/>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（1）生育关怀资金23.8万元。用于支付: “两节”期间对计划生育困难家庭进行救助慰问；开展“5.29计生协会员活动日”系列活动，计生特困家庭慰问；开展创先争优评选活动，表彰奖励；根据计生贫困家庭的申报，县乡计生协调查核实，县级救助计生特殊困难家庭。</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（2）计划生育“三结合”项目9万元。用于支付：依据省市考核要求，县级创建计划生育“三结合”项目3个,每个项目点资金3万元。</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（3）乡镇、村计划生育协会队伍建设经费13万元。用于支付:乡、村常务副会长、秘书长培训；加强乡镇、村（社区、居）、企业、园区和流动人口计生协会组织和基础设施建设。</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计划生育基层群众自治经费10万元。根据湖南省人口计生领导小组和省计生协工作绩效考核实施方案及市相关文件，计生基层群众自治示范点创建活动纳入计划生育工作考核的重要内容。依据年初各乡镇申报的试点乡镇和村，年底评估验收，用于支付：创建计生基层群众自治示范点工作经费及对评为省、市、县基层群众自治示范乡镇和村给予适当奖励。</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协会宣教活动经费18万元。开展“生育关怀”、“5.29会员活动日”、“7.11世界人口日”、“9·26世界避孕日”、“12.1世界艾滋病日”等重大主题宣传活动，制作计划生育相关法律法规、条例、健康宣传折页和环保袋、脸盆、雨伞、水杯等群众喜爱的入户宣传品，通过集市宣传活动、举办生殖健康知识讲座等多种形式，发放到育龄群众手中，不断延伸宣传渠道，打造立体化的大宣传格局。用于支出：各项印刷费和宣传活动经费。</w:t>
      </w:r>
    </w:p>
    <w:p>
      <w:pPr>
        <w:widowControl/>
        <w:spacing w:line="600" w:lineRule="exact"/>
        <w:ind w:firstLine="660"/>
        <w:jc w:val="left"/>
        <w:rPr>
          <w:rFonts w:eastAsia="黑体"/>
          <w:sz w:val="32"/>
          <w:szCs w:val="32"/>
        </w:rPr>
      </w:pPr>
      <w:r>
        <w:rPr>
          <w:rFonts w:eastAsia="黑体"/>
          <w:sz w:val="32"/>
          <w:szCs w:val="32"/>
        </w:rPr>
        <w:t>五、政府性基金预算支出</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2019年无政府性基金安排的支出。</w:t>
      </w:r>
    </w:p>
    <w:p>
      <w:pPr>
        <w:widowControl/>
        <w:spacing w:line="600" w:lineRule="exact"/>
        <w:ind w:firstLine="660"/>
        <w:jc w:val="left"/>
        <w:rPr>
          <w:rFonts w:hint="eastAsia" w:eastAsia="黑体"/>
          <w:sz w:val="32"/>
          <w:szCs w:val="32"/>
        </w:rPr>
      </w:pPr>
      <w:r>
        <w:rPr>
          <w:rFonts w:hint="eastAsia" w:eastAsia="黑体"/>
          <w:sz w:val="32"/>
          <w:szCs w:val="32"/>
          <w:lang w:eastAsia="zh-CN"/>
        </w:rPr>
        <w:t>六</w:t>
      </w:r>
      <w:r>
        <w:rPr>
          <w:rFonts w:hint="eastAsia" w:eastAsia="黑体"/>
          <w:sz w:val="32"/>
          <w:szCs w:val="32"/>
        </w:rPr>
        <w:t>、其他重要事项的情况说明</w:t>
      </w:r>
    </w:p>
    <w:p>
      <w:pPr>
        <w:widowControl/>
        <w:spacing w:line="600" w:lineRule="exact"/>
        <w:ind w:firstLine="660"/>
        <w:jc w:val="left"/>
        <w:rPr>
          <w:rFonts w:hint="eastAsia" w:ascii="仿宋" w:hAnsi="仿宋" w:eastAsia="仿宋" w:cs="仿宋"/>
          <w:b w:val="0"/>
          <w:bCs/>
          <w:sz w:val="32"/>
          <w:szCs w:val="32"/>
          <w:lang w:val="en-US" w:eastAsia="zh-CN"/>
        </w:rPr>
      </w:pPr>
      <w:r>
        <w:rPr>
          <w:rFonts w:hint="eastAsia" w:ascii="仿宋" w:hAnsi="仿宋" w:eastAsia="仿宋" w:cs="仿宋"/>
          <w:b/>
          <w:sz w:val="32"/>
          <w:szCs w:val="32"/>
          <w:lang w:val="en-US" w:eastAsia="zh-CN"/>
        </w:rPr>
        <w:t>（一）机关运行经费：</w:t>
      </w:r>
      <w:r>
        <w:rPr>
          <w:rFonts w:hint="eastAsia" w:ascii="仿宋" w:hAnsi="仿宋" w:eastAsia="仿宋" w:cs="仿宋"/>
          <w:b w:val="0"/>
          <w:bCs/>
          <w:sz w:val="32"/>
          <w:szCs w:val="32"/>
          <w:lang w:val="en-US" w:eastAsia="zh-CN"/>
        </w:rPr>
        <w:t>2019年湘潭县计划生育协会本级的机关运行经费当年一般公共预算拨款10.83万元，比上年增加3.43万元，增幅46%（主要为增加的公车出行补助列入）。</w:t>
      </w:r>
    </w:p>
    <w:p>
      <w:pPr>
        <w:widowControl/>
        <w:spacing w:line="600" w:lineRule="exact"/>
        <w:ind w:firstLine="660"/>
        <w:jc w:val="left"/>
        <w:rPr>
          <w:rFonts w:hint="eastAsia" w:ascii="仿宋" w:hAnsi="仿宋" w:eastAsia="仿宋" w:cs="仿宋"/>
          <w:b w:val="0"/>
          <w:bCs/>
          <w:sz w:val="32"/>
          <w:szCs w:val="32"/>
          <w:lang w:val="en-US" w:eastAsia="zh-CN"/>
        </w:rPr>
      </w:pPr>
      <w:r>
        <w:rPr>
          <w:rFonts w:hint="eastAsia" w:ascii="仿宋" w:hAnsi="仿宋" w:eastAsia="仿宋" w:cs="仿宋"/>
          <w:b/>
          <w:sz w:val="32"/>
          <w:szCs w:val="32"/>
          <w:lang w:val="en-US" w:eastAsia="zh-CN"/>
        </w:rPr>
        <w:t>(二）“三公”经费预算:</w:t>
      </w:r>
      <w:r>
        <w:rPr>
          <w:rFonts w:hint="eastAsia" w:ascii="仿宋" w:hAnsi="仿宋" w:eastAsia="仿宋" w:cs="仿宋"/>
          <w:b w:val="0"/>
          <w:bCs/>
          <w:sz w:val="32"/>
          <w:szCs w:val="32"/>
          <w:lang w:val="en-US" w:eastAsia="zh-CN"/>
        </w:rPr>
        <w:t>2019年“三公”经费预算数为2.67万元，其中，公务接待费2.67万元，公务用车购置及运行费0万元（其中，公务用车购置费0万元，公务用车运行费0万元），因公出国（境）费0万元。与上年持平。</w:t>
      </w:r>
    </w:p>
    <w:p>
      <w:pPr>
        <w:widowControl/>
        <w:spacing w:line="600" w:lineRule="exact"/>
        <w:ind w:firstLine="660"/>
        <w:jc w:val="left"/>
        <w:rPr>
          <w:rFonts w:hint="eastAsia" w:ascii="仿宋" w:hAnsi="仿宋" w:eastAsia="仿宋" w:cs="仿宋"/>
          <w:b w:val="0"/>
          <w:bCs/>
          <w:sz w:val="32"/>
          <w:szCs w:val="32"/>
          <w:lang w:val="en-US" w:eastAsia="zh-CN"/>
        </w:rPr>
      </w:pPr>
      <w:r>
        <w:rPr>
          <w:rFonts w:hint="eastAsia" w:ascii="仿宋" w:hAnsi="仿宋" w:eastAsia="仿宋" w:cs="仿宋"/>
          <w:b/>
          <w:sz w:val="32"/>
          <w:szCs w:val="32"/>
          <w:lang w:val="en-US" w:eastAsia="zh-CN"/>
        </w:rPr>
        <w:t>（三）一般性支出情况：</w:t>
      </w:r>
      <w:r>
        <w:rPr>
          <w:rFonts w:hint="eastAsia" w:ascii="仿宋" w:hAnsi="仿宋" w:eastAsia="仿宋" w:cs="仿宋"/>
          <w:b w:val="0"/>
          <w:bCs/>
          <w:sz w:val="32"/>
          <w:szCs w:val="32"/>
          <w:lang w:val="en-US" w:eastAsia="zh-CN"/>
        </w:rPr>
        <w:t>2019年本部门会议费预算0万元；培训费预算0万元。</w:t>
      </w:r>
    </w:p>
    <w:p>
      <w:pPr>
        <w:widowControl/>
        <w:spacing w:line="600" w:lineRule="exact"/>
        <w:ind w:firstLine="660"/>
        <w:jc w:val="left"/>
        <w:rPr>
          <w:rFonts w:hint="eastAsia" w:ascii="仿宋" w:hAnsi="仿宋" w:eastAsia="仿宋" w:cs="仿宋"/>
          <w:b w:val="0"/>
          <w:bCs/>
          <w:sz w:val="32"/>
          <w:szCs w:val="32"/>
          <w:lang w:val="en-US" w:eastAsia="zh-CN"/>
        </w:rPr>
      </w:pPr>
      <w:r>
        <w:rPr>
          <w:rFonts w:hint="eastAsia" w:ascii="仿宋" w:hAnsi="仿宋" w:eastAsia="仿宋" w:cs="仿宋"/>
          <w:b/>
          <w:sz w:val="32"/>
          <w:szCs w:val="32"/>
        </w:rPr>
        <w:t>（四）政府采购情况：</w:t>
      </w:r>
      <w:r>
        <w:rPr>
          <w:rFonts w:hint="eastAsia" w:ascii="仿宋" w:hAnsi="仿宋" w:eastAsia="仿宋" w:cs="仿宋"/>
          <w:b w:val="0"/>
          <w:bCs/>
          <w:sz w:val="32"/>
          <w:szCs w:val="32"/>
          <w:lang w:val="en-US" w:eastAsia="zh-CN"/>
        </w:rPr>
        <w:t>2019年湘潭县计划生育协会政府采购预算总额15万元，其中：政府采购货物预算5万元、</w:t>
      </w:r>
      <w:r>
        <w:rPr>
          <w:rFonts w:hint="eastAsia" w:ascii="仿宋" w:hAnsi="仿宋" w:eastAsia="仿宋" w:cs="仿宋"/>
          <w:sz w:val="32"/>
          <w:szCs w:val="32"/>
          <w:lang w:val="en-US" w:eastAsia="zh-CN"/>
        </w:rPr>
        <w:t>工程类采购预算0万元；</w:t>
      </w:r>
      <w:r>
        <w:rPr>
          <w:rFonts w:hint="eastAsia" w:ascii="仿宋" w:hAnsi="仿宋" w:eastAsia="仿宋" w:cs="仿宋"/>
          <w:b w:val="0"/>
          <w:bCs/>
          <w:sz w:val="32"/>
          <w:szCs w:val="32"/>
          <w:lang w:val="en-US" w:eastAsia="zh-CN"/>
        </w:rPr>
        <w:t>政府采购服务预算10万元。</w:t>
      </w:r>
    </w:p>
    <w:p>
      <w:pPr>
        <w:widowControl/>
        <w:spacing w:line="600" w:lineRule="exact"/>
        <w:ind w:firstLine="660"/>
        <w:jc w:val="left"/>
        <w:rPr>
          <w:rFonts w:hint="eastAsia" w:ascii="仿宋" w:hAnsi="仿宋" w:eastAsia="仿宋" w:cs="仿宋"/>
          <w:bCs/>
          <w:kern w:val="0"/>
          <w:sz w:val="32"/>
          <w:szCs w:val="32"/>
          <w:u w:val="none"/>
        </w:rPr>
      </w:pPr>
      <w:r>
        <w:rPr>
          <w:rFonts w:hint="eastAsia" w:ascii="仿宋" w:hAnsi="仿宋" w:eastAsia="仿宋" w:cs="仿宋"/>
          <w:b/>
          <w:sz w:val="32"/>
          <w:szCs w:val="32"/>
        </w:rPr>
        <w:t>（五）国有资产占用使用及新增资产配置情况：</w:t>
      </w:r>
      <w:r>
        <w:rPr>
          <w:rFonts w:hint="eastAsia" w:ascii="仿宋" w:hAnsi="仿宋" w:eastAsia="仿宋" w:cs="仿宋"/>
          <w:sz w:val="32"/>
          <w:szCs w:val="32"/>
        </w:rPr>
        <w:t>截至</w:t>
      </w:r>
      <w:r>
        <w:rPr>
          <w:rFonts w:hint="eastAsia" w:ascii="仿宋" w:hAnsi="仿宋" w:eastAsia="仿宋" w:cs="仿宋"/>
          <w:sz w:val="32"/>
          <w:szCs w:val="32"/>
          <w:u w:val="none"/>
        </w:rPr>
        <w:t>20</w:t>
      </w:r>
      <w:r>
        <w:rPr>
          <w:rFonts w:hint="eastAsia" w:ascii="仿宋" w:hAnsi="仿宋" w:eastAsia="仿宋" w:cs="仿宋"/>
          <w:sz w:val="32"/>
          <w:szCs w:val="32"/>
          <w:u w:val="none"/>
          <w:lang w:val="en-US" w:eastAsia="zh-CN"/>
        </w:rPr>
        <w:t>18</w:t>
      </w:r>
      <w:r>
        <w:rPr>
          <w:rFonts w:hint="eastAsia" w:ascii="仿宋" w:hAnsi="仿宋" w:eastAsia="仿宋" w:cs="仿宋"/>
          <w:sz w:val="32"/>
          <w:szCs w:val="32"/>
          <w:u w:val="none"/>
        </w:rPr>
        <w:t>年12月底，本部门</w:t>
      </w:r>
      <w:r>
        <w:rPr>
          <w:rFonts w:hint="eastAsia" w:ascii="仿宋" w:hAnsi="仿宋" w:eastAsia="仿宋" w:cs="仿宋"/>
          <w:bCs/>
          <w:kern w:val="0"/>
          <w:sz w:val="32"/>
          <w:szCs w:val="32"/>
          <w:u w:val="none"/>
        </w:rPr>
        <w:t>共有公务用车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辆，其中，机要通信用车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辆，应急保障用车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辆，执法执勤用车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辆，特种专业技术用车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辆，其他按照规定配备的公务用车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辆；单位价值50万元以上通用设备</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台，单位价值100万元以上专用设备</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台。</w:t>
      </w:r>
      <w:r>
        <w:rPr>
          <w:rFonts w:hint="eastAsia" w:ascii="仿宋" w:hAnsi="仿宋" w:eastAsia="仿宋" w:cs="仿宋"/>
          <w:bCs/>
          <w:kern w:val="0"/>
          <w:sz w:val="32"/>
          <w:szCs w:val="32"/>
          <w:u w:val="none"/>
          <w:lang w:val="en-US" w:eastAsia="zh-CN"/>
        </w:rPr>
        <w:t>2019</w:t>
      </w:r>
      <w:r>
        <w:rPr>
          <w:rFonts w:hint="eastAsia" w:ascii="仿宋" w:hAnsi="仿宋" w:eastAsia="仿宋" w:cs="仿宋"/>
          <w:bCs/>
          <w:kern w:val="0"/>
          <w:sz w:val="32"/>
          <w:szCs w:val="32"/>
          <w:u w:val="none"/>
        </w:rPr>
        <w:t>年拟新增配置公务用车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辆，其中，机要通信用车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辆，应急保障用车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辆，执法执勤用车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辆，特种专业技术用车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辆，其他按照规定配备的公务用车</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辆；新增配备单位价值50万元以上通用设备</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台，单位价值100万元以上专用设备</w:t>
      </w:r>
      <w:r>
        <w:rPr>
          <w:rFonts w:hint="eastAsia" w:ascii="仿宋" w:hAnsi="仿宋" w:eastAsia="仿宋" w:cs="仿宋"/>
          <w:bCs/>
          <w:kern w:val="0"/>
          <w:sz w:val="32"/>
          <w:szCs w:val="32"/>
          <w:u w:val="none"/>
          <w:lang w:val="en-US" w:eastAsia="zh-CN"/>
        </w:rPr>
        <w:t>0</w:t>
      </w:r>
      <w:r>
        <w:rPr>
          <w:rFonts w:hint="eastAsia" w:ascii="仿宋" w:hAnsi="仿宋" w:eastAsia="仿宋" w:cs="仿宋"/>
          <w:bCs/>
          <w:kern w:val="0"/>
          <w:sz w:val="32"/>
          <w:szCs w:val="32"/>
          <w:u w:val="none"/>
        </w:rPr>
        <w:t>台。</w:t>
      </w:r>
    </w:p>
    <w:p>
      <w:pPr>
        <w:widowControl/>
        <w:spacing w:line="600" w:lineRule="exact"/>
        <w:ind w:firstLine="660"/>
        <w:jc w:val="left"/>
        <w:rPr>
          <w:rFonts w:hint="eastAsia" w:ascii="仿宋" w:hAnsi="仿宋" w:eastAsia="仿宋" w:cs="仿宋"/>
          <w:bCs/>
          <w:kern w:val="0"/>
          <w:sz w:val="32"/>
          <w:szCs w:val="32"/>
          <w:u w:val="none"/>
          <w:lang w:val="en-US" w:eastAsia="zh-CN"/>
        </w:rPr>
      </w:pPr>
      <w:r>
        <w:rPr>
          <w:rFonts w:hint="eastAsia" w:ascii="仿宋" w:hAnsi="仿宋" w:eastAsia="仿宋" w:cs="仿宋"/>
          <w:b/>
          <w:bCs/>
          <w:kern w:val="0"/>
          <w:sz w:val="32"/>
          <w:szCs w:val="32"/>
          <w:u w:val="none"/>
        </w:rPr>
        <w:t>（六）预算绩效目标说明：</w:t>
      </w:r>
      <w:r>
        <w:rPr>
          <w:rFonts w:hint="eastAsia" w:ascii="仿宋" w:hAnsi="仿宋" w:eastAsia="仿宋" w:cs="仿宋"/>
          <w:bCs/>
          <w:kern w:val="0"/>
          <w:sz w:val="32"/>
          <w:szCs w:val="32"/>
          <w:u w:val="none"/>
          <w:lang w:val="en-US" w:eastAsia="zh-CN"/>
        </w:rPr>
        <w:t>本部门所有支出实行绩效目标管理，涉及一般公共预算当年拨款143.59万元。纳入2019年部门整体支出绩效目标的金额为143.59万元，其中，基本支出69.79万元，项目支出73.80万元。</w:t>
      </w:r>
    </w:p>
    <w:p>
      <w:pPr>
        <w:spacing w:line="52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2019年县计生协无重点项目预算的绩效目标。</w:t>
      </w:r>
    </w:p>
    <w:p>
      <w:pPr>
        <w:widowControl/>
        <w:spacing w:line="600" w:lineRule="exact"/>
        <w:ind w:firstLine="660"/>
        <w:jc w:val="left"/>
        <w:rPr>
          <w:rFonts w:hint="eastAsia" w:eastAsia="黑体"/>
          <w:sz w:val="32"/>
          <w:szCs w:val="32"/>
        </w:rPr>
      </w:pPr>
      <w:r>
        <w:rPr>
          <w:rFonts w:hint="eastAsia" w:eastAsia="黑体"/>
          <w:sz w:val="32"/>
          <w:szCs w:val="32"/>
          <w:lang w:eastAsia="zh-CN"/>
        </w:rPr>
        <w:t>七</w:t>
      </w:r>
      <w:r>
        <w:rPr>
          <w:rFonts w:hint="eastAsia" w:eastAsia="黑体"/>
          <w:sz w:val="32"/>
          <w:szCs w:val="32"/>
        </w:rPr>
        <w:t>、名词解释</w:t>
      </w:r>
    </w:p>
    <w:p>
      <w:pPr>
        <w:widowControl/>
        <w:spacing w:line="600" w:lineRule="exact"/>
        <w:ind w:firstLine="660"/>
        <w:jc w:val="left"/>
        <w:rPr>
          <w:rFonts w:hint="eastAsia" w:ascii="仿宋" w:hAnsi="仿宋" w:eastAsia="仿宋" w:cs="仿宋"/>
          <w:bCs/>
          <w:kern w:val="0"/>
          <w:sz w:val="32"/>
          <w:szCs w:val="32"/>
          <w:u w:val="none"/>
          <w:lang w:val="en-US" w:eastAsia="zh-CN"/>
        </w:rPr>
      </w:pPr>
      <w:r>
        <w:rPr>
          <w:rFonts w:hint="eastAsia" w:ascii="仿宋" w:hAnsi="仿宋" w:eastAsia="仿宋" w:cs="仿宋"/>
          <w:bCs/>
          <w:kern w:val="0"/>
          <w:sz w:val="32"/>
          <w:szCs w:val="32"/>
          <w:u w:val="none"/>
          <w:lang w:val="en-US" w:eastAsia="zh-CN"/>
        </w:rPr>
        <w:t>　1、一般公共预算拨款收入：指财政年初预算下达的资金。</w:t>
      </w:r>
    </w:p>
    <w:p>
      <w:pPr>
        <w:widowControl/>
        <w:spacing w:line="600" w:lineRule="exact"/>
        <w:ind w:firstLine="660"/>
        <w:jc w:val="left"/>
        <w:rPr>
          <w:rFonts w:hint="eastAsia" w:ascii="仿宋" w:hAnsi="仿宋" w:eastAsia="仿宋" w:cs="仿宋"/>
          <w:bCs/>
          <w:kern w:val="0"/>
          <w:sz w:val="32"/>
          <w:szCs w:val="32"/>
          <w:u w:val="none"/>
          <w:lang w:val="en-US" w:eastAsia="zh-CN"/>
        </w:rPr>
      </w:pPr>
      <w:r>
        <w:rPr>
          <w:rFonts w:hint="eastAsia" w:ascii="仿宋" w:hAnsi="仿宋" w:eastAsia="仿宋" w:cs="仿宋"/>
          <w:bCs/>
          <w:kern w:val="0"/>
          <w:sz w:val="32"/>
          <w:szCs w:val="32"/>
          <w:u w:val="none"/>
          <w:lang w:val="en-US" w:eastAsia="zh-CN"/>
        </w:rPr>
        <w:t>　2、基本支出：指为保障机构正常运转、完成日常工作任务而发生的人员支出和公用支出。</w:t>
      </w:r>
    </w:p>
    <w:p>
      <w:pPr>
        <w:widowControl/>
        <w:spacing w:line="600" w:lineRule="exact"/>
        <w:ind w:firstLine="660"/>
        <w:jc w:val="left"/>
        <w:rPr>
          <w:rFonts w:hint="eastAsia" w:ascii="仿宋" w:hAnsi="仿宋" w:eastAsia="仿宋" w:cs="仿宋"/>
          <w:bCs/>
          <w:kern w:val="0"/>
          <w:sz w:val="32"/>
          <w:szCs w:val="32"/>
          <w:u w:val="none"/>
          <w:lang w:val="en-US" w:eastAsia="zh-CN"/>
        </w:rPr>
      </w:pPr>
      <w:r>
        <w:rPr>
          <w:rFonts w:hint="eastAsia" w:ascii="仿宋" w:hAnsi="仿宋" w:eastAsia="仿宋" w:cs="仿宋"/>
          <w:bCs/>
          <w:kern w:val="0"/>
          <w:sz w:val="32"/>
          <w:szCs w:val="32"/>
          <w:u w:val="none"/>
          <w:lang w:val="en-US" w:eastAsia="zh-CN"/>
        </w:rPr>
        <w:t>　3、项目支出：指在基本支出之外为完成特定行政任务和事业发展目标所发生的支出。</w:t>
      </w:r>
    </w:p>
    <w:p>
      <w:pPr>
        <w:widowControl/>
        <w:spacing w:line="600" w:lineRule="exact"/>
        <w:ind w:firstLine="660"/>
        <w:jc w:val="left"/>
        <w:rPr>
          <w:rFonts w:hint="eastAsia" w:ascii="仿宋" w:hAnsi="仿宋" w:eastAsia="仿宋" w:cs="仿宋"/>
          <w:bCs/>
          <w:kern w:val="0"/>
          <w:sz w:val="32"/>
          <w:szCs w:val="32"/>
          <w:u w:val="none"/>
          <w:lang w:val="en-US" w:eastAsia="zh-CN"/>
        </w:rPr>
      </w:pPr>
      <w:r>
        <w:rPr>
          <w:rFonts w:hint="eastAsia" w:ascii="仿宋" w:hAnsi="仿宋" w:eastAsia="仿宋" w:cs="仿宋"/>
          <w:bCs/>
          <w:kern w:val="0"/>
          <w:sz w:val="32"/>
          <w:szCs w:val="32"/>
          <w:u w:val="none"/>
          <w:lang w:val="en-US" w:eastAsia="zh-CN"/>
        </w:rPr>
        <w:t>　4、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pPr>
        <w:widowControl/>
        <w:spacing w:line="600" w:lineRule="exact"/>
        <w:ind w:firstLine="660"/>
        <w:jc w:val="left"/>
        <w:rPr>
          <w:rFonts w:hint="eastAsia" w:ascii="仿宋" w:hAnsi="仿宋" w:eastAsia="仿宋" w:cs="仿宋"/>
          <w:bCs/>
          <w:kern w:val="0"/>
          <w:sz w:val="32"/>
          <w:szCs w:val="32"/>
          <w:u w:val="none"/>
          <w:lang w:val="en-US" w:eastAsia="zh-CN"/>
        </w:rPr>
      </w:pPr>
      <w:r>
        <w:rPr>
          <w:rFonts w:hint="eastAsia" w:ascii="仿宋" w:hAnsi="仿宋" w:eastAsia="仿宋" w:cs="仿宋"/>
          <w:bCs/>
          <w:kern w:val="0"/>
          <w:sz w:val="32"/>
          <w:szCs w:val="32"/>
          <w:u w:val="none"/>
          <w:lang w:val="en-US" w:eastAsia="zh-CN"/>
        </w:rPr>
        <w:t>　5、“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ind w:firstLine="660"/>
        <w:jc w:val="left"/>
        <w:rPr>
          <w:rFonts w:hint="eastAsia" w:ascii="仿宋" w:hAnsi="仿宋" w:eastAsia="仿宋" w:cs="仿宋"/>
          <w:bCs/>
          <w:kern w:val="0"/>
          <w:sz w:val="32"/>
          <w:szCs w:val="32"/>
          <w:u w:val="none"/>
          <w:lang w:val="en-US" w:eastAsia="zh-CN"/>
        </w:rPr>
      </w:pPr>
      <w:r>
        <w:rPr>
          <w:rFonts w:hint="eastAsia" w:ascii="仿宋" w:hAnsi="仿宋" w:eastAsia="仿宋" w:cs="仿宋"/>
          <w:bCs/>
          <w:kern w:val="0"/>
          <w:sz w:val="32"/>
          <w:szCs w:val="32"/>
          <w:u w:val="none"/>
          <w:lang w:val="en-US" w:eastAsia="zh-CN"/>
        </w:rPr>
        <w:t>　　</w:t>
      </w:r>
    </w:p>
    <w:p>
      <w:pPr>
        <w:widowControl/>
        <w:spacing w:line="600" w:lineRule="exact"/>
        <w:ind w:firstLine="660"/>
        <w:jc w:val="left"/>
        <w:rPr>
          <w:rFonts w:hint="eastAsia" w:ascii="仿宋" w:hAnsi="仿宋" w:eastAsia="仿宋" w:cs="仿宋"/>
          <w:bCs/>
          <w:kern w:val="0"/>
          <w:sz w:val="32"/>
          <w:szCs w:val="32"/>
          <w:u w:val="none"/>
          <w:lang w:val="en-US" w:eastAsia="zh-CN"/>
        </w:rPr>
      </w:pPr>
      <w:r>
        <w:rPr>
          <w:rFonts w:hint="eastAsia" w:ascii="仿宋" w:hAnsi="仿宋" w:eastAsia="仿宋" w:cs="仿宋"/>
          <w:bCs/>
          <w:kern w:val="0"/>
          <w:sz w:val="32"/>
          <w:szCs w:val="32"/>
          <w:u w:val="none"/>
          <w:lang w:val="en-US" w:eastAsia="zh-CN"/>
        </w:rPr>
        <w:t>　　</w:t>
      </w: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spacing w:line="520" w:lineRule="exact"/>
        <w:jc w:val="both"/>
        <w:rPr>
          <w:rFonts w:hint="eastAsia" w:ascii="宋体" w:hAnsi="宋体" w:eastAsia="宋体" w:cs="Times New Roman"/>
          <w:b/>
          <w:bCs/>
          <w:sz w:val="28"/>
          <w:szCs w:val="28"/>
          <w:lang w:val="en-US" w:eastAsia="zh-CN"/>
        </w:rPr>
      </w:pPr>
    </w:p>
    <w:p>
      <w:pPr>
        <w:widowControl/>
        <w:spacing w:line="600" w:lineRule="exact"/>
        <w:ind w:firstLine="720" w:firstLineChars="200"/>
        <w:jc w:val="center"/>
        <w:rPr>
          <w:rFonts w:ascii="Times New Roman" w:hAnsi="Times New Roman" w:eastAsia="方正小标宋_GBK" w:cs="Times New Roman"/>
          <w:bCs/>
          <w:kern w:val="0"/>
          <w:sz w:val="36"/>
          <w:szCs w:val="36"/>
        </w:rPr>
      </w:pPr>
    </w:p>
    <w:p>
      <w:pPr>
        <w:widowControl/>
        <w:spacing w:line="600" w:lineRule="exact"/>
        <w:ind w:firstLine="720" w:firstLineChars="200"/>
        <w:jc w:val="center"/>
        <w:rPr>
          <w:rFonts w:ascii="Times New Roman" w:hAnsi="Times New Roman" w:eastAsia="方正小标宋_GBK" w:cs="Times New Roman"/>
          <w:bCs/>
          <w:kern w:val="0"/>
          <w:sz w:val="36"/>
          <w:szCs w:val="36"/>
        </w:rPr>
      </w:pPr>
    </w:p>
    <w:p>
      <w:pPr>
        <w:widowControl/>
        <w:spacing w:line="600" w:lineRule="exact"/>
        <w:ind w:firstLine="720" w:firstLineChars="200"/>
        <w:jc w:val="center"/>
        <w:rPr>
          <w:rFonts w:ascii="Times New Roman" w:hAnsi="Times New Roman" w:eastAsia="方正小标宋_GBK" w:cs="Times New Roman"/>
          <w:bCs/>
          <w:kern w:val="0"/>
          <w:sz w:val="36"/>
          <w:szCs w:val="36"/>
        </w:rPr>
      </w:pPr>
      <w:r>
        <w:rPr>
          <w:rFonts w:ascii="Times New Roman" w:hAnsi="Times New Roman" w:eastAsia="方正小标宋_GBK" w:cs="Times New Roman"/>
          <w:bCs/>
          <w:kern w:val="0"/>
          <w:sz w:val="36"/>
          <w:szCs w:val="36"/>
        </w:rPr>
        <w:t xml:space="preserve">第二部分 </w:t>
      </w:r>
      <w:r>
        <w:rPr>
          <w:rFonts w:hint="eastAsia" w:ascii="Times New Roman" w:hAnsi="Times New Roman" w:eastAsia="方正小标宋_GBK" w:cs="Times New Roman"/>
          <w:bCs/>
          <w:kern w:val="0"/>
          <w:sz w:val="36"/>
          <w:szCs w:val="36"/>
          <w:lang w:val="en-US" w:eastAsia="zh-CN"/>
        </w:rPr>
        <w:t>2019</w:t>
      </w:r>
      <w:r>
        <w:rPr>
          <w:rFonts w:ascii="Times New Roman" w:hAnsi="Times New Roman" w:eastAsia="方正小标宋_GBK" w:cs="Times New Roman"/>
          <w:bCs/>
          <w:kern w:val="0"/>
          <w:sz w:val="36"/>
          <w:szCs w:val="36"/>
        </w:rPr>
        <w:t>年部门预算表</w:t>
      </w:r>
    </w:p>
    <w:p>
      <w:pPr>
        <w:spacing w:line="520" w:lineRule="exact"/>
        <w:jc w:val="both"/>
        <w:rPr>
          <w:rFonts w:hint="eastAsia" w:ascii="宋体" w:hAnsi="宋体" w:eastAsia="宋体" w:cs="Times New Roman"/>
          <w:b/>
          <w:bCs/>
          <w:sz w:val="28"/>
          <w:szCs w:val="28"/>
          <w:lang w:val="en-US" w:eastAsia="zh-CN"/>
        </w:rPr>
      </w:pPr>
    </w:p>
    <w:p>
      <w:pPr>
        <w:widowControl/>
        <w:snapToGrid w:val="0"/>
        <w:spacing w:line="560" w:lineRule="exact"/>
        <w:jc w:val="center"/>
        <w:rPr>
          <w:rFonts w:hint="eastAsia" w:ascii="宋体" w:hAnsi="宋体" w:eastAsia="宋体" w:cs="Times New Roman"/>
          <w:b/>
          <w:sz w:val="32"/>
          <w:szCs w:val="32"/>
        </w:rPr>
      </w:pPr>
      <w:r>
        <w:rPr>
          <w:rFonts w:hint="eastAsia" w:ascii="宋体" w:hAnsi="宋体" w:eastAsia="宋体" w:cs="Times New Roman"/>
          <w:b/>
          <w:sz w:val="32"/>
          <w:szCs w:val="32"/>
        </w:rPr>
        <w:t>湘潭县计划生育协会2019年度部门预算表</w:t>
      </w:r>
    </w:p>
    <w:p>
      <w:pPr>
        <w:jc w:val="center"/>
        <w:rPr>
          <w:rFonts w:hint="eastAsia" w:ascii="Times New Roman" w:hAnsi="Times New Roman" w:eastAsia="楷体_GB2312" w:cs="Times New Roman"/>
          <w:b/>
          <w:color w:val="000000"/>
          <w:kern w:val="0"/>
          <w:sz w:val="30"/>
          <w:szCs w:val="30"/>
        </w:rPr>
      </w:pPr>
      <w:r>
        <w:rPr>
          <w:rFonts w:hint="eastAsia" w:ascii="Times New Roman" w:hAnsi="Times New Roman" w:eastAsia="楷体_GB2312" w:cs="Times New Roman"/>
          <w:b/>
          <w:color w:val="000000"/>
          <w:kern w:val="0"/>
          <w:sz w:val="30"/>
          <w:szCs w:val="30"/>
        </w:rPr>
        <w:t>部门预算和“三公”经费预算公开表格（表</w:t>
      </w:r>
      <w:r>
        <w:rPr>
          <w:rFonts w:hint="eastAsia" w:ascii="Times New Roman" w:hAnsi="Times New Roman" w:eastAsia="楷体_GB2312" w:cs="Times New Roman"/>
          <w:b/>
          <w:color w:val="000000"/>
          <w:kern w:val="0"/>
          <w:sz w:val="30"/>
          <w:szCs w:val="30"/>
          <w:lang w:val="en-US" w:eastAsia="zh-CN"/>
        </w:rPr>
        <w:t>1</w:t>
      </w:r>
      <w:r>
        <w:rPr>
          <w:rFonts w:hint="eastAsia" w:ascii="Times New Roman" w:hAnsi="Times New Roman" w:eastAsia="楷体_GB2312" w:cs="Times New Roman"/>
          <w:b/>
          <w:color w:val="000000"/>
          <w:kern w:val="0"/>
          <w:sz w:val="30"/>
          <w:szCs w:val="30"/>
        </w:rPr>
        <w:t>）</w:t>
      </w:r>
    </w:p>
    <w:p>
      <w:pPr>
        <w:jc w:val="center"/>
        <w:outlineLvl w:val="0"/>
        <w:rPr>
          <w:rFonts w:hint="eastAsia" w:ascii="Calibri" w:hAnsi="Calibri" w:eastAsia="方正小标宋简体" w:cs="Times New Roman"/>
          <w:color w:val="000000"/>
          <w:kern w:val="0"/>
          <w:sz w:val="40"/>
          <w:szCs w:val="40"/>
        </w:rPr>
      </w:pPr>
      <w:r>
        <w:rPr>
          <w:rFonts w:hint="eastAsia" w:ascii="Times New Roman" w:hAnsi="Times New Roman" w:eastAsia="楷体_GB2312" w:cs="Times New Roman"/>
          <w:b/>
          <w:color w:val="000000"/>
          <w:kern w:val="0"/>
          <w:sz w:val="30"/>
          <w:szCs w:val="30"/>
        </w:rPr>
        <w:t>　　</w:t>
      </w:r>
      <w:r>
        <w:rPr>
          <w:rFonts w:hint="eastAsia" w:ascii="Calibri" w:hAnsi="Calibri" w:eastAsia="方正小标宋简体" w:cs="Times New Roman"/>
          <w:color w:val="000000"/>
          <w:kern w:val="0"/>
          <w:sz w:val="40"/>
          <w:szCs w:val="40"/>
        </w:rPr>
        <w:t>部门收支总表</w:t>
      </w:r>
    </w:p>
    <w:p>
      <w:pPr>
        <w:pStyle w:val="7"/>
        <w:keepNext w:val="0"/>
        <w:keepLines w:val="0"/>
        <w:widowControl/>
        <w:suppressLineNumbers w:val="0"/>
        <w:spacing w:before="586" w:beforeAutospacing="0" w:after="30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sz w:val="24"/>
          <w:szCs w:val="24"/>
          <w:shd w:val="clear" w:fill="FFFFFF"/>
        </w:rPr>
        <w:t>　　单位：万元</w:t>
      </w:r>
    </w:p>
    <w:tbl>
      <w:tblPr>
        <w:tblStyle w:val="8"/>
        <w:tblW w:w="8319"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188"/>
        <w:gridCol w:w="1438"/>
        <w:gridCol w:w="2785"/>
        <w:gridCol w:w="9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4626" w:type="dxa"/>
            <w:gridSpan w:val="2"/>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收入</w:t>
            </w:r>
          </w:p>
        </w:tc>
        <w:tc>
          <w:tcPr>
            <w:tcW w:w="3693" w:type="dxa"/>
            <w:gridSpan w:val="2"/>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支出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c>
          <w:tcPr>
            <w:tcW w:w="2785"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一、一般公共预算拨款</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143.59</w:t>
            </w: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一、本年支出</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143.59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经费拨款</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143.59</w:t>
            </w: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（一）一般公共服务支出</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61" w:hRule="atLeast"/>
        </w:trPr>
        <w:tc>
          <w:tcPr>
            <w:tcW w:w="3188"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纳入一般公共预算管理的非税收入拨款</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（二）国防支出</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二、政府性基金收入</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（三）公共安全支出</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trPr>
        <w:tc>
          <w:tcPr>
            <w:tcW w:w="3188"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三、纳入专户管理的非税收入拨款</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（四）教育支出</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四、上级补助收入</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（五）科学技术支出</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五、其他收入</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（六）文化体育与传媒支出</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（七）社会保障和就业支出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lang w:eastAsia="zh-CN"/>
              </w:rPr>
            </w:pPr>
            <w:r>
              <w:rPr>
                <w:rFonts w:hint="eastAsia" w:ascii="Calibri" w:hAnsi="Calibri" w:eastAsia="宋体" w:cs="Times New Roman"/>
                <w:color w:val="000000"/>
                <w:kern w:val="0"/>
                <w:szCs w:val="21"/>
              </w:rPr>
              <w:t>（八）</w:t>
            </w:r>
            <w:r>
              <w:rPr>
                <w:rFonts w:hint="eastAsia" w:ascii="Calibri" w:hAnsi="Calibri" w:eastAsia="宋体" w:cs="Times New Roman"/>
                <w:color w:val="000000"/>
                <w:kern w:val="0"/>
                <w:szCs w:val="21"/>
                <w:lang w:eastAsia="zh-CN"/>
              </w:rPr>
              <w:t>卫生健康支出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143.59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（九）节能环保支出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（十）城乡社区支出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（十一）农林水支出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（十二）交通运输支出</w:t>
            </w:r>
          </w:p>
        </w:tc>
        <w:tc>
          <w:tcPr>
            <w:tcW w:w="908" w:type="dxa"/>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（十三）资源勘探信息等支出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（十四）商业服务业等支出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（十五）金融支出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（十六）国土海洋气象等支出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（十七）住房保障支出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（十八）粮油物资储备支出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bottom"/>
          </w:tcPr>
          <w:p>
            <w:pPr>
              <w:widowControl/>
              <w:jc w:val="center"/>
              <w:rPr>
                <w:rFonts w:hint="eastAsia" w:ascii="Calibri" w:hAnsi="Calibri" w:eastAsia="宋体" w:cs="Times New Roman"/>
                <w:color w:val="000000"/>
                <w:kern w:val="0"/>
                <w:szCs w:val="21"/>
              </w:rPr>
            </w:pPr>
          </w:p>
        </w:tc>
        <w:tc>
          <w:tcPr>
            <w:tcW w:w="1438" w:type="dxa"/>
            <w:shd w:val="clear" w:color="auto" w:fill="auto"/>
            <w:vAlign w:val="bottom"/>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（十九）其他支出</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2" w:hRule="atLeast"/>
        </w:trPr>
        <w:tc>
          <w:tcPr>
            <w:tcW w:w="3188" w:type="dxa"/>
            <w:shd w:val="clear" w:color="auto" w:fill="auto"/>
            <w:vAlign w:val="center"/>
          </w:tcPr>
          <w:p>
            <w:pPr>
              <w:widowControl/>
              <w:jc w:val="center"/>
              <w:rPr>
                <w:rFonts w:hint="eastAsia" w:ascii="Calibri" w:hAnsi="Calibri" w:eastAsia="宋体" w:cs="Times New Roman"/>
                <w:color w:val="000000"/>
                <w:kern w:val="0"/>
                <w:szCs w:val="21"/>
              </w:rPr>
            </w:pP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p>
        </w:tc>
        <w:tc>
          <w:tcPr>
            <w:tcW w:w="2785" w:type="dxa"/>
            <w:shd w:val="clear" w:color="auto" w:fill="auto"/>
            <w:vAlign w:val="center"/>
          </w:tcPr>
          <w:p>
            <w:pPr>
              <w:widowControl/>
              <w:jc w:val="left"/>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二、结转下年</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95" w:hRule="atLeast"/>
        </w:trPr>
        <w:tc>
          <w:tcPr>
            <w:tcW w:w="3188"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收入总计</w:t>
            </w:r>
          </w:p>
        </w:tc>
        <w:tc>
          <w:tcPr>
            <w:tcW w:w="1438"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143.59</w:t>
            </w:r>
          </w:p>
        </w:tc>
        <w:tc>
          <w:tcPr>
            <w:tcW w:w="2785"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支 出 总 计</w:t>
            </w:r>
          </w:p>
        </w:tc>
        <w:tc>
          <w:tcPr>
            <w:tcW w:w="908" w:type="dxa"/>
            <w:shd w:val="clear" w:color="auto" w:fill="auto"/>
            <w:vAlign w:val="bottom"/>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143.59</w:t>
            </w:r>
          </w:p>
        </w:tc>
      </w:tr>
    </w:tbl>
    <w:p>
      <w:pPr>
        <w:widowControl/>
        <w:jc w:val="center"/>
        <w:rPr>
          <w:rFonts w:hint="eastAsia" w:ascii="宋体" w:hAnsi="宋体" w:eastAsia="宋体" w:cs="宋体"/>
          <w:color w:val="333333"/>
          <w:sz w:val="24"/>
          <w:szCs w:val="24"/>
          <w:shd w:val="clear" w:fill="FFFFFF"/>
        </w:rPr>
      </w:pPr>
    </w:p>
    <w:p>
      <w:pPr>
        <w:jc w:val="center"/>
        <w:rPr>
          <w:rFonts w:hint="eastAsia" w:ascii="Times New Roman" w:hAnsi="Times New Roman" w:eastAsia="楷体_GB2312" w:cs="Times New Roman"/>
          <w:b/>
          <w:color w:val="000000"/>
          <w:kern w:val="0"/>
          <w:sz w:val="30"/>
          <w:szCs w:val="30"/>
        </w:rPr>
      </w:pPr>
      <w:r>
        <w:rPr>
          <w:rFonts w:hint="eastAsia" w:ascii="Times New Roman" w:hAnsi="Times New Roman" w:eastAsia="楷体_GB2312" w:cs="Times New Roman"/>
          <w:b/>
          <w:color w:val="000000"/>
          <w:kern w:val="0"/>
          <w:sz w:val="30"/>
          <w:szCs w:val="30"/>
        </w:rPr>
        <w:t>部门预算和“三公”经费预算公开表格（表</w:t>
      </w:r>
      <w:r>
        <w:rPr>
          <w:rFonts w:hint="eastAsia" w:ascii="Times New Roman" w:hAnsi="Times New Roman" w:eastAsia="楷体_GB2312" w:cs="Times New Roman"/>
          <w:b/>
          <w:color w:val="000000"/>
          <w:kern w:val="0"/>
          <w:sz w:val="30"/>
          <w:szCs w:val="30"/>
          <w:lang w:val="en-US" w:eastAsia="zh-CN"/>
        </w:rPr>
        <w:t>2</w:t>
      </w:r>
      <w:r>
        <w:rPr>
          <w:rFonts w:hint="eastAsia" w:ascii="Times New Roman" w:hAnsi="Times New Roman" w:eastAsia="楷体_GB2312" w:cs="Times New Roman"/>
          <w:b/>
          <w:color w:val="000000"/>
          <w:kern w:val="0"/>
          <w:sz w:val="30"/>
          <w:szCs w:val="30"/>
        </w:rPr>
        <w:t>）</w:t>
      </w:r>
    </w:p>
    <w:p>
      <w:pPr>
        <w:jc w:val="center"/>
        <w:outlineLvl w:val="0"/>
        <w:rPr>
          <w:rFonts w:hint="eastAsia" w:ascii="Calibri" w:hAnsi="Calibri" w:eastAsia="黑体" w:cs="Times New Roman"/>
          <w:color w:val="000000"/>
          <w:kern w:val="0"/>
          <w:sz w:val="40"/>
          <w:szCs w:val="40"/>
        </w:rPr>
      </w:pPr>
      <w:r>
        <w:rPr>
          <w:rFonts w:hint="eastAsia" w:ascii="Times New Roman" w:hAnsi="Times New Roman" w:eastAsia="楷体_GB2312" w:cs="Times New Roman"/>
          <w:b/>
          <w:color w:val="000000"/>
          <w:kern w:val="0"/>
          <w:sz w:val="30"/>
          <w:szCs w:val="30"/>
        </w:rPr>
        <w:t>　　</w:t>
      </w:r>
      <w:r>
        <w:rPr>
          <w:rFonts w:hint="eastAsia" w:ascii="Calibri" w:hAnsi="Calibri" w:eastAsia="黑体" w:cs="Times New Roman"/>
          <w:color w:val="000000"/>
          <w:kern w:val="0"/>
          <w:sz w:val="40"/>
          <w:szCs w:val="40"/>
        </w:rPr>
        <w:t>部门收入总表</w:t>
      </w:r>
    </w:p>
    <w:p>
      <w:pPr>
        <w:jc w:val="right"/>
        <w:outlineLvl w:val="0"/>
        <w:rPr>
          <w:rFonts w:hint="eastAsia" w:ascii="宋体" w:hAnsi="宋体" w:eastAsia="宋体" w:cs="宋体"/>
          <w:color w:val="333333"/>
          <w:sz w:val="24"/>
          <w:szCs w:val="24"/>
        </w:rPr>
      </w:pPr>
      <w:r>
        <w:rPr>
          <w:rFonts w:hint="eastAsia" w:ascii="Times New Roman" w:hAnsi="Times New Roman" w:eastAsia="楷体_GB2312" w:cs="Times New Roman"/>
          <w:b/>
          <w:color w:val="000000"/>
          <w:kern w:val="0"/>
          <w:sz w:val="30"/>
          <w:szCs w:val="30"/>
        </w:rPr>
        <w:t>　</w:t>
      </w:r>
      <w:r>
        <w:rPr>
          <w:rFonts w:hint="eastAsia" w:ascii="宋体" w:hAnsi="宋体" w:eastAsia="宋体" w:cs="宋体"/>
          <w:color w:val="333333"/>
          <w:sz w:val="24"/>
          <w:szCs w:val="24"/>
          <w:shd w:val="clear" w:fill="FFFFFF"/>
        </w:rPr>
        <w:t>　单位：万元</w:t>
      </w:r>
    </w:p>
    <w:tbl>
      <w:tblPr>
        <w:tblStyle w:val="8"/>
        <w:tblW w:w="8494"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269"/>
        <w:gridCol w:w="269"/>
        <w:gridCol w:w="270"/>
        <w:gridCol w:w="1197"/>
        <w:gridCol w:w="1048"/>
        <w:gridCol w:w="764"/>
        <w:gridCol w:w="813"/>
        <w:gridCol w:w="815"/>
        <w:gridCol w:w="908"/>
        <w:gridCol w:w="976"/>
        <w:gridCol w:w="688"/>
        <w:gridCol w:w="4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00" w:hRule="atLeast"/>
          <w:jc w:val="center"/>
        </w:trPr>
        <w:tc>
          <w:tcPr>
            <w:tcW w:w="2005" w:type="dxa"/>
            <w:gridSpan w:val="4"/>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1048"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2392" w:type="dxa"/>
            <w:gridSpan w:val="3"/>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一般公共预算拨款</w:t>
            </w:r>
          </w:p>
        </w:tc>
        <w:tc>
          <w:tcPr>
            <w:tcW w:w="908"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政府性基金收入</w:t>
            </w:r>
          </w:p>
        </w:tc>
        <w:tc>
          <w:tcPr>
            <w:tcW w:w="976"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纳入专户管理的非税收入拨款</w:t>
            </w:r>
          </w:p>
        </w:tc>
        <w:tc>
          <w:tcPr>
            <w:tcW w:w="688"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上级补助收入</w:t>
            </w:r>
          </w:p>
        </w:tc>
        <w:tc>
          <w:tcPr>
            <w:tcW w:w="477"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其他</w:t>
            </w:r>
          </w:p>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收入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46" w:hRule="atLeast"/>
          <w:jc w:val="center"/>
        </w:trPr>
        <w:tc>
          <w:tcPr>
            <w:tcW w:w="808" w:type="dxa"/>
            <w:gridSpan w:val="3"/>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1197"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1048"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764"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小计</w:t>
            </w:r>
          </w:p>
        </w:tc>
        <w:tc>
          <w:tcPr>
            <w:tcW w:w="813"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经费</w:t>
            </w:r>
          </w:p>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拨款</w:t>
            </w:r>
          </w:p>
        </w:tc>
        <w:tc>
          <w:tcPr>
            <w:tcW w:w="815" w:type="dxa"/>
            <w:vMerge w:val="restart"/>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纳入一般公共预算管理的非税收入拨款</w:t>
            </w:r>
          </w:p>
        </w:tc>
        <w:tc>
          <w:tcPr>
            <w:tcW w:w="908"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976"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688"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477"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17" w:hRule="atLeast"/>
          <w:jc w:val="center"/>
        </w:trPr>
        <w:tc>
          <w:tcPr>
            <w:tcW w:w="269"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269"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270" w:type="dxa"/>
            <w:shd w:val="clear" w:color="auto" w:fill="auto"/>
            <w:vAlign w:val="center"/>
          </w:tcPr>
          <w:p>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1197"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1048"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764"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813"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815"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908"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976"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688"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c>
          <w:tcPr>
            <w:tcW w:w="477" w:type="dxa"/>
            <w:vMerge w:val="continue"/>
            <w:shd w:val="clear" w:color="auto" w:fill="auto"/>
            <w:vAlign w:val="center"/>
          </w:tcPr>
          <w:p>
            <w:pPr>
              <w:widowControl/>
              <w:jc w:val="center"/>
              <w:rPr>
                <w:rFonts w:hint="eastAsia" w:ascii="Calibri" w:hAnsi="Calibri"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81" w:hRule="atLeast"/>
          <w:jc w:val="center"/>
        </w:trPr>
        <w:tc>
          <w:tcPr>
            <w:tcW w:w="808" w:type="dxa"/>
            <w:gridSpan w:val="3"/>
            <w:shd w:val="clear" w:color="auto" w:fill="auto"/>
            <w:vAlign w:val="center"/>
          </w:tcPr>
          <w:p>
            <w:pPr>
              <w:widowControl/>
              <w:jc w:val="left"/>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210</w:t>
            </w:r>
          </w:p>
        </w:tc>
        <w:tc>
          <w:tcPr>
            <w:tcW w:w="1197" w:type="dxa"/>
            <w:shd w:val="clear" w:color="auto" w:fill="auto"/>
            <w:vAlign w:val="center"/>
          </w:tcPr>
          <w:p>
            <w:pPr>
              <w:widowControl/>
              <w:jc w:val="left"/>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卫生健康支出</w:t>
            </w:r>
          </w:p>
        </w:tc>
        <w:tc>
          <w:tcPr>
            <w:tcW w:w="104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143.59</w:t>
            </w:r>
          </w:p>
        </w:tc>
        <w:tc>
          <w:tcPr>
            <w:tcW w:w="764"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143.59</w:t>
            </w:r>
          </w:p>
        </w:tc>
        <w:tc>
          <w:tcPr>
            <w:tcW w:w="813"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143.59</w:t>
            </w:r>
          </w:p>
        </w:tc>
        <w:tc>
          <w:tcPr>
            <w:tcW w:w="815"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90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976"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68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477"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81" w:hRule="atLeast"/>
          <w:jc w:val="center"/>
        </w:trPr>
        <w:tc>
          <w:tcPr>
            <w:tcW w:w="808" w:type="dxa"/>
            <w:gridSpan w:val="3"/>
            <w:shd w:val="clear" w:color="auto" w:fill="auto"/>
            <w:vAlign w:val="center"/>
          </w:tcPr>
          <w:p>
            <w:pPr>
              <w:widowControl/>
              <w:jc w:val="left"/>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21007</w:t>
            </w:r>
          </w:p>
        </w:tc>
        <w:tc>
          <w:tcPr>
            <w:tcW w:w="1197" w:type="dxa"/>
            <w:shd w:val="clear" w:color="auto" w:fill="auto"/>
            <w:vAlign w:val="center"/>
          </w:tcPr>
          <w:p>
            <w:pPr>
              <w:widowControl/>
              <w:jc w:val="left"/>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计划生育事务</w:t>
            </w:r>
          </w:p>
        </w:tc>
        <w:tc>
          <w:tcPr>
            <w:tcW w:w="104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143.59</w:t>
            </w:r>
          </w:p>
        </w:tc>
        <w:tc>
          <w:tcPr>
            <w:tcW w:w="764"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143.59</w:t>
            </w:r>
          </w:p>
        </w:tc>
        <w:tc>
          <w:tcPr>
            <w:tcW w:w="813"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143.59</w:t>
            </w:r>
          </w:p>
        </w:tc>
        <w:tc>
          <w:tcPr>
            <w:tcW w:w="815"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90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976"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68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477"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81" w:hRule="atLeast"/>
          <w:jc w:val="center"/>
        </w:trPr>
        <w:tc>
          <w:tcPr>
            <w:tcW w:w="808" w:type="dxa"/>
            <w:gridSpan w:val="3"/>
            <w:shd w:val="clear" w:color="auto" w:fill="auto"/>
            <w:vAlign w:val="bottom"/>
          </w:tcPr>
          <w:p>
            <w:pPr>
              <w:widowControl/>
              <w:jc w:val="left"/>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2100716</w:t>
            </w:r>
          </w:p>
        </w:tc>
        <w:tc>
          <w:tcPr>
            <w:tcW w:w="1197" w:type="dxa"/>
            <w:shd w:val="clear" w:color="auto" w:fill="auto"/>
            <w:vAlign w:val="bottom"/>
          </w:tcPr>
          <w:p>
            <w:pPr>
              <w:widowControl/>
              <w:jc w:val="left"/>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计划生育机构</w:t>
            </w:r>
          </w:p>
        </w:tc>
        <w:tc>
          <w:tcPr>
            <w:tcW w:w="104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69.79</w:t>
            </w:r>
          </w:p>
        </w:tc>
        <w:tc>
          <w:tcPr>
            <w:tcW w:w="764" w:type="dxa"/>
            <w:shd w:val="clear" w:color="auto" w:fill="auto"/>
            <w:vAlign w:val="center"/>
          </w:tcPr>
          <w:p>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69.79</w:t>
            </w:r>
          </w:p>
        </w:tc>
        <w:tc>
          <w:tcPr>
            <w:tcW w:w="813"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815"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90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976"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68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477"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97" w:hRule="atLeast"/>
          <w:jc w:val="center"/>
        </w:trPr>
        <w:tc>
          <w:tcPr>
            <w:tcW w:w="808" w:type="dxa"/>
            <w:gridSpan w:val="3"/>
            <w:shd w:val="clear" w:color="auto" w:fill="auto"/>
            <w:vAlign w:val="center"/>
          </w:tcPr>
          <w:p>
            <w:pPr>
              <w:widowControl/>
              <w:jc w:val="left"/>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2100717</w:t>
            </w:r>
          </w:p>
        </w:tc>
        <w:tc>
          <w:tcPr>
            <w:tcW w:w="1197" w:type="dxa"/>
            <w:shd w:val="clear" w:color="auto" w:fill="auto"/>
            <w:vAlign w:val="center"/>
          </w:tcPr>
          <w:p>
            <w:pPr>
              <w:widowControl/>
              <w:jc w:val="left"/>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计划生育服务</w:t>
            </w:r>
          </w:p>
        </w:tc>
        <w:tc>
          <w:tcPr>
            <w:tcW w:w="104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73.80</w:t>
            </w:r>
          </w:p>
        </w:tc>
        <w:tc>
          <w:tcPr>
            <w:tcW w:w="764"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813" w:type="dxa"/>
            <w:shd w:val="clear" w:color="auto" w:fill="auto"/>
            <w:vAlign w:val="center"/>
          </w:tcPr>
          <w:p>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73.80</w:t>
            </w:r>
          </w:p>
        </w:tc>
        <w:tc>
          <w:tcPr>
            <w:tcW w:w="815"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90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976"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688"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c>
          <w:tcPr>
            <w:tcW w:w="477" w:type="dxa"/>
            <w:shd w:val="clear" w:color="auto" w:fill="auto"/>
            <w:vAlign w:val="center"/>
          </w:tcPr>
          <w:p>
            <w:pPr>
              <w:widowControl/>
              <w:jc w:val="center"/>
              <w:rPr>
                <w:rFonts w:hint="eastAsia" w:ascii="Calibri" w:hAnsi="Calibri" w:eastAsia="宋体" w:cs="Times New Roman"/>
                <w:color w:val="000000"/>
                <w:kern w:val="0"/>
                <w:szCs w:val="21"/>
                <w:lang w:val="en-US" w:eastAsia="zh-CN"/>
              </w:rPr>
            </w:pPr>
          </w:p>
        </w:tc>
      </w:tr>
    </w:tbl>
    <w:p>
      <w:pPr>
        <w:jc w:val="center"/>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rPr>
        <w:t>　　</w:t>
      </w:r>
      <w:r>
        <w:rPr>
          <w:rFonts w:hint="eastAsia" w:ascii="宋体" w:hAnsi="宋体" w:eastAsia="宋体" w:cs="宋体"/>
          <w:color w:val="333333"/>
          <w:sz w:val="24"/>
          <w:szCs w:val="24"/>
          <w:shd w:val="clear" w:fill="FFFFFF"/>
        </w:rPr>
        <w:br w:type="textWrapping"/>
      </w: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宋体" w:hAnsi="宋体" w:eastAsia="宋体" w:cs="宋体"/>
          <w:color w:val="333333"/>
          <w:sz w:val="24"/>
          <w:szCs w:val="24"/>
          <w:shd w:val="clear" w:fill="FFFFFF"/>
        </w:rPr>
      </w:pPr>
    </w:p>
    <w:p>
      <w:pPr>
        <w:jc w:val="center"/>
        <w:rPr>
          <w:rFonts w:hint="eastAsia" w:ascii="Times New Roman" w:hAnsi="Times New Roman" w:eastAsia="楷体_GB2312" w:cs="Times New Roman"/>
          <w:b/>
          <w:color w:val="000000"/>
          <w:kern w:val="0"/>
          <w:sz w:val="30"/>
          <w:szCs w:val="30"/>
        </w:rPr>
      </w:pPr>
      <w:r>
        <w:rPr>
          <w:rFonts w:hint="eastAsia" w:ascii="Times New Roman" w:hAnsi="Times New Roman" w:eastAsia="楷体_GB2312" w:cs="Times New Roman"/>
          <w:b/>
          <w:color w:val="000000"/>
          <w:kern w:val="0"/>
          <w:sz w:val="30"/>
          <w:szCs w:val="30"/>
        </w:rPr>
        <w:t>部门预算和“三公”经费预算公开表格（表</w:t>
      </w:r>
      <w:r>
        <w:rPr>
          <w:rFonts w:hint="eastAsia" w:ascii="Times New Roman" w:hAnsi="Times New Roman" w:eastAsia="楷体_GB2312" w:cs="Times New Roman"/>
          <w:b/>
          <w:color w:val="000000"/>
          <w:kern w:val="0"/>
          <w:sz w:val="30"/>
          <w:szCs w:val="30"/>
          <w:lang w:val="en-US" w:eastAsia="zh-CN"/>
        </w:rPr>
        <w:t>3</w:t>
      </w:r>
      <w:r>
        <w:rPr>
          <w:rFonts w:hint="eastAsia" w:ascii="Times New Roman" w:hAnsi="Times New Roman" w:eastAsia="楷体_GB2312" w:cs="Times New Roman"/>
          <w:b/>
          <w:color w:val="000000"/>
          <w:kern w:val="0"/>
          <w:sz w:val="30"/>
          <w:szCs w:val="30"/>
        </w:rPr>
        <w:t>）</w:t>
      </w:r>
    </w:p>
    <w:p>
      <w:pPr>
        <w:jc w:val="center"/>
        <w:outlineLvl w:val="0"/>
        <w:rPr>
          <w:rFonts w:hint="eastAsia" w:ascii="Calibri" w:hAnsi="Calibri" w:eastAsia="黑体" w:cs="Times New Roman"/>
          <w:color w:val="000000"/>
          <w:kern w:val="0"/>
          <w:sz w:val="40"/>
          <w:szCs w:val="40"/>
        </w:rPr>
      </w:pPr>
      <w:r>
        <w:rPr>
          <w:rFonts w:hint="eastAsia" w:ascii="Times New Roman" w:hAnsi="Times New Roman" w:eastAsia="楷体_GB2312" w:cs="Times New Roman"/>
          <w:b/>
          <w:color w:val="000000"/>
          <w:kern w:val="0"/>
          <w:sz w:val="30"/>
          <w:szCs w:val="30"/>
        </w:rPr>
        <w:t>　</w:t>
      </w:r>
      <w:r>
        <w:rPr>
          <w:rFonts w:hint="eastAsia" w:ascii="Calibri" w:hAnsi="Calibri" w:eastAsia="黑体" w:cs="Times New Roman"/>
          <w:color w:val="000000"/>
          <w:kern w:val="0"/>
          <w:sz w:val="40"/>
          <w:szCs w:val="40"/>
        </w:rPr>
        <w:t>部门</w:t>
      </w:r>
      <w:r>
        <w:rPr>
          <w:rFonts w:hint="eastAsia" w:ascii="Calibri" w:hAnsi="Calibri" w:eastAsia="黑体" w:cs="Times New Roman"/>
          <w:color w:val="000000"/>
          <w:kern w:val="0"/>
          <w:sz w:val="40"/>
          <w:szCs w:val="40"/>
          <w:lang w:eastAsia="zh-CN"/>
        </w:rPr>
        <w:t>支出</w:t>
      </w:r>
      <w:r>
        <w:rPr>
          <w:rFonts w:hint="eastAsia" w:ascii="Calibri" w:hAnsi="Calibri" w:eastAsia="黑体" w:cs="Times New Roman"/>
          <w:color w:val="000000"/>
          <w:kern w:val="0"/>
          <w:sz w:val="40"/>
          <w:szCs w:val="40"/>
        </w:rPr>
        <w:t>总表</w:t>
      </w:r>
    </w:p>
    <w:p>
      <w:pPr>
        <w:pStyle w:val="7"/>
        <w:keepNext w:val="0"/>
        <w:keepLines w:val="0"/>
        <w:widowControl/>
        <w:suppressLineNumbers w:val="0"/>
        <w:spacing w:before="586" w:beforeAutospacing="0" w:after="30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sz w:val="24"/>
          <w:szCs w:val="24"/>
          <w:shd w:val="clear" w:fill="FFFFFF"/>
        </w:rPr>
        <w:t>　　单位：万元</w:t>
      </w:r>
    </w:p>
    <w:tbl>
      <w:tblPr>
        <w:tblStyle w:val="8"/>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07"/>
        <w:gridCol w:w="562"/>
        <w:gridCol w:w="550"/>
        <w:gridCol w:w="1977"/>
        <w:gridCol w:w="1284"/>
        <w:gridCol w:w="1367"/>
        <w:gridCol w:w="15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20" w:hRule="atLeast"/>
          <w:jc w:val="center"/>
        </w:trPr>
        <w:tc>
          <w:tcPr>
            <w:tcW w:w="3696" w:type="dxa"/>
            <w:gridSpan w:val="4"/>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功能分类科目</w:t>
            </w:r>
          </w:p>
        </w:tc>
        <w:tc>
          <w:tcPr>
            <w:tcW w:w="1284" w:type="dxa"/>
            <w:vMerge w:val="restart"/>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合计</w:t>
            </w:r>
          </w:p>
        </w:tc>
        <w:tc>
          <w:tcPr>
            <w:tcW w:w="1367" w:type="dxa"/>
            <w:vMerge w:val="restart"/>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基本支出</w:t>
            </w:r>
          </w:p>
        </w:tc>
        <w:tc>
          <w:tcPr>
            <w:tcW w:w="1562" w:type="dxa"/>
            <w:vMerge w:val="restart"/>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项目支出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719" w:type="dxa"/>
            <w:gridSpan w:val="3"/>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科目编码</w:t>
            </w:r>
          </w:p>
        </w:tc>
        <w:tc>
          <w:tcPr>
            <w:tcW w:w="1977" w:type="dxa"/>
            <w:vMerge w:val="restart"/>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科目名称</w:t>
            </w:r>
          </w:p>
        </w:tc>
        <w:tc>
          <w:tcPr>
            <w:tcW w:w="1284" w:type="dxa"/>
            <w:vMerge w:val="continue"/>
            <w:shd w:val="clear" w:color="auto" w:fill="auto"/>
            <w:vAlign w:val="center"/>
          </w:tcPr>
          <w:p>
            <w:pPr>
              <w:jc w:val="center"/>
              <w:rPr>
                <w:rFonts w:hint="eastAsia" w:ascii="微软雅黑" w:hAnsi="微软雅黑" w:eastAsia="微软雅黑" w:cs="微软雅黑"/>
                <w:sz w:val="24"/>
                <w:szCs w:val="24"/>
              </w:rPr>
            </w:pPr>
          </w:p>
        </w:tc>
        <w:tc>
          <w:tcPr>
            <w:tcW w:w="1367" w:type="dxa"/>
            <w:vMerge w:val="continue"/>
            <w:shd w:val="clear" w:color="auto" w:fill="auto"/>
            <w:vAlign w:val="center"/>
          </w:tcPr>
          <w:p>
            <w:pPr>
              <w:jc w:val="center"/>
              <w:rPr>
                <w:rFonts w:hint="eastAsia" w:ascii="微软雅黑" w:hAnsi="微软雅黑" w:eastAsia="微软雅黑" w:cs="微软雅黑"/>
                <w:sz w:val="24"/>
                <w:szCs w:val="24"/>
              </w:rPr>
            </w:pPr>
          </w:p>
        </w:tc>
        <w:tc>
          <w:tcPr>
            <w:tcW w:w="1562" w:type="dxa"/>
            <w:vMerge w:val="continue"/>
            <w:shd w:val="clear" w:color="auto" w:fill="auto"/>
            <w:vAlign w:val="center"/>
          </w:tcPr>
          <w:p>
            <w:pPr>
              <w:jc w:val="cente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45" w:hRule="atLeast"/>
          <w:jc w:val="center"/>
        </w:trPr>
        <w:tc>
          <w:tcPr>
            <w:tcW w:w="607" w:type="dxa"/>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类</w:t>
            </w:r>
          </w:p>
        </w:tc>
        <w:tc>
          <w:tcPr>
            <w:tcW w:w="562" w:type="dxa"/>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款</w:t>
            </w:r>
          </w:p>
        </w:tc>
        <w:tc>
          <w:tcPr>
            <w:tcW w:w="550" w:type="dxa"/>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项</w:t>
            </w:r>
          </w:p>
        </w:tc>
        <w:tc>
          <w:tcPr>
            <w:tcW w:w="1977" w:type="dxa"/>
            <w:vMerge w:val="continue"/>
            <w:shd w:val="clear" w:color="auto" w:fill="auto"/>
            <w:vAlign w:val="center"/>
          </w:tcPr>
          <w:p>
            <w:pPr>
              <w:jc w:val="center"/>
              <w:rPr>
                <w:rFonts w:hint="eastAsia" w:ascii="微软雅黑" w:hAnsi="微软雅黑" w:eastAsia="微软雅黑" w:cs="微软雅黑"/>
                <w:sz w:val="24"/>
                <w:szCs w:val="24"/>
              </w:rPr>
            </w:pPr>
          </w:p>
        </w:tc>
        <w:tc>
          <w:tcPr>
            <w:tcW w:w="1284" w:type="dxa"/>
            <w:vMerge w:val="continue"/>
            <w:shd w:val="clear" w:color="auto" w:fill="auto"/>
            <w:vAlign w:val="center"/>
          </w:tcPr>
          <w:p>
            <w:pPr>
              <w:jc w:val="center"/>
              <w:rPr>
                <w:rFonts w:hint="eastAsia" w:ascii="微软雅黑" w:hAnsi="微软雅黑" w:eastAsia="微软雅黑" w:cs="微软雅黑"/>
                <w:sz w:val="24"/>
                <w:szCs w:val="24"/>
              </w:rPr>
            </w:pPr>
          </w:p>
        </w:tc>
        <w:tc>
          <w:tcPr>
            <w:tcW w:w="1367" w:type="dxa"/>
            <w:vMerge w:val="continue"/>
            <w:shd w:val="clear" w:color="auto" w:fill="auto"/>
            <w:vAlign w:val="center"/>
          </w:tcPr>
          <w:p>
            <w:pPr>
              <w:jc w:val="center"/>
              <w:rPr>
                <w:rFonts w:hint="eastAsia" w:ascii="微软雅黑" w:hAnsi="微软雅黑" w:eastAsia="微软雅黑" w:cs="微软雅黑"/>
                <w:sz w:val="24"/>
                <w:szCs w:val="24"/>
              </w:rPr>
            </w:pPr>
          </w:p>
        </w:tc>
        <w:tc>
          <w:tcPr>
            <w:tcW w:w="1562" w:type="dxa"/>
            <w:vMerge w:val="continue"/>
            <w:shd w:val="clear" w:color="auto" w:fill="auto"/>
            <w:vAlign w:val="center"/>
          </w:tcPr>
          <w:p>
            <w:pPr>
              <w:jc w:val="cente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719" w:type="dxa"/>
            <w:gridSpan w:val="3"/>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宋体" w:hAnsi="宋体" w:eastAsia="宋体" w:cs="宋体"/>
                <w:color w:val="333333"/>
                <w:sz w:val="24"/>
                <w:szCs w:val="24"/>
              </w:rPr>
            </w:pPr>
            <w:r>
              <w:rPr>
                <w:rFonts w:hint="eastAsia" w:ascii="Calibri" w:hAnsi="Calibri" w:eastAsia="宋体" w:cs="Times New Roman"/>
                <w:color w:val="000000"/>
                <w:kern w:val="0"/>
                <w:szCs w:val="21"/>
                <w:lang w:val="en-US" w:eastAsia="zh-CN"/>
              </w:rPr>
              <w:t>210</w:t>
            </w:r>
          </w:p>
        </w:tc>
        <w:tc>
          <w:tcPr>
            <w:tcW w:w="197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宋体" w:hAnsi="宋体" w:eastAsia="宋体" w:cs="宋体"/>
                <w:color w:val="333333"/>
                <w:sz w:val="24"/>
                <w:szCs w:val="24"/>
              </w:rPr>
            </w:pPr>
            <w:r>
              <w:rPr>
                <w:rFonts w:hint="eastAsia" w:ascii="Calibri" w:hAnsi="Calibri" w:eastAsia="宋体" w:cs="Times New Roman"/>
                <w:color w:val="000000"/>
                <w:kern w:val="0"/>
                <w:szCs w:val="21"/>
                <w:lang w:val="en-US" w:eastAsia="zh-CN"/>
              </w:rPr>
              <w:t>卫生健康支出</w:t>
            </w:r>
          </w:p>
        </w:tc>
        <w:tc>
          <w:tcPr>
            <w:tcW w:w="1284"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宋体" w:hAnsi="宋体" w:eastAsia="宋体" w:cs="宋体"/>
                <w:color w:val="333333"/>
                <w:sz w:val="24"/>
                <w:szCs w:val="24"/>
              </w:rPr>
            </w:pPr>
            <w:r>
              <w:rPr>
                <w:rFonts w:hint="eastAsia" w:ascii="Calibri" w:hAnsi="Calibri" w:eastAsia="宋体" w:cs="Times New Roman"/>
                <w:color w:val="000000"/>
                <w:kern w:val="0"/>
                <w:szCs w:val="21"/>
                <w:lang w:val="en-US" w:eastAsia="zh-CN"/>
              </w:rPr>
              <w:t>143.59</w:t>
            </w:r>
          </w:p>
        </w:tc>
        <w:tc>
          <w:tcPr>
            <w:tcW w:w="136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宋体" w:hAnsi="宋体" w:eastAsia="宋体" w:cs="宋体"/>
                <w:color w:val="333333"/>
                <w:sz w:val="24"/>
                <w:szCs w:val="24"/>
              </w:rPr>
            </w:pPr>
            <w:r>
              <w:rPr>
                <w:rFonts w:hint="eastAsia" w:ascii="Calibri" w:hAnsi="Calibri" w:eastAsia="宋体" w:cs="Times New Roman"/>
                <w:color w:val="000000"/>
                <w:kern w:val="0"/>
                <w:szCs w:val="21"/>
                <w:lang w:val="en-US" w:eastAsia="zh-CN"/>
              </w:rPr>
              <w:t>69.79</w:t>
            </w:r>
          </w:p>
        </w:tc>
        <w:tc>
          <w:tcPr>
            <w:tcW w:w="1562"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宋体" w:hAnsi="宋体" w:eastAsia="宋体" w:cs="宋体"/>
                <w:color w:val="333333"/>
                <w:sz w:val="24"/>
                <w:szCs w:val="24"/>
              </w:rPr>
            </w:pPr>
            <w:r>
              <w:rPr>
                <w:rFonts w:hint="eastAsia" w:ascii="Calibri" w:hAnsi="Calibri" w:eastAsia="宋体" w:cs="Times New Roman"/>
                <w:color w:val="000000"/>
                <w:kern w:val="0"/>
                <w:szCs w:val="21"/>
                <w:lang w:val="en-US" w:eastAsia="zh-CN"/>
              </w:rPr>
              <w:t>73.8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1719" w:type="dxa"/>
            <w:gridSpan w:val="3"/>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21007</w:t>
            </w:r>
          </w:p>
        </w:tc>
        <w:tc>
          <w:tcPr>
            <w:tcW w:w="197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计划生育事务</w:t>
            </w:r>
          </w:p>
        </w:tc>
        <w:tc>
          <w:tcPr>
            <w:tcW w:w="1284"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143.59</w:t>
            </w:r>
          </w:p>
        </w:tc>
        <w:tc>
          <w:tcPr>
            <w:tcW w:w="136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69.79</w:t>
            </w:r>
          </w:p>
        </w:tc>
        <w:tc>
          <w:tcPr>
            <w:tcW w:w="1562"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73.8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719" w:type="dxa"/>
            <w:gridSpan w:val="3"/>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2100716</w:t>
            </w:r>
          </w:p>
        </w:tc>
        <w:tc>
          <w:tcPr>
            <w:tcW w:w="197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计划生育机构</w:t>
            </w:r>
          </w:p>
        </w:tc>
        <w:tc>
          <w:tcPr>
            <w:tcW w:w="1284"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69.79</w:t>
            </w:r>
          </w:p>
        </w:tc>
        <w:tc>
          <w:tcPr>
            <w:tcW w:w="136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69.79</w:t>
            </w:r>
          </w:p>
        </w:tc>
        <w:tc>
          <w:tcPr>
            <w:tcW w:w="1562"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719" w:type="dxa"/>
            <w:gridSpan w:val="3"/>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2100717</w:t>
            </w:r>
          </w:p>
        </w:tc>
        <w:tc>
          <w:tcPr>
            <w:tcW w:w="197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计划生育服务</w:t>
            </w:r>
          </w:p>
        </w:tc>
        <w:tc>
          <w:tcPr>
            <w:tcW w:w="1284"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73.8</w:t>
            </w:r>
          </w:p>
        </w:tc>
        <w:tc>
          <w:tcPr>
            <w:tcW w:w="136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p>
        </w:tc>
        <w:tc>
          <w:tcPr>
            <w:tcW w:w="1562"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4"/>
                <w:szCs w:val="24"/>
              </w:rPr>
            </w:pPr>
            <w:r>
              <w:rPr>
                <w:rFonts w:hint="eastAsia" w:ascii="Calibri" w:hAnsi="Calibri" w:eastAsia="宋体" w:cs="Times New Roman"/>
                <w:color w:val="000000"/>
                <w:kern w:val="0"/>
                <w:szCs w:val="21"/>
                <w:lang w:val="en-US" w:eastAsia="zh-CN"/>
              </w:rPr>
              <w:t>73.8</w:t>
            </w:r>
          </w:p>
        </w:tc>
      </w:tr>
    </w:tbl>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widowControl/>
        <w:snapToGrid w:val="0"/>
        <w:spacing w:line="560" w:lineRule="exact"/>
        <w:jc w:val="center"/>
        <w:rPr>
          <w:rFonts w:hint="eastAsia" w:ascii="宋体" w:hAnsi="宋体" w:eastAsia="宋体" w:cs="Times New Roman"/>
          <w:b/>
          <w:sz w:val="32"/>
          <w:szCs w:val="32"/>
        </w:rPr>
      </w:pPr>
    </w:p>
    <w:p>
      <w:pPr>
        <w:jc w:val="center"/>
        <w:rPr>
          <w:rFonts w:hint="eastAsia"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4</w:t>
      </w:r>
      <w:r>
        <w:rPr>
          <w:rFonts w:hint="eastAsia" w:eastAsia="楷体_GB2312"/>
          <w:b/>
          <w:color w:val="000000"/>
          <w:kern w:val="0"/>
          <w:sz w:val="30"/>
          <w:szCs w:val="30"/>
        </w:rPr>
        <w:t>）</w:t>
      </w:r>
    </w:p>
    <w:p>
      <w:pPr>
        <w:jc w:val="center"/>
        <w:outlineLvl w:val="0"/>
        <w:rPr>
          <w:rFonts w:eastAsia="方正小标宋简体"/>
          <w:color w:val="000000"/>
          <w:kern w:val="0"/>
          <w:sz w:val="40"/>
          <w:szCs w:val="40"/>
        </w:rPr>
      </w:pPr>
      <w:r>
        <w:rPr>
          <w:rFonts w:hint="eastAsia" w:eastAsia="方正小标宋简体"/>
          <w:color w:val="000000"/>
          <w:kern w:val="0"/>
          <w:sz w:val="40"/>
          <w:szCs w:val="40"/>
        </w:rPr>
        <w:t>部门财政拨款收支总表</w:t>
      </w:r>
    </w:p>
    <w:p>
      <w:pPr>
        <w:widowControl/>
        <w:snapToGrid w:val="0"/>
        <w:spacing w:line="560" w:lineRule="exact"/>
        <w:jc w:val="right"/>
        <w:rPr>
          <w:rFonts w:hint="eastAsia" w:ascii="Times New Roman" w:hAnsi="Times New Roman" w:eastAsia="宋体" w:cs="Times New Roman"/>
          <w:color w:val="000000"/>
          <w:kern w:val="0"/>
          <w:szCs w:val="21"/>
        </w:rPr>
      </w:pPr>
      <w:r>
        <w:rPr>
          <w:rFonts w:hint="eastAsia" w:ascii="宋体" w:hAnsi="宋体" w:eastAsia="宋体" w:cs="Times New Roman"/>
          <w:b/>
          <w:sz w:val="32"/>
          <w:szCs w:val="32"/>
        </w:rPr>
        <w:t>　</w:t>
      </w:r>
      <w:r>
        <w:rPr>
          <w:rFonts w:hint="eastAsia" w:ascii="Times New Roman" w:hAnsi="Times New Roman" w:eastAsia="宋体" w:cs="Times New Roman"/>
          <w:color w:val="000000"/>
          <w:kern w:val="0"/>
          <w:szCs w:val="21"/>
        </w:rPr>
        <w:t>　单位：万元</w:t>
      </w:r>
    </w:p>
    <w:tbl>
      <w:tblPr>
        <w:tblStyle w:val="8"/>
        <w:tblW w:w="8879"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435"/>
        <w:gridCol w:w="1055"/>
        <w:gridCol w:w="3180"/>
        <w:gridCol w:w="120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4490" w:type="dxa"/>
            <w:gridSpan w:val="2"/>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收  入</w:t>
            </w:r>
          </w:p>
        </w:tc>
        <w:tc>
          <w:tcPr>
            <w:tcW w:w="4389" w:type="dxa"/>
            <w:gridSpan w:val="2"/>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支   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项目</w:t>
            </w: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预算数</w:t>
            </w:r>
          </w:p>
        </w:tc>
        <w:tc>
          <w:tcPr>
            <w:tcW w:w="3180"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项目</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预算数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一、一般公共预算拨款</w:t>
            </w: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143.59</w:t>
            </w: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一、本年支出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143.59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经费拨款</w:t>
            </w: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143.59</w:t>
            </w: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（一）一般公共服务支出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79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纳入一般公共预算管理的非税收入拨款</w:t>
            </w: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（二）国防支出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二、政府性基金收入</w:t>
            </w: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（三）公共安全支出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（四）教育支出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（五）科学技术支出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（六）文化体育与传媒支出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（七）社会保障和就业支出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lang w:eastAsia="zh-CN"/>
              </w:rPr>
            </w:pPr>
            <w:r>
              <w:rPr>
                <w:rFonts w:hint="eastAsia" w:ascii="Times New Roman" w:hAnsi="Times New Roman" w:eastAsia="宋体" w:cs="Times New Roman"/>
                <w:color w:val="000000"/>
                <w:kern w:val="0"/>
                <w:szCs w:val="21"/>
              </w:rPr>
              <w:t>（八）</w:t>
            </w:r>
            <w:r>
              <w:rPr>
                <w:rFonts w:hint="eastAsia" w:ascii="Times New Roman" w:hAnsi="Times New Roman" w:eastAsia="宋体" w:cs="Times New Roman"/>
                <w:color w:val="000000"/>
                <w:kern w:val="0"/>
                <w:szCs w:val="21"/>
                <w:lang w:eastAsia="zh-CN"/>
              </w:rPr>
              <w:t>卫生健康支出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143.59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（九）节能环保支出</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（十）城乡社区支出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（十一）农林水支出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（十二）交通运输支出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（十三）资源勘探信息等支出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（十四）商业服务业等支出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（十五）金融支出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（十六）国土海洋气象等支出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（十七）住房保障支出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（十八）粮油物资储备支出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（十九）其他支出</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二、结转下年</w:t>
            </w: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7" w:hRule="atLeast"/>
          <w:jc w:val="center"/>
        </w:trPr>
        <w:tc>
          <w:tcPr>
            <w:tcW w:w="343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055"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3180" w:type="dxa"/>
            <w:shd w:val="clear" w:color="auto" w:fill="auto"/>
            <w:vAlign w:val="center"/>
          </w:tcPr>
          <w:p>
            <w:pPr>
              <w:widowControl/>
              <w:jc w:val="left"/>
              <w:rPr>
                <w:rFonts w:hint="eastAsia" w:ascii="Times New Roman" w:hAnsi="Times New Roman" w:eastAsia="宋体" w:cs="Times New Roman"/>
                <w:color w:val="000000"/>
                <w:kern w:val="0"/>
                <w:szCs w:val="21"/>
              </w:rPr>
            </w:pPr>
          </w:p>
        </w:tc>
        <w:tc>
          <w:tcPr>
            <w:tcW w:w="1209" w:type="dxa"/>
            <w:shd w:val="clear" w:color="auto" w:fill="auto"/>
            <w:vAlign w:val="center"/>
          </w:tcPr>
          <w:p>
            <w:pPr>
              <w:widowControl/>
              <w:jc w:val="left"/>
              <w:rPr>
                <w:rFonts w:hint="eastAsia" w:ascii="Times New Roman" w:hAnsi="Times New Roman" w:eastAsia="宋体" w:cs="Times New Roman"/>
                <w:color w:val="000000"/>
                <w:kern w:val="0"/>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26" w:hRule="atLeast"/>
          <w:jc w:val="center"/>
        </w:trPr>
        <w:tc>
          <w:tcPr>
            <w:tcW w:w="3435"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收 入 总计</w:t>
            </w:r>
          </w:p>
        </w:tc>
        <w:tc>
          <w:tcPr>
            <w:tcW w:w="1055"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143.59</w:t>
            </w:r>
          </w:p>
        </w:tc>
        <w:tc>
          <w:tcPr>
            <w:tcW w:w="3180"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支 出 总 计</w:t>
            </w:r>
          </w:p>
        </w:tc>
        <w:tc>
          <w:tcPr>
            <w:tcW w:w="1209" w:type="dxa"/>
            <w:shd w:val="clear" w:color="auto" w:fill="auto"/>
            <w:vAlign w:val="center"/>
          </w:tcPr>
          <w:p>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143.59</w:t>
            </w:r>
          </w:p>
        </w:tc>
      </w:tr>
    </w:tbl>
    <w:p>
      <w:pPr>
        <w:ind w:firstLine="1193" w:firstLineChars="396"/>
        <w:jc w:val="center"/>
        <w:rPr>
          <w:rFonts w:hint="eastAsia" w:ascii="Times New Roman" w:hAnsi="Times New Roman" w:eastAsia="楷体_GB2312" w:cs="Times New Roman"/>
          <w:b/>
          <w:color w:val="000000"/>
          <w:kern w:val="0"/>
          <w:sz w:val="30"/>
          <w:szCs w:val="30"/>
        </w:rPr>
      </w:pPr>
    </w:p>
    <w:p>
      <w:pPr>
        <w:ind w:firstLine="1193" w:firstLineChars="396"/>
        <w:jc w:val="center"/>
        <w:rPr>
          <w:rFonts w:hint="eastAsia" w:ascii="Times New Roman" w:hAnsi="Times New Roman" w:eastAsia="楷体_GB2312" w:cs="Times New Roman"/>
          <w:b/>
          <w:color w:val="000000"/>
          <w:kern w:val="0"/>
          <w:sz w:val="30"/>
          <w:szCs w:val="30"/>
        </w:rPr>
      </w:pPr>
    </w:p>
    <w:p>
      <w:pPr>
        <w:ind w:firstLine="1193" w:firstLineChars="396"/>
        <w:rPr>
          <w:rFonts w:hint="eastAsia"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5</w:t>
      </w:r>
      <w:r>
        <w:rPr>
          <w:rFonts w:hint="eastAsia" w:eastAsia="楷体_GB2312"/>
          <w:b/>
          <w:color w:val="000000"/>
          <w:kern w:val="0"/>
          <w:sz w:val="30"/>
          <w:szCs w:val="30"/>
        </w:rPr>
        <w:t>）</w:t>
      </w:r>
    </w:p>
    <w:p>
      <w:pPr>
        <w:jc w:val="center"/>
        <w:outlineLvl w:val="0"/>
        <w:rPr>
          <w:rFonts w:eastAsia="方正小标宋简体"/>
          <w:color w:val="000000"/>
          <w:kern w:val="0"/>
          <w:sz w:val="40"/>
          <w:szCs w:val="40"/>
        </w:rPr>
      </w:pPr>
      <w:r>
        <w:rPr>
          <w:rFonts w:hint="eastAsia" w:eastAsia="方正小标宋简体"/>
          <w:color w:val="000000"/>
          <w:kern w:val="0"/>
          <w:sz w:val="40"/>
          <w:szCs w:val="40"/>
        </w:rPr>
        <w:t>一般公共预算支出表</w:t>
      </w:r>
    </w:p>
    <w:p>
      <w:pPr>
        <w:pStyle w:val="7"/>
        <w:keepNext w:val="0"/>
        <w:keepLines w:val="0"/>
        <w:widowControl/>
        <w:suppressLineNumbers w:val="0"/>
        <w:spacing w:before="586" w:beforeAutospacing="0" w:after="30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sz w:val="24"/>
          <w:szCs w:val="24"/>
          <w:shd w:val="clear" w:fill="FFFFFF"/>
        </w:rPr>
        <w:t>单位：万元</w:t>
      </w:r>
    </w:p>
    <w:tbl>
      <w:tblPr>
        <w:tblStyle w:val="8"/>
        <w:tblW w:w="8339"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85"/>
        <w:gridCol w:w="625"/>
        <w:gridCol w:w="628"/>
        <w:gridCol w:w="3032"/>
        <w:gridCol w:w="1217"/>
        <w:gridCol w:w="1076"/>
        <w:gridCol w:w="107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27" w:hRule="atLeast"/>
          <w:jc w:val="center"/>
        </w:trPr>
        <w:tc>
          <w:tcPr>
            <w:tcW w:w="4970" w:type="dxa"/>
            <w:gridSpan w:val="4"/>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功能分类科目</w:t>
            </w:r>
          </w:p>
        </w:tc>
        <w:tc>
          <w:tcPr>
            <w:tcW w:w="3369" w:type="dxa"/>
            <w:gridSpan w:val="3"/>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预算数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78" w:hRule="atLeast"/>
          <w:jc w:val="center"/>
        </w:trPr>
        <w:tc>
          <w:tcPr>
            <w:tcW w:w="1938" w:type="dxa"/>
            <w:gridSpan w:val="3"/>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科目编码</w:t>
            </w:r>
          </w:p>
        </w:tc>
        <w:tc>
          <w:tcPr>
            <w:tcW w:w="3032" w:type="dxa"/>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科目名称</w:t>
            </w:r>
          </w:p>
        </w:tc>
        <w:tc>
          <w:tcPr>
            <w:tcW w:w="1217" w:type="dxa"/>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小计</w:t>
            </w:r>
          </w:p>
        </w:tc>
        <w:tc>
          <w:tcPr>
            <w:tcW w:w="0" w:type="auto"/>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基本支出</w:t>
            </w:r>
          </w:p>
        </w:tc>
        <w:tc>
          <w:tcPr>
            <w:tcW w:w="0" w:type="auto"/>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项目支出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5" w:hRule="atLeast"/>
          <w:jc w:val="center"/>
        </w:trPr>
        <w:tc>
          <w:tcPr>
            <w:tcW w:w="68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类</w:t>
            </w:r>
          </w:p>
        </w:tc>
        <w:tc>
          <w:tcPr>
            <w:tcW w:w="6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款</w:t>
            </w:r>
          </w:p>
        </w:tc>
        <w:tc>
          <w:tcPr>
            <w:tcW w:w="628"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项</w:t>
            </w:r>
          </w:p>
        </w:tc>
        <w:tc>
          <w:tcPr>
            <w:tcW w:w="3032"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新宋体" w:hAnsi="新宋体" w:eastAsia="新宋体" w:cs="新宋体"/>
                <w:sz w:val="21"/>
                <w:szCs w:val="21"/>
              </w:rPr>
            </w:pPr>
          </w:p>
        </w:tc>
        <w:tc>
          <w:tcPr>
            <w:tcW w:w="1217"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新宋体" w:hAnsi="新宋体" w:eastAsia="新宋体" w:cs="新宋体"/>
                <w:sz w:val="21"/>
                <w:szCs w:val="21"/>
              </w:rPr>
            </w:pPr>
          </w:p>
        </w:tc>
        <w:tc>
          <w:tcPr>
            <w:tcW w:w="0" w:type="auto"/>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新宋体" w:hAnsi="新宋体" w:eastAsia="新宋体" w:cs="新宋体"/>
                <w:sz w:val="21"/>
                <w:szCs w:val="21"/>
              </w:rPr>
            </w:pPr>
          </w:p>
        </w:tc>
        <w:tc>
          <w:tcPr>
            <w:tcW w:w="0" w:type="auto"/>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新宋体" w:hAnsi="新宋体" w:eastAsia="新宋体" w:cs="新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93" w:hRule="atLeast"/>
          <w:jc w:val="center"/>
        </w:trPr>
        <w:tc>
          <w:tcPr>
            <w:tcW w:w="1938" w:type="dxa"/>
            <w:gridSpan w:val="3"/>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210</w:t>
            </w:r>
          </w:p>
        </w:tc>
        <w:tc>
          <w:tcPr>
            <w:tcW w:w="3032"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卫生健康支出</w:t>
            </w:r>
          </w:p>
        </w:tc>
        <w:tc>
          <w:tcPr>
            <w:tcW w:w="121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143.59</w:t>
            </w:r>
          </w:p>
        </w:tc>
        <w:tc>
          <w:tcPr>
            <w:tcW w:w="1076"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69.79</w:t>
            </w:r>
          </w:p>
        </w:tc>
        <w:tc>
          <w:tcPr>
            <w:tcW w:w="1076"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73.8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93" w:hRule="atLeast"/>
          <w:jc w:val="center"/>
        </w:trPr>
        <w:tc>
          <w:tcPr>
            <w:tcW w:w="1938" w:type="dxa"/>
            <w:gridSpan w:val="3"/>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21007</w:t>
            </w:r>
          </w:p>
        </w:tc>
        <w:tc>
          <w:tcPr>
            <w:tcW w:w="3032"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计划生育事务</w:t>
            </w:r>
          </w:p>
        </w:tc>
        <w:tc>
          <w:tcPr>
            <w:tcW w:w="121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143.59</w:t>
            </w:r>
          </w:p>
        </w:tc>
        <w:tc>
          <w:tcPr>
            <w:tcW w:w="1076"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69.79</w:t>
            </w:r>
          </w:p>
        </w:tc>
        <w:tc>
          <w:tcPr>
            <w:tcW w:w="1076"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73.8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93" w:hRule="atLeast"/>
          <w:jc w:val="center"/>
        </w:trPr>
        <w:tc>
          <w:tcPr>
            <w:tcW w:w="1938" w:type="dxa"/>
            <w:gridSpan w:val="3"/>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2100716</w:t>
            </w:r>
          </w:p>
        </w:tc>
        <w:tc>
          <w:tcPr>
            <w:tcW w:w="3032"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计划生育机构</w:t>
            </w:r>
          </w:p>
        </w:tc>
        <w:tc>
          <w:tcPr>
            <w:tcW w:w="121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69.79</w:t>
            </w:r>
          </w:p>
        </w:tc>
        <w:tc>
          <w:tcPr>
            <w:tcW w:w="0" w:type="auto"/>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69.79</w:t>
            </w:r>
          </w:p>
        </w:tc>
        <w:tc>
          <w:tcPr>
            <w:tcW w:w="0" w:type="auto"/>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610" w:hRule="atLeast"/>
          <w:jc w:val="center"/>
        </w:trPr>
        <w:tc>
          <w:tcPr>
            <w:tcW w:w="1938" w:type="dxa"/>
            <w:gridSpan w:val="3"/>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2100717</w:t>
            </w:r>
          </w:p>
        </w:tc>
        <w:tc>
          <w:tcPr>
            <w:tcW w:w="3032"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计划生育服务</w:t>
            </w:r>
          </w:p>
        </w:tc>
        <w:tc>
          <w:tcPr>
            <w:tcW w:w="1217" w:type="dxa"/>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73.8</w:t>
            </w:r>
          </w:p>
        </w:tc>
        <w:tc>
          <w:tcPr>
            <w:tcW w:w="0" w:type="auto"/>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p>
        </w:tc>
        <w:tc>
          <w:tcPr>
            <w:tcW w:w="0" w:type="auto"/>
            <w:shd w:val="clear" w:color="auto" w:fill="auto"/>
            <w:vAlign w:val="bottom"/>
          </w:tcPr>
          <w:p>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73.8</w:t>
            </w:r>
          </w:p>
        </w:tc>
      </w:tr>
    </w:tbl>
    <w:p>
      <w:pPr>
        <w:ind w:firstLine="1343" w:firstLineChars="446"/>
        <w:jc w:val="center"/>
        <w:rPr>
          <w:rFonts w:hint="eastAsia" w:ascii="Times New Roman" w:hAnsi="Times New Roman" w:eastAsia="楷体_GB2312" w:cs="Times New Roman"/>
          <w:b/>
          <w:color w:val="000000"/>
          <w:kern w:val="0"/>
          <w:sz w:val="30"/>
          <w:szCs w:val="30"/>
        </w:rPr>
      </w:pPr>
    </w:p>
    <w:p>
      <w:pPr>
        <w:ind w:firstLine="1343" w:firstLineChars="446"/>
        <w:jc w:val="center"/>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343" w:firstLineChars="44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6</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outlineLvl w:val="0"/>
        <w:rPr>
          <w:rFonts w:eastAsia="方正小标宋简体"/>
          <w:color w:val="000000"/>
          <w:kern w:val="0"/>
          <w:sz w:val="40"/>
          <w:szCs w:val="40"/>
        </w:rPr>
      </w:pPr>
      <w:r>
        <w:rPr>
          <w:rFonts w:hint="eastAsia" w:eastAsia="方正小标宋简体"/>
          <w:color w:val="000000"/>
          <w:kern w:val="0"/>
          <w:sz w:val="40"/>
          <w:szCs w:val="40"/>
        </w:rPr>
        <w:t>一般公共预算基本支出表</w:t>
      </w:r>
    </w:p>
    <w:p>
      <w:pPr>
        <w:pStyle w:val="7"/>
        <w:keepNext w:val="0"/>
        <w:keepLines w:val="0"/>
        <w:widowControl/>
        <w:suppressLineNumbers w:val="0"/>
        <w:spacing w:before="586" w:beforeAutospacing="0" w:after="30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sz w:val="24"/>
          <w:szCs w:val="24"/>
          <w:shd w:val="clear" w:fill="FFFFFF"/>
        </w:rPr>
        <w:t>　　单位：万元</w:t>
      </w:r>
    </w:p>
    <w:tbl>
      <w:tblPr>
        <w:tblStyle w:val="8"/>
        <w:tblW w:w="8473"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486"/>
        <w:gridCol w:w="642"/>
        <w:gridCol w:w="3684"/>
        <w:gridCol w:w="1225"/>
        <w:gridCol w:w="1225"/>
        <w:gridCol w:w="12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812" w:type="dxa"/>
            <w:gridSpan w:val="3"/>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经济分类科目</w:t>
            </w:r>
          </w:p>
        </w:tc>
        <w:tc>
          <w:tcPr>
            <w:tcW w:w="3661" w:type="dxa"/>
            <w:gridSpan w:val="3"/>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基本支出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科目编码</w:t>
            </w:r>
          </w:p>
        </w:tc>
        <w:tc>
          <w:tcPr>
            <w:tcW w:w="3684" w:type="dxa"/>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科目名称</w:t>
            </w:r>
          </w:p>
        </w:tc>
        <w:tc>
          <w:tcPr>
            <w:tcW w:w="1225" w:type="dxa"/>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合计</w:t>
            </w:r>
          </w:p>
        </w:tc>
        <w:tc>
          <w:tcPr>
            <w:tcW w:w="1225" w:type="dxa"/>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人员经费</w:t>
            </w:r>
          </w:p>
        </w:tc>
        <w:tc>
          <w:tcPr>
            <w:tcW w:w="1211" w:type="dxa"/>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公用经费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86"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类</w:t>
            </w:r>
          </w:p>
        </w:tc>
        <w:tc>
          <w:tcPr>
            <w:tcW w:w="642"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款</w:t>
            </w:r>
          </w:p>
        </w:tc>
        <w:tc>
          <w:tcPr>
            <w:tcW w:w="3684"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1"/>
                <w:szCs w:val="21"/>
              </w:rPr>
            </w:pPr>
          </w:p>
        </w:tc>
        <w:tc>
          <w:tcPr>
            <w:tcW w:w="1225"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1"/>
                <w:szCs w:val="21"/>
              </w:rPr>
            </w:pPr>
          </w:p>
        </w:tc>
        <w:tc>
          <w:tcPr>
            <w:tcW w:w="1225"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1"/>
                <w:szCs w:val="21"/>
              </w:rPr>
            </w:pPr>
          </w:p>
        </w:tc>
        <w:tc>
          <w:tcPr>
            <w:tcW w:w="1211"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301</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工资福利支出</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58.96</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58.96</w:t>
            </w:r>
          </w:p>
        </w:tc>
        <w:tc>
          <w:tcPr>
            <w:tcW w:w="121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30101</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基本工资</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19.01</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19.01</w:t>
            </w:r>
          </w:p>
        </w:tc>
        <w:tc>
          <w:tcPr>
            <w:tcW w:w="121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30102</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津贴补贴</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12.93</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12.93</w:t>
            </w:r>
          </w:p>
        </w:tc>
        <w:tc>
          <w:tcPr>
            <w:tcW w:w="121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30103</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奖金</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11.45</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11.45</w:t>
            </w:r>
          </w:p>
        </w:tc>
        <w:tc>
          <w:tcPr>
            <w:tcW w:w="121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30108</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机关事业单位基本养老保险缴费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6.71</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6.71</w:t>
            </w:r>
          </w:p>
        </w:tc>
        <w:tc>
          <w:tcPr>
            <w:tcW w:w="121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30110</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职工基本医疗保险缴费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3.35</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3.35</w:t>
            </w:r>
          </w:p>
        </w:tc>
        <w:tc>
          <w:tcPr>
            <w:tcW w:w="121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30112</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其他社会保障缴费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0.62</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0.62</w:t>
            </w:r>
          </w:p>
        </w:tc>
        <w:tc>
          <w:tcPr>
            <w:tcW w:w="121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30113</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住房公积金</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4.89</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4.89</w:t>
            </w:r>
          </w:p>
        </w:tc>
        <w:tc>
          <w:tcPr>
            <w:tcW w:w="121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商品和服务支出</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10.83</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10.83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30201</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办公费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1.32</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1.32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30202</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印刷费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0.3</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30205</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水费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0.12</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0.12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30206</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电费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0.48</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0.48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30207</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邮电费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0.18</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0.18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30210</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公车出行补助</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2.19</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2.19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30211</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差旅费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0.72</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0.72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30213</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维修（护）　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0.3</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30215</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会议费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0.3</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30216</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培训费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0.72</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0.72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30217</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公务接待费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2.67</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2.67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30228</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工会经费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0.64</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0.64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30229</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福利费</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0.8</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30299</w:t>
            </w: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其他商品和服务支出</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0.09</w:t>
            </w:r>
          </w:p>
        </w:tc>
        <w:tc>
          <w:tcPr>
            <w:tcW w:w="122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right"/>
              <w:textAlignment w:val="auto"/>
              <w:rPr>
                <w:rFonts w:hint="eastAsia" w:ascii="微软雅黑" w:hAnsi="微软雅黑" w:eastAsia="微软雅黑" w:cs="微软雅黑"/>
                <w:sz w:val="21"/>
                <w:szCs w:val="21"/>
              </w:rPr>
            </w:pP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0.09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1128" w:type="dxa"/>
            <w:gridSpan w:val="2"/>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rPr>
            </w:pPr>
          </w:p>
        </w:tc>
        <w:tc>
          <w:tcPr>
            <w:tcW w:w="3684"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宋体" w:hAnsi="宋体" w:eastAsia="宋体" w:cs="宋体"/>
                <w:color w:val="333333"/>
                <w:sz w:val="21"/>
                <w:szCs w:val="21"/>
                <w:lang w:eastAsia="zh-CN"/>
              </w:rPr>
            </w:pPr>
            <w:r>
              <w:rPr>
                <w:rFonts w:hint="eastAsia" w:ascii="宋体" w:hAnsi="宋体" w:eastAsia="宋体" w:cs="宋体"/>
                <w:color w:val="333333"/>
                <w:sz w:val="21"/>
                <w:szCs w:val="21"/>
                <w:lang w:eastAsia="zh-CN"/>
              </w:rPr>
              <w:t>合计</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default"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69.79</w:t>
            </w:r>
          </w:p>
        </w:tc>
        <w:tc>
          <w:tcPr>
            <w:tcW w:w="1225"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default"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58.96</w:t>
            </w:r>
          </w:p>
        </w:tc>
        <w:tc>
          <w:tcPr>
            <w:tcW w:w="1211" w:type="dxa"/>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right"/>
              <w:textAlignment w:val="auto"/>
              <w:rPr>
                <w:rFonts w:hint="default"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10.83</w:t>
            </w:r>
          </w:p>
        </w:tc>
      </w:tr>
    </w:tbl>
    <w:p>
      <w:pPr>
        <w:pStyle w:val="7"/>
        <w:keepNext w:val="0"/>
        <w:keepLines w:val="0"/>
        <w:widowControl/>
        <w:suppressLineNumbers w:val="0"/>
        <w:spacing w:before="586" w:beforeAutospacing="0" w:after="300" w:afterAutospacing="0" w:line="510" w:lineRule="atLeast"/>
        <w:ind w:left="0" w:right="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jc w:val="center"/>
        <w:rPr>
          <w:rFonts w:hint="eastAsia" w:ascii="宋体" w:hAnsi="宋体" w:eastAsia="宋体" w:cs="宋体"/>
          <w:color w:val="333333"/>
          <w:sz w:val="24"/>
          <w:szCs w:val="24"/>
          <w:shd w:val="clear" w:fill="FFFFFF"/>
        </w:rPr>
      </w:pPr>
    </w:p>
    <w:p>
      <w:pPr>
        <w:ind w:firstLine="1343" w:firstLineChars="446"/>
        <w:jc w:val="both"/>
        <w:rPr>
          <w:rFonts w:hint="eastAsia" w:ascii="Times New Roman" w:hAnsi="Times New Roman" w:eastAsia="楷体_GB2312" w:cs="Times New Roman"/>
          <w:b/>
          <w:color w:val="000000"/>
          <w:kern w:val="0"/>
          <w:sz w:val="30"/>
          <w:szCs w:val="30"/>
        </w:rPr>
      </w:pPr>
    </w:p>
    <w:p>
      <w:pPr>
        <w:ind w:firstLine="1193" w:firstLineChars="396"/>
        <w:rPr>
          <w:rFonts w:hint="eastAsia"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7</w:t>
      </w:r>
      <w:r>
        <w:rPr>
          <w:rFonts w:hint="eastAsia" w:eastAsia="楷体_GB2312"/>
          <w:b/>
          <w:color w:val="000000"/>
          <w:kern w:val="0"/>
          <w:sz w:val="30"/>
          <w:szCs w:val="30"/>
        </w:rPr>
        <w:t>）</w:t>
      </w:r>
    </w:p>
    <w:p>
      <w:pPr>
        <w:jc w:val="center"/>
        <w:outlineLvl w:val="0"/>
        <w:rPr>
          <w:rFonts w:eastAsia="方正小标宋简体"/>
          <w:color w:val="000000"/>
          <w:kern w:val="0"/>
          <w:sz w:val="40"/>
          <w:szCs w:val="40"/>
        </w:rPr>
      </w:pPr>
      <w:r>
        <w:rPr>
          <w:rFonts w:hint="eastAsia" w:eastAsia="方正小标宋简体"/>
          <w:color w:val="000000"/>
          <w:kern w:val="0"/>
          <w:sz w:val="40"/>
          <w:szCs w:val="40"/>
        </w:rPr>
        <w:t>一般公共预算</w:t>
      </w:r>
      <w:r>
        <w:rPr>
          <w:rFonts w:eastAsia="方正小标宋简体"/>
          <w:color w:val="000000"/>
          <w:kern w:val="0"/>
          <w:sz w:val="40"/>
          <w:szCs w:val="40"/>
        </w:rPr>
        <w:t>“</w:t>
      </w:r>
      <w:r>
        <w:rPr>
          <w:rFonts w:hint="eastAsia" w:eastAsia="方正小标宋简体"/>
          <w:color w:val="000000"/>
          <w:kern w:val="0"/>
          <w:sz w:val="40"/>
          <w:szCs w:val="40"/>
        </w:rPr>
        <w:t>三公</w:t>
      </w:r>
      <w:r>
        <w:rPr>
          <w:rFonts w:eastAsia="方正小标宋简体"/>
          <w:color w:val="000000"/>
          <w:kern w:val="0"/>
          <w:sz w:val="40"/>
          <w:szCs w:val="40"/>
        </w:rPr>
        <w:t>”</w:t>
      </w:r>
      <w:r>
        <w:rPr>
          <w:rFonts w:hint="eastAsia" w:eastAsia="方正小标宋简体"/>
          <w:color w:val="000000"/>
          <w:kern w:val="0"/>
          <w:sz w:val="40"/>
          <w:szCs w:val="40"/>
        </w:rPr>
        <w:t>经费支出表</w:t>
      </w:r>
    </w:p>
    <w:p>
      <w:pPr>
        <w:pStyle w:val="7"/>
        <w:keepNext w:val="0"/>
        <w:keepLines w:val="0"/>
        <w:widowControl/>
        <w:suppressLineNumbers w:val="0"/>
        <w:spacing w:before="586" w:beforeAutospacing="0" w:after="30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sz w:val="24"/>
          <w:szCs w:val="24"/>
          <w:shd w:val="clear" w:fill="FFFFFF"/>
        </w:rPr>
        <w:t>　　单位：万元</w:t>
      </w:r>
    </w:p>
    <w:tbl>
      <w:tblPr>
        <w:tblStyle w:val="8"/>
        <w:tblW w:w="828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436"/>
        <w:gridCol w:w="953"/>
        <w:gridCol w:w="328"/>
        <w:gridCol w:w="840"/>
        <w:gridCol w:w="840"/>
        <w:gridCol w:w="743"/>
        <w:gridCol w:w="436"/>
        <w:gridCol w:w="953"/>
        <w:gridCol w:w="328"/>
        <w:gridCol w:w="840"/>
        <w:gridCol w:w="840"/>
        <w:gridCol w:w="74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47" w:hRule="atLeast"/>
          <w:jc w:val="center"/>
        </w:trPr>
        <w:tc>
          <w:tcPr>
            <w:tcW w:w="0" w:type="auto"/>
            <w:gridSpan w:val="6"/>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上年预算数</w:t>
            </w:r>
          </w:p>
        </w:tc>
        <w:tc>
          <w:tcPr>
            <w:tcW w:w="0" w:type="auto"/>
            <w:gridSpan w:val="6"/>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本年预算数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90" w:hRule="atLeast"/>
          <w:jc w:val="center"/>
        </w:trPr>
        <w:tc>
          <w:tcPr>
            <w:tcW w:w="0" w:type="auto"/>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合计</w:t>
            </w:r>
          </w:p>
        </w:tc>
        <w:tc>
          <w:tcPr>
            <w:tcW w:w="0" w:type="auto"/>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因公</w:t>
            </w:r>
          </w:p>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出国（境）费</w:t>
            </w:r>
          </w:p>
        </w:tc>
        <w:tc>
          <w:tcPr>
            <w:tcW w:w="0" w:type="auto"/>
            <w:gridSpan w:val="3"/>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公务用车购置及运行费</w:t>
            </w:r>
          </w:p>
        </w:tc>
        <w:tc>
          <w:tcPr>
            <w:tcW w:w="0" w:type="auto"/>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公务接待费</w:t>
            </w:r>
          </w:p>
        </w:tc>
        <w:tc>
          <w:tcPr>
            <w:tcW w:w="0" w:type="auto"/>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合计</w:t>
            </w:r>
          </w:p>
        </w:tc>
        <w:tc>
          <w:tcPr>
            <w:tcW w:w="0" w:type="auto"/>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因公</w:t>
            </w:r>
          </w:p>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出国（境）费</w:t>
            </w:r>
          </w:p>
        </w:tc>
        <w:tc>
          <w:tcPr>
            <w:tcW w:w="0" w:type="auto"/>
            <w:gridSpan w:val="3"/>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公务用车购置及运行费</w:t>
            </w:r>
          </w:p>
        </w:tc>
        <w:tc>
          <w:tcPr>
            <w:tcW w:w="0" w:type="auto"/>
            <w:vMerge w:val="restart"/>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公务接待费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84" w:hRule="atLeast"/>
          <w:jc w:val="center"/>
        </w:trPr>
        <w:tc>
          <w:tcPr>
            <w:tcW w:w="0" w:type="auto"/>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新宋体" w:hAnsi="新宋体" w:eastAsia="新宋体" w:cs="新宋体"/>
                <w:sz w:val="21"/>
                <w:szCs w:val="21"/>
              </w:rPr>
            </w:pPr>
          </w:p>
        </w:tc>
        <w:tc>
          <w:tcPr>
            <w:tcW w:w="0" w:type="auto"/>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新宋体" w:hAnsi="新宋体" w:eastAsia="新宋体" w:cs="新宋体"/>
                <w:sz w:val="21"/>
                <w:szCs w:val="21"/>
              </w:rPr>
            </w:pPr>
          </w:p>
        </w:tc>
        <w:tc>
          <w:tcPr>
            <w:tcW w:w="0" w:type="auto"/>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小计</w:t>
            </w:r>
          </w:p>
        </w:tc>
        <w:tc>
          <w:tcPr>
            <w:tcW w:w="0" w:type="auto"/>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公务用车购置费</w:t>
            </w:r>
          </w:p>
        </w:tc>
        <w:tc>
          <w:tcPr>
            <w:tcW w:w="0" w:type="auto"/>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公务用车运行费</w:t>
            </w:r>
          </w:p>
        </w:tc>
        <w:tc>
          <w:tcPr>
            <w:tcW w:w="0" w:type="auto"/>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新宋体" w:hAnsi="新宋体" w:eastAsia="新宋体" w:cs="新宋体"/>
                <w:sz w:val="21"/>
                <w:szCs w:val="21"/>
              </w:rPr>
            </w:pPr>
          </w:p>
        </w:tc>
        <w:tc>
          <w:tcPr>
            <w:tcW w:w="0" w:type="auto"/>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新宋体" w:hAnsi="新宋体" w:eastAsia="新宋体" w:cs="新宋体"/>
                <w:sz w:val="21"/>
                <w:szCs w:val="21"/>
              </w:rPr>
            </w:pPr>
          </w:p>
        </w:tc>
        <w:tc>
          <w:tcPr>
            <w:tcW w:w="0" w:type="auto"/>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新宋体" w:hAnsi="新宋体" w:eastAsia="新宋体" w:cs="新宋体"/>
                <w:sz w:val="21"/>
                <w:szCs w:val="21"/>
              </w:rPr>
            </w:pPr>
          </w:p>
        </w:tc>
        <w:tc>
          <w:tcPr>
            <w:tcW w:w="0" w:type="auto"/>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小计</w:t>
            </w:r>
          </w:p>
        </w:tc>
        <w:tc>
          <w:tcPr>
            <w:tcW w:w="0" w:type="auto"/>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公务用车购置费</w:t>
            </w:r>
          </w:p>
        </w:tc>
        <w:tc>
          <w:tcPr>
            <w:tcW w:w="0" w:type="auto"/>
            <w:shd w:val="clear" w:color="auto" w:fill="auto"/>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公务用车运行费</w:t>
            </w:r>
          </w:p>
        </w:tc>
        <w:tc>
          <w:tcPr>
            <w:tcW w:w="0" w:type="auto"/>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新宋体" w:hAnsi="新宋体" w:eastAsia="新宋体" w:cs="新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92" w:hRule="atLeast"/>
          <w:jc w:val="center"/>
        </w:trPr>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2.67</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0</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lang w:val="en-US" w:eastAsia="zh-CN"/>
              </w:rPr>
            </w:pPr>
            <w:r>
              <w:rPr>
                <w:rFonts w:hint="eastAsia" w:ascii="新宋体" w:hAnsi="新宋体" w:eastAsia="新宋体" w:cs="新宋体"/>
                <w:color w:val="333333"/>
                <w:sz w:val="21"/>
                <w:szCs w:val="21"/>
                <w:lang w:val="en-US" w:eastAsia="zh-CN"/>
              </w:rPr>
              <w:t>0</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0</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0</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2.67</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2.67</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0</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0</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0</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0</w:t>
            </w:r>
          </w:p>
        </w:tc>
        <w:tc>
          <w:tcPr>
            <w:tcW w:w="0" w:type="auto"/>
            <w:shd w:val="clear" w:color="auto" w:fill="auto"/>
            <w:vAlign w:val="bottom"/>
          </w:tcPr>
          <w:p>
            <w:pPr>
              <w:pStyle w:val="7"/>
              <w:keepNext w:val="0"/>
              <w:keepLines w:val="0"/>
              <w:pageBreakBefore w:val="0"/>
              <w:widowControl/>
              <w:suppressLineNumbers w:val="0"/>
              <w:kinsoku/>
              <w:wordWrap/>
              <w:overflowPunct/>
              <w:topLinePunct w:val="0"/>
              <w:autoSpaceDE/>
              <w:autoSpaceDN/>
              <w:bidi w:val="0"/>
              <w:adjustRightInd/>
              <w:snapToGrid/>
              <w:spacing w:before="225" w:beforeAutospacing="0" w:line="240" w:lineRule="auto"/>
              <w:jc w:val="center"/>
              <w:textAlignment w:val="auto"/>
              <w:rPr>
                <w:rFonts w:hint="eastAsia" w:ascii="新宋体" w:hAnsi="新宋体" w:eastAsia="新宋体" w:cs="新宋体"/>
                <w:color w:val="333333"/>
                <w:sz w:val="21"/>
                <w:szCs w:val="21"/>
              </w:rPr>
            </w:pPr>
            <w:r>
              <w:rPr>
                <w:rFonts w:hint="eastAsia" w:ascii="新宋体" w:hAnsi="新宋体" w:eastAsia="新宋体" w:cs="新宋体"/>
                <w:color w:val="333333"/>
                <w:sz w:val="21"/>
                <w:szCs w:val="21"/>
              </w:rPr>
              <w:t>2.67</w:t>
            </w:r>
          </w:p>
        </w:tc>
      </w:tr>
    </w:tbl>
    <w:p>
      <w:pPr>
        <w:pStyle w:val="7"/>
        <w:keepNext w:val="0"/>
        <w:keepLines w:val="0"/>
        <w:widowControl/>
        <w:suppressLineNumbers w:val="0"/>
        <w:spacing w:before="586" w:beforeAutospacing="0" w:after="300" w:afterAutospacing="0" w:line="510" w:lineRule="atLeast"/>
        <w:ind w:left="0" w:right="0"/>
        <w:jc w:val="left"/>
        <w:rPr>
          <w:rFonts w:hint="eastAsia" w:ascii="宋体" w:hAnsi="宋体" w:eastAsia="宋体" w:cs="宋体"/>
          <w:color w:val="333333"/>
          <w:sz w:val="24"/>
          <w:szCs w:val="24"/>
        </w:rPr>
      </w:pPr>
      <w:r>
        <w:rPr>
          <w:rFonts w:hint="eastAsia" w:ascii="宋体" w:hAnsi="宋体" w:eastAsia="宋体" w:cs="宋体"/>
          <w:color w:val="333333"/>
          <w:sz w:val="24"/>
          <w:szCs w:val="24"/>
          <w:shd w:val="clear" w:fill="FFFFFF"/>
        </w:rPr>
        <w:t>　　说明：2019年三公经费预算数与2018年持平，实有车辆0台；2019年预计接待批次60次，接待人数650人左右。</w:t>
      </w:r>
    </w:p>
    <w:p>
      <w:pPr>
        <w:ind w:firstLine="1070" w:firstLineChars="446"/>
        <w:jc w:val="center"/>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rPr>
        <w:br w:type="textWrapping"/>
      </w:r>
    </w:p>
    <w:p>
      <w:pPr>
        <w:jc w:val="center"/>
        <w:rPr>
          <w:rFonts w:hint="eastAsia" w:ascii="Times New Roman" w:hAnsi="Times New Roman" w:eastAsia="楷体_GB2312" w:cs="Times New Roman"/>
          <w:b/>
          <w:color w:val="000000"/>
          <w:kern w:val="0"/>
          <w:sz w:val="30"/>
          <w:szCs w:val="30"/>
        </w:rPr>
      </w:pPr>
    </w:p>
    <w:p>
      <w:pPr>
        <w:jc w:val="center"/>
        <w:rPr>
          <w:rFonts w:hint="eastAsia" w:ascii="Times New Roman" w:hAnsi="Times New Roman" w:eastAsia="楷体_GB2312" w:cs="Times New Roman"/>
          <w:b/>
          <w:color w:val="000000"/>
          <w:kern w:val="0"/>
          <w:sz w:val="30"/>
          <w:szCs w:val="30"/>
        </w:rPr>
      </w:pPr>
    </w:p>
    <w:p>
      <w:pPr>
        <w:jc w:val="center"/>
        <w:rPr>
          <w:rFonts w:hint="eastAsia" w:ascii="Times New Roman" w:hAnsi="Times New Roman" w:eastAsia="楷体_GB2312" w:cs="Times New Roman"/>
          <w:b/>
          <w:color w:val="000000"/>
          <w:kern w:val="0"/>
          <w:sz w:val="30"/>
          <w:szCs w:val="30"/>
        </w:rPr>
      </w:pPr>
    </w:p>
    <w:p>
      <w:pPr>
        <w:jc w:val="center"/>
        <w:rPr>
          <w:rFonts w:hint="eastAsia" w:ascii="Times New Roman" w:hAnsi="Times New Roman" w:eastAsia="楷体_GB2312" w:cs="Times New Roman"/>
          <w:b/>
          <w:color w:val="000000"/>
          <w:kern w:val="0"/>
          <w:sz w:val="30"/>
          <w:szCs w:val="30"/>
        </w:rPr>
      </w:pPr>
    </w:p>
    <w:p>
      <w:pPr>
        <w:jc w:val="center"/>
        <w:rPr>
          <w:rFonts w:hint="eastAsia" w:ascii="Times New Roman" w:hAnsi="Times New Roman" w:eastAsia="楷体_GB2312" w:cs="Times New Roman"/>
          <w:b/>
          <w:color w:val="000000"/>
          <w:kern w:val="0"/>
          <w:sz w:val="30"/>
          <w:szCs w:val="30"/>
        </w:rPr>
      </w:pPr>
    </w:p>
    <w:p>
      <w:pPr>
        <w:jc w:val="center"/>
        <w:rPr>
          <w:rFonts w:hint="eastAsia" w:ascii="Times New Roman" w:hAnsi="Times New Roman" w:eastAsia="楷体_GB2312" w:cs="Times New Roman"/>
          <w:b/>
          <w:color w:val="000000"/>
          <w:kern w:val="0"/>
          <w:sz w:val="30"/>
          <w:szCs w:val="30"/>
        </w:rPr>
      </w:pPr>
    </w:p>
    <w:p>
      <w:pPr>
        <w:jc w:val="center"/>
        <w:rPr>
          <w:rFonts w:hint="eastAsia" w:ascii="Times New Roman" w:hAnsi="Times New Roman" w:eastAsia="楷体_GB2312" w:cs="Times New Roman"/>
          <w:b/>
          <w:color w:val="000000"/>
          <w:kern w:val="0"/>
          <w:sz w:val="30"/>
          <w:szCs w:val="30"/>
        </w:rPr>
      </w:pPr>
    </w:p>
    <w:p>
      <w:pPr>
        <w:jc w:val="center"/>
        <w:rPr>
          <w:rFonts w:hint="eastAsia" w:ascii="Times New Roman" w:hAnsi="Times New Roman" w:eastAsia="楷体_GB2312" w:cs="Times New Roman"/>
          <w:b/>
          <w:color w:val="000000"/>
          <w:kern w:val="0"/>
          <w:sz w:val="30"/>
          <w:szCs w:val="30"/>
        </w:rPr>
      </w:pPr>
    </w:p>
    <w:p>
      <w:pPr>
        <w:jc w:val="center"/>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8</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outlineLvl w:val="0"/>
        <w:rPr>
          <w:rFonts w:eastAsia="方正小标宋简体"/>
          <w:color w:val="000000"/>
          <w:kern w:val="0"/>
          <w:sz w:val="40"/>
          <w:szCs w:val="40"/>
        </w:rPr>
      </w:pPr>
      <w:r>
        <w:rPr>
          <w:rFonts w:hint="eastAsia" w:eastAsia="方正小标宋简体"/>
          <w:color w:val="000000"/>
          <w:kern w:val="0"/>
          <w:sz w:val="40"/>
          <w:szCs w:val="40"/>
        </w:rPr>
        <w:t>政府性基金预算支出表</w:t>
      </w:r>
    </w:p>
    <w:p>
      <w:pPr>
        <w:spacing w:line="240" w:lineRule="exact"/>
        <w:jc w:val="center"/>
        <w:rPr>
          <w:rFonts w:eastAsia="方正小标宋简体"/>
          <w:color w:val="000000"/>
          <w:kern w:val="0"/>
          <w:sz w:val="40"/>
          <w:szCs w:val="40"/>
        </w:rPr>
      </w:pPr>
    </w:p>
    <w:p>
      <w:pPr>
        <w:pStyle w:val="7"/>
        <w:keepNext w:val="0"/>
        <w:keepLines w:val="0"/>
        <w:widowControl/>
        <w:suppressLineNumbers w:val="0"/>
        <w:spacing w:before="586" w:beforeAutospacing="0" w:after="300" w:afterAutospacing="0" w:line="510" w:lineRule="atLeast"/>
        <w:ind w:left="0" w:right="0"/>
        <w:jc w:val="right"/>
        <w:rPr>
          <w:rFonts w:hint="eastAsia" w:ascii="宋体" w:hAnsi="宋体" w:eastAsia="宋体" w:cs="宋体"/>
          <w:color w:val="333333"/>
          <w:sz w:val="24"/>
          <w:szCs w:val="24"/>
        </w:rPr>
      </w:pPr>
      <w:r>
        <w:rPr>
          <w:rFonts w:hint="eastAsia" w:ascii="宋体" w:hAnsi="宋体" w:eastAsia="宋体" w:cs="宋体"/>
          <w:color w:val="333333"/>
          <w:sz w:val="24"/>
          <w:szCs w:val="24"/>
          <w:shd w:val="clear" w:fill="FFFFFF"/>
        </w:rPr>
        <w:t>　　单位：万元</w:t>
      </w:r>
    </w:p>
    <w:tbl>
      <w:tblPr>
        <w:tblStyle w:val="8"/>
        <w:tblW w:w="832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485"/>
        <w:gridCol w:w="487"/>
        <w:gridCol w:w="486"/>
        <w:gridCol w:w="1459"/>
        <w:gridCol w:w="1096"/>
        <w:gridCol w:w="2154"/>
        <w:gridCol w:w="21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0" w:type="auto"/>
            <w:gridSpan w:val="4"/>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功能分类科目</w:t>
            </w:r>
          </w:p>
        </w:tc>
        <w:tc>
          <w:tcPr>
            <w:tcW w:w="0" w:type="auto"/>
            <w:gridSpan w:val="3"/>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本年政府性基金预算财政拨款支出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gridSpan w:val="3"/>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科目编码</w:t>
            </w:r>
          </w:p>
        </w:tc>
        <w:tc>
          <w:tcPr>
            <w:tcW w:w="0" w:type="auto"/>
            <w:vMerge w:val="restart"/>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科目名称</w:t>
            </w:r>
          </w:p>
        </w:tc>
        <w:tc>
          <w:tcPr>
            <w:tcW w:w="0" w:type="auto"/>
            <w:vMerge w:val="restart"/>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合计</w:t>
            </w:r>
          </w:p>
        </w:tc>
        <w:tc>
          <w:tcPr>
            <w:tcW w:w="0" w:type="auto"/>
            <w:vMerge w:val="restart"/>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基本支出</w:t>
            </w:r>
          </w:p>
        </w:tc>
        <w:tc>
          <w:tcPr>
            <w:tcW w:w="0" w:type="auto"/>
            <w:vMerge w:val="restart"/>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项目支出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类</w:t>
            </w:r>
          </w:p>
        </w:tc>
        <w:tc>
          <w:tcPr>
            <w:tcW w:w="0" w:type="auto"/>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款</w:t>
            </w:r>
          </w:p>
        </w:tc>
        <w:tc>
          <w:tcPr>
            <w:tcW w:w="0" w:type="auto"/>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项</w:t>
            </w:r>
          </w:p>
        </w:tc>
        <w:tc>
          <w:tcPr>
            <w:tcW w:w="0" w:type="auto"/>
            <w:vMerge w:val="continue"/>
            <w:shd w:val="clear" w:color="auto" w:fill="auto"/>
            <w:vAlign w:val="center"/>
          </w:tcPr>
          <w:p>
            <w:pPr>
              <w:jc w:val="center"/>
              <w:rPr>
                <w:rFonts w:hint="eastAsia" w:ascii="微软雅黑" w:hAnsi="微软雅黑" w:eastAsia="微软雅黑" w:cs="微软雅黑"/>
                <w:sz w:val="24"/>
                <w:szCs w:val="24"/>
              </w:rPr>
            </w:pPr>
          </w:p>
        </w:tc>
        <w:tc>
          <w:tcPr>
            <w:tcW w:w="0" w:type="auto"/>
            <w:vMerge w:val="continue"/>
            <w:shd w:val="clear" w:color="auto" w:fill="auto"/>
            <w:vAlign w:val="center"/>
          </w:tcPr>
          <w:p>
            <w:pPr>
              <w:jc w:val="center"/>
              <w:rPr>
                <w:rFonts w:hint="eastAsia" w:ascii="微软雅黑" w:hAnsi="微软雅黑" w:eastAsia="微软雅黑" w:cs="微软雅黑"/>
                <w:sz w:val="24"/>
                <w:szCs w:val="24"/>
              </w:rPr>
            </w:pPr>
          </w:p>
        </w:tc>
        <w:tc>
          <w:tcPr>
            <w:tcW w:w="0" w:type="auto"/>
            <w:vMerge w:val="continue"/>
            <w:shd w:val="clear" w:color="auto" w:fill="auto"/>
            <w:vAlign w:val="center"/>
          </w:tcPr>
          <w:p>
            <w:pPr>
              <w:jc w:val="center"/>
              <w:rPr>
                <w:rFonts w:hint="eastAsia" w:ascii="微软雅黑" w:hAnsi="微软雅黑" w:eastAsia="微软雅黑" w:cs="微软雅黑"/>
                <w:sz w:val="24"/>
                <w:szCs w:val="24"/>
              </w:rPr>
            </w:pPr>
          </w:p>
        </w:tc>
        <w:tc>
          <w:tcPr>
            <w:tcW w:w="0" w:type="auto"/>
            <w:vMerge w:val="continue"/>
            <w:shd w:val="clear" w:color="auto" w:fill="auto"/>
            <w:vAlign w:val="center"/>
          </w:tcPr>
          <w:p>
            <w:pPr>
              <w:jc w:val="cente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0" w:type="auto"/>
            <w:gridSpan w:val="3"/>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无</w:t>
            </w:r>
          </w:p>
        </w:tc>
        <w:tc>
          <w:tcPr>
            <w:tcW w:w="0" w:type="auto"/>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无</w:t>
            </w:r>
          </w:p>
        </w:tc>
        <w:tc>
          <w:tcPr>
            <w:tcW w:w="0" w:type="auto"/>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无</w:t>
            </w:r>
          </w:p>
        </w:tc>
        <w:tc>
          <w:tcPr>
            <w:tcW w:w="0" w:type="auto"/>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无</w:t>
            </w:r>
          </w:p>
        </w:tc>
        <w:tc>
          <w:tcPr>
            <w:tcW w:w="0" w:type="auto"/>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0" w:type="auto"/>
            <w:gridSpan w:val="3"/>
            <w:shd w:val="clear" w:color="auto" w:fill="auto"/>
            <w:vAlign w:val="center"/>
          </w:tcPr>
          <w:p>
            <w:pPr>
              <w:jc w:val="center"/>
              <w:rPr>
                <w:rFonts w:hint="eastAsia" w:ascii="微软雅黑" w:hAnsi="微软雅黑" w:eastAsia="微软雅黑" w:cs="微软雅黑"/>
                <w:sz w:val="24"/>
                <w:szCs w:val="24"/>
              </w:rPr>
            </w:pPr>
          </w:p>
        </w:tc>
        <w:tc>
          <w:tcPr>
            <w:tcW w:w="0" w:type="auto"/>
            <w:shd w:val="clear" w:color="auto" w:fill="auto"/>
            <w:vAlign w:val="center"/>
          </w:tcPr>
          <w:p>
            <w:pPr>
              <w:pStyle w:val="7"/>
              <w:keepNext w:val="0"/>
              <w:keepLines w:val="0"/>
              <w:widowControl/>
              <w:suppressLineNumbers w:val="0"/>
              <w:spacing w:before="225" w:beforeAutospacing="0" w:line="51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合计</w:t>
            </w:r>
          </w:p>
        </w:tc>
        <w:tc>
          <w:tcPr>
            <w:tcW w:w="0" w:type="auto"/>
            <w:shd w:val="clear" w:color="auto" w:fill="auto"/>
            <w:vAlign w:val="center"/>
          </w:tcPr>
          <w:p>
            <w:pPr>
              <w:jc w:val="center"/>
              <w:rPr>
                <w:rFonts w:hint="eastAsia" w:ascii="微软雅黑" w:hAnsi="微软雅黑" w:eastAsia="微软雅黑" w:cs="微软雅黑"/>
                <w:sz w:val="24"/>
                <w:szCs w:val="24"/>
              </w:rPr>
            </w:pPr>
          </w:p>
        </w:tc>
        <w:tc>
          <w:tcPr>
            <w:tcW w:w="0" w:type="auto"/>
            <w:shd w:val="clear" w:color="auto" w:fill="auto"/>
            <w:vAlign w:val="center"/>
          </w:tcPr>
          <w:p>
            <w:pPr>
              <w:jc w:val="center"/>
              <w:rPr>
                <w:rFonts w:hint="eastAsia" w:ascii="微软雅黑" w:hAnsi="微软雅黑" w:eastAsia="微软雅黑" w:cs="微软雅黑"/>
                <w:sz w:val="24"/>
                <w:szCs w:val="24"/>
              </w:rPr>
            </w:pPr>
          </w:p>
        </w:tc>
        <w:tc>
          <w:tcPr>
            <w:tcW w:w="0" w:type="auto"/>
            <w:shd w:val="clear" w:color="auto" w:fill="auto"/>
            <w:vAlign w:val="center"/>
          </w:tcPr>
          <w:p>
            <w:pPr>
              <w:jc w:val="center"/>
              <w:rPr>
                <w:rFonts w:hint="eastAsia" w:ascii="微软雅黑" w:hAnsi="微软雅黑" w:eastAsia="微软雅黑" w:cs="微软雅黑"/>
                <w:sz w:val="24"/>
                <w:szCs w:val="24"/>
              </w:rPr>
            </w:pPr>
          </w:p>
        </w:tc>
      </w:tr>
    </w:tbl>
    <w:p>
      <w:pPr>
        <w:rPr>
          <w:rFonts w:hint="eastAsia" w:ascii="宋体" w:hAnsi="宋体"/>
          <w:sz w:val="28"/>
          <w:szCs w:val="28"/>
        </w:rPr>
      </w:pPr>
      <w:r>
        <w:rPr>
          <w:rFonts w:hint="eastAsia" w:eastAsia="楷体_GB2312"/>
          <w:b w:val="0"/>
          <w:bCs/>
          <w:color w:val="000000"/>
          <w:kern w:val="0"/>
          <w:sz w:val="28"/>
          <w:szCs w:val="28"/>
          <w:lang w:eastAsia="zh-CN"/>
        </w:rPr>
        <w:t>说明：</w:t>
      </w:r>
      <w:r>
        <w:rPr>
          <w:rFonts w:hint="eastAsia" w:eastAsia="楷体_GB2312"/>
          <w:b w:val="0"/>
          <w:bCs/>
          <w:color w:val="000000"/>
          <w:kern w:val="0"/>
          <w:sz w:val="28"/>
          <w:szCs w:val="28"/>
          <w:lang w:val="en-US" w:eastAsia="zh-CN"/>
        </w:rPr>
        <w:t>2019年度本单位未安排政府性基金预算支出。</w:t>
      </w:r>
    </w:p>
    <w:p>
      <w:pPr>
        <w:pStyle w:val="7"/>
        <w:keepNext w:val="0"/>
        <w:keepLines w:val="0"/>
        <w:widowControl/>
        <w:suppressLineNumbers w:val="0"/>
        <w:spacing w:before="586" w:beforeAutospacing="0" w:after="300" w:afterAutospacing="0" w:line="510" w:lineRule="atLeast"/>
        <w:ind w:left="0" w:right="0" w:firstLine="48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firstLine="48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firstLine="48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firstLine="480"/>
        <w:jc w:val="center"/>
        <w:rPr>
          <w:rFonts w:hint="eastAsia" w:ascii="宋体" w:hAnsi="宋体" w:eastAsia="宋体" w:cs="宋体"/>
          <w:color w:val="333333"/>
          <w:sz w:val="24"/>
          <w:szCs w:val="24"/>
          <w:shd w:val="clear" w:fill="FFFFFF"/>
        </w:rPr>
      </w:pPr>
    </w:p>
    <w:p>
      <w:pPr>
        <w:pStyle w:val="7"/>
        <w:keepNext w:val="0"/>
        <w:keepLines w:val="0"/>
        <w:widowControl/>
        <w:suppressLineNumbers w:val="0"/>
        <w:spacing w:before="586" w:beforeAutospacing="0" w:after="300" w:afterAutospacing="0" w:line="510" w:lineRule="atLeast"/>
        <w:ind w:left="0" w:right="0" w:firstLine="480"/>
        <w:jc w:val="center"/>
        <w:rPr>
          <w:rFonts w:hint="eastAsia" w:ascii="宋体" w:hAnsi="宋体" w:eastAsia="宋体" w:cs="宋体"/>
          <w:color w:val="333333"/>
          <w:sz w:val="24"/>
          <w:szCs w:val="24"/>
          <w:shd w:val="clear" w:fill="FFFFFF"/>
        </w:rPr>
      </w:pPr>
    </w:p>
    <w:p>
      <w:r>
        <w:rPr>
          <w:rFonts w:hint="eastAsia" w:ascii="宋体" w:hAnsi="宋体" w:eastAsia="宋体" w:cs="宋体"/>
          <w:color w:val="333333"/>
          <w:sz w:val="24"/>
          <w:szCs w:val="24"/>
          <w:shd w:val="clear" w:fill="FFFFFF"/>
        </w:rPr>
        <w:br w:type="textWrapp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 w:name="新宋体">
    <w:panose1 w:val="02010609030101010101"/>
    <w:charset w:val="86"/>
    <w:family w:val="auto"/>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E195A3"/>
    <w:multiLevelType w:val="singleLevel"/>
    <w:tmpl w:val="EDE195A3"/>
    <w:lvl w:ilvl="0" w:tentative="0">
      <w:start w:val="2"/>
      <w:numFmt w:val="chineseCounting"/>
      <w:suff w:val="nothing"/>
      <w:lvlText w:val="（%1）"/>
      <w:lvlJc w:val="left"/>
      <w:rPr>
        <w:rFonts w:hint="eastAsia"/>
      </w:rPr>
    </w:lvl>
  </w:abstractNum>
  <w:abstractNum w:abstractNumId="1">
    <w:nsid w:val="68EE1142"/>
    <w:multiLevelType w:val="singleLevel"/>
    <w:tmpl w:val="68EE1142"/>
    <w:lvl w:ilvl="0" w:tentative="0">
      <w:start w:val="1"/>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BB0D39"/>
    <w:rsid w:val="08B54A20"/>
    <w:rsid w:val="094914EC"/>
    <w:rsid w:val="10941CD8"/>
    <w:rsid w:val="11BC4DC5"/>
    <w:rsid w:val="12162911"/>
    <w:rsid w:val="1B101B05"/>
    <w:rsid w:val="20ED33F2"/>
    <w:rsid w:val="22866101"/>
    <w:rsid w:val="27457B92"/>
    <w:rsid w:val="281A723A"/>
    <w:rsid w:val="33FD5117"/>
    <w:rsid w:val="3B34130A"/>
    <w:rsid w:val="45DD09D8"/>
    <w:rsid w:val="63BC3384"/>
    <w:rsid w:val="6D3B1C34"/>
    <w:rsid w:val="6EA43350"/>
    <w:rsid w:val="71BA7D54"/>
    <w:rsid w:val="787D6C09"/>
    <w:rsid w:val="7BB23215"/>
    <w:rsid w:val="7C570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line="17" w:lineRule="atLeast"/>
      <w:ind w:left="0" w:right="0"/>
      <w:jc w:val="left"/>
    </w:pPr>
    <w:rPr>
      <w:rFonts w:hint="eastAsia" w:ascii="宋体" w:hAnsi="宋体" w:eastAsia="宋体" w:cs="宋体"/>
      <w:kern w:val="0"/>
      <w:sz w:val="36"/>
      <w:szCs w:val="36"/>
      <w:lang w:val="en-US" w:eastAsia="zh-CN" w:bidi="ar"/>
    </w:rPr>
  </w:style>
  <w:style w:type="paragraph" w:styleId="3">
    <w:name w:val="heading 4"/>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line="17" w:lineRule="atLeast"/>
      <w:ind w:left="0" w:right="0"/>
      <w:jc w:val="left"/>
    </w:pPr>
    <w:rPr>
      <w:rFonts w:hint="eastAsia" w:ascii="宋体" w:hAnsi="宋体" w:eastAsia="宋体" w:cs="宋体"/>
      <w:kern w:val="0"/>
      <w:sz w:val="27"/>
      <w:szCs w:val="27"/>
      <w:lang w:val="en-US" w:eastAsia="zh-CN" w:bidi="ar"/>
    </w:rPr>
  </w:style>
  <w:style w:type="paragraph" w:styleId="4">
    <w:name w:val="heading 6"/>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line="17" w:lineRule="atLeast"/>
      <w:ind w:left="0" w:right="0"/>
      <w:jc w:val="left"/>
    </w:pPr>
    <w:rPr>
      <w:rFonts w:hint="eastAsia" w:ascii="宋体" w:hAnsi="宋体" w:eastAsia="宋体" w:cs="宋体"/>
      <w:kern w:val="0"/>
      <w:sz w:val="18"/>
      <w:szCs w:val="1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rFonts w:eastAsia="Times New Roman"/>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Times New Roman"/>
      <w:sz w:val="18"/>
      <w:szCs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10">
    <w:name w:val="Strong"/>
    <w:basedOn w:val="9"/>
    <w:qFormat/>
    <w:uiPriority w:val="0"/>
    <w:rPr>
      <w:b/>
    </w:rPr>
  </w:style>
  <w:style w:type="character" w:styleId="11">
    <w:name w:val="FollowedHyperlink"/>
    <w:basedOn w:val="9"/>
    <w:qFormat/>
    <w:uiPriority w:val="0"/>
    <w:rPr>
      <w:color w:val="333333"/>
      <w:u w:val="none"/>
    </w:rPr>
  </w:style>
  <w:style w:type="character" w:styleId="12">
    <w:name w:val="Emphasis"/>
    <w:basedOn w:val="9"/>
    <w:qFormat/>
    <w:uiPriority w:val="0"/>
  </w:style>
  <w:style w:type="character" w:styleId="13">
    <w:name w:val="HTML Definition"/>
    <w:basedOn w:val="9"/>
    <w:qFormat/>
    <w:uiPriority w:val="0"/>
    <w:rPr>
      <w:i/>
    </w:rPr>
  </w:style>
  <w:style w:type="character" w:styleId="14">
    <w:name w:val="Hyperlink"/>
    <w:basedOn w:val="9"/>
    <w:qFormat/>
    <w:uiPriority w:val="0"/>
    <w:rPr>
      <w:color w:val="333333"/>
      <w:u w:val="none"/>
    </w:rPr>
  </w:style>
  <w:style w:type="character" w:styleId="15">
    <w:name w:val="HTML Code"/>
    <w:basedOn w:val="9"/>
    <w:qFormat/>
    <w:uiPriority w:val="0"/>
    <w:rPr>
      <w:rFonts w:hint="default" w:ascii="Consolas" w:hAnsi="Consolas" w:eastAsia="Consolas" w:cs="Consolas"/>
      <w:color w:val="C7254E"/>
      <w:sz w:val="21"/>
      <w:szCs w:val="21"/>
      <w:shd w:val="clear" w:fill="F9F2F4"/>
    </w:rPr>
  </w:style>
  <w:style w:type="character" w:styleId="16">
    <w:name w:val="HTML Keyboard"/>
    <w:basedOn w:val="9"/>
    <w:qFormat/>
    <w:uiPriority w:val="0"/>
    <w:rPr>
      <w:rFonts w:ascii="Consolas" w:hAnsi="Consolas" w:eastAsia="Consolas" w:cs="Consolas"/>
      <w:b/>
      <w:color w:val="FFFFFF"/>
      <w:sz w:val="21"/>
      <w:szCs w:val="21"/>
      <w:shd w:val="clear" w:fill="333333"/>
    </w:rPr>
  </w:style>
  <w:style w:type="character" w:styleId="17">
    <w:name w:val="HTML Sample"/>
    <w:basedOn w:val="9"/>
    <w:qFormat/>
    <w:uiPriority w:val="0"/>
    <w:rPr>
      <w:rFonts w:hint="default" w:ascii="Consolas" w:hAnsi="Consolas" w:eastAsia="Consolas" w:cs="Consolas"/>
      <w:sz w:val="21"/>
      <w:szCs w:val="21"/>
    </w:rPr>
  </w:style>
  <w:style w:type="character" w:customStyle="1" w:styleId="18">
    <w:name w:val="time"/>
    <w:basedOn w:val="9"/>
    <w:qFormat/>
    <w:uiPriority w:val="0"/>
    <w:rPr>
      <w:rFonts w:ascii="Arial" w:hAnsi="Arial" w:cs="Arial"/>
    </w:rPr>
  </w:style>
  <w:style w:type="character" w:customStyle="1" w:styleId="19">
    <w:name w:val="select2-selection__rendered"/>
    <w:basedOn w:val="9"/>
    <w:qFormat/>
    <w:uiPriority w:val="0"/>
    <w:rPr>
      <w:sz w:val="18"/>
      <w:szCs w:val="18"/>
    </w:rPr>
  </w:style>
  <w:style w:type="character" w:customStyle="1" w:styleId="20">
    <w:name w:val="zjj"/>
    <w:basedOn w:val="9"/>
    <w:qFormat/>
    <w:uiPriority w:val="0"/>
  </w:style>
  <w:style w:type="character" w:customStyle="1" w:styleId="21">
    <w:name w:val="zjj1"/>
    <w:basedOn w:val="9"/>
    <w:qFormat/>
    <w:uiPriority w:val="0"/>
  </w:style>
  <w:style w:type="character" w:customStyle="1" w:styleId="22">
    <w:name w:val="bsharetext"/>
    <w:basedOn w:val="9"/>
    <w:qFormat/>
    <w:uiPriority w:val="0"/>
  </w:style>
  <w:style w:type="character" w:customStyle="1" w:styleId="23">
    <w:name w:val="wf-f-forecast-aqi-5[data-v-158b712f]"/>
    <w:basedOn w:val="9"/>
    <w:qFormat/>
    <w:uiPriority w:val="0"/>
    <w:rPr>
      <w:color w:val="8A4DAA"/>
    </w:rPr>
  </w:style>
  <w:style w:type="character" w:customStyle="1" w:styleId="24">
    <w:name w:val="wf-f-forecast-aqi-1[data-v-158b712f]"/>
    <w:basedOn w:val="9"/>
    <w:qFormat/>
    <w:uiPriority w:val="0"/>
    <w:rPr>
      <w:color w:val="94CE6F"/>
    </w:rPr>
  </w:style>
  <w:style w:type="character" w:customStyle="1" w:styleId="25">
    <w:name w:val="wf-f-forecast-aqi-2[data-v-158b712f]"/>
    <w:basedOn w:val="9"/>
    <w:qFormat/>
    <w:uiPriority w:val="0"/>
    <w:rPr>
      <w:color w:val="E4C600"/>
    </w:rPr>
  </w:style>
  <w:style w:type="character" w:customStyle="1" w:styleId="26">
    <w:name w:val="wf-f-forecast-aqi-3[data-v-158b712f]"/>
    <w:basedOn w:val="9"/>
    <w:qFormat/>
    <w:uiPriority w:val="0"/>
    <w:rPr>
      <w:color w:val="E59C3B"/>
    </w:rPr>
  </w:style>
  <w:style w:type="character" w:customStyle="1" w:styleId="27">
    <w:name w:val="wf-f-forecast-aqi-4[data-v-158b712f]"/>
    <w:basedOn w:val="9"/>
    <w:qFormat/>
    <w:uiPriority w:val="0"/>
    <w:rPr>
      <w:color w:val="C76464"/>
    </w:rPr>
  </w:style>
  <w:style w:type="character" w:customStyle="1" w:styleId="28">
    <w:name w:val="wf-f-forecast-aqi-6[data-v-158b712f]"/>
    <w:basedOn w:val="9"/>
    <w:qFormat/>
    <w:uiPriority w:val="0"/>
    <w:rPr>
      <w:color w:val="BF2762"/>
    </w:rPr>
  </w:style>
  <w:style w:type="character" w:customStyle="1" w:styleId="29">
    <w:name w:val="wx-space"/>
    <w:basedOn w:val="9"/>
    <w:qFormat/>
    <w:uiPriority w:val="0"/>
  </w:style>
  <w:style w:type="character" w:customStyle="1" w:styleId="30">
    <w:name w:val="wx-space1"/>
    <w:basedOn w:val="9"/>
    <w:qFormat/>
    <w:uiPriority w:val="0"/>
  </w:style>
  <w:style w:type="character" w:customStyle="1" w:styleId="31">
    <w:name w:val="hover18"/>
    <w:basedOn w:val="9"/>
    <w:qFormat/>
    <w:uiPriority w:val="0"/>
    <w:rPr>
      <w:color w:val="000000"/>
      <w:shd w:val="clear" w:fil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陈元</cp:lastModifiedBy>
  <dcterms:modified xsi:type="dcterms:W3CDTF">2021-06-23T01:56:24Z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BCB6722DAE824D20BEA07036206F2179</vt:lpwstr>
  </property>
</Properties>
</file>