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96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附件1：</w:t>
      </w:r>
    </w:p>
    <w:p>
      <w:pPr>
        <w:autoSpaceDE w:val="0"/>
        <w:autoSpaceDN w:val="0"/>
        <w:adjustRightInd w:val="0"/>
        <w:spacing w:afterLines="50" w:line="596" w:lineRule="exact"/>
        <w:jc w:val="center"/>
        <w:rPr>
          <w:rFonts w:ascii="方正小标宋_GBK" w:eastAsia="方正小标宋_GBK"/>
          <w:sz w:val="32"/>
          <w:szCs w:val="32"/>
        </w:rPr>
      </w:pPr>
      <w:r>
        <w:rPr>
          <w:rFonts w:hint="eastAsia" w:ascii="方正小标宋_GBK" w:hAnsi="黑体" w:eastAsia="方正小标宋_GBK" w:cs="宋体"/>
          <w:color w:val="000000"/>
          <w:kern w:val="0"/>
          <w:sz w:val="36"/>
          <w:szCs w:val="36"/>
        </w:rPr>
        <w:t>湖南省交通运输系统行政事业性收费标准表</w:t>
      </w:r>
    </w:p>
    <w:tbl>
      <w:tblPr>
        <w:tblStyle w:val="7"/>
        <w:tblW w:w="1436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3517"/>
        <w:gridCol w:w="1237"/>
        <w:gridCol w:w="1560"/>
        <w:gridCol w:w="2037"/>
        <w:gridCol w:w="2318"/>
        <w:gridCol w:w="30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</w:rPr>
              <w:t>序号</w:t>
            </w:r>
          </w:p>
        </w:tc>
        <w:tc>
          <w:tcPr>
            <w:tcW w:w="3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</w:rPr>
              <w:t>收费项目</w:t>
            </w:r>
          </w:p>
        </w:tc>
        <w:tc>
          <w:tcPr>
            <w:tcW w:w="1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</w:rPr>
              <w:t>计费单位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</w:rPr>
              <w:t>收费标准（元）</w:t>
            </w:r>
          </w:p>
        </w:tc>
        <w:tc>
          <w:tcPr>
            <w:tcW w:w="20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</w:rPr>
              <w:t>执收单位</w:t>
            </w:r>
          </w:p>
        </w:tc>
        <w:tc>
          <w:tcPr>
            <w:tcW w:w="23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</w:rPr>
              <w:t>收费对象及范围</w:t>
            </w:r>
          </w:p>
        </w:tc>
        <w:tc>
          <w:tcPr>
            <w:tcW w:w="3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一</w:t>
            </w:r>
          </w:p>
        </w:tc>
        <w:tc>
          <w:tcPr>
            <w:tcW w:w="3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车辆通行费（限于政府还贷）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每台.次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按省政府批准文件执行</w:t>
            </w:r>
          </w:p>
        </w:tc>
        <w:tc>
          <w:tcPr>
            <w:tcW w:w="2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交通公路管理部门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车主</w:t>
            </w:r>
          </w:p>
        </w:tc>
        <w:tc>
          <w:tcPr>
            <w:tcW w:w="3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　</w:t>
            </w:r>
          </w:p>
        </w:tc>
        <w:tc>
          <w:tcPr>
            <w:tcW w:w="3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公路、桥梁、隧道通行费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　</w:t>
            </w:r>
          </w:p>
        </w:tc>
        <w:tc>
          <w:tcPr>
            <w:tcW w:w="2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　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　</w:t>
            </w:r>
          </w:p>
        </w:tc>
        <w:tc>
          <w:tcPr>
            <w:tcW w:w="3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二</w:t>
            </w:r>
          </w:p>
        </w:tc>
        <w:tc>
          <w:tcPr>
            <w:tcW w:w="3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破损公路及公路设施赔补偿费和公路占用费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见附件二</w:t>
            </w:r>
          </w:p>
        </w:tc>
        <w:tc>
          <w:tcPr>
            <w:tcW w:w="2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公路路政管理部门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破损、占用公路路产的单位或个人</w:t>
            </w:r>
          </w:p>
        </w:tc>
        <w:tc>
          <w:tcPr>
            <w:tcW w:w="3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三</w:t>
            </w:r>
          </w:p>
        </w:tc>
        <w:tc>
          <w:tcPr>
            <w:tcW w:w="3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经营性道路客货运输驾驶员从业资格考试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每人.次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湘发改价费[2017]127号</w:t>
            </w:r>
          </w:p>
        </w:tc>
        <w:tc>
          <w:tcPr>
            <w:tcW w:w="2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道路运管部门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　</w:t>
            </w:r>
          </w:p>
        </w:tc>
        <w:tc>
          <w:tcPr>
            <w:tcW w:w="3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收费标准按照《关于贯彻落实国家发改委 财政部关于改革全国性职业资格考试收费标准管理方式的通知》（湘发改价费[2017]127号）规定执行。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　</w:t>
            </w:r>
          </w:p>
        </w:tc>
        <w:tc>
          <w:tcPr>
            <w:tcW w:w="3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1.道路旅客、货物运输考试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　</w:t>
            </w:r>
          </w:p>
        </w:tc>
        <w:tc>
          <w:tcPr>
            <w:tcW w:w="2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　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经营性道路客、货运驾驶员</w:t>
            </w:r>
          </w:p>
        </w:tc>
        <w:tc>
          <w:tcPr>
            <w:tcW w:w="3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　</w:t>
            </w:r>
          </w:p>
        </w:tc>
        <w:tc>
          <w:tcPr>
            <w:tcW w:w="3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2.道路危险货物运输考试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　</w:t>
            </w:r>
          </w:p>
        </w:tc>
        <w:tc>
          <w:tcPr>
            <w:tcW w:w="2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　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道路危货运从业人员</w:t>
            </w:r>
          </w:p>
        </w:tc>
        <w:tc>
          <w:tcPr>
            <w:tcW w:w="3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四</w:t>
            </w:r>
          </w:p>
        </w:tc>
        <w:tc>
          <w:tcPr>
            <w:tcW w:w="3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道路运输从业资格证遗失补证费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每证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20</w:t>
            </w:r>
          </w:p>
        </w:tc>
        <w:tc>
          <w:tcPr>
            <w:tcW w:w="2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道路运管部门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申请补证者</w:t>
            </w:r>
          </w:p>
        </w:tc>
        <w:tc>
          <w:tcPr>
            <w:tcW w:w="3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五</w:t>
            </w:r>
          </w:p>
        </w:tc>
        <w:tc>
          <w:tcPr>
            <w:tcW w:w="3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船员（含海船及内河船员）考试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每人.次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湘发改价费[2017]127号</w:t>
            </w:r>
          </w:p>
        </w:tc>
        <w:tc>
          <w:tcPr>
            <w:tcW w:w="2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海事部门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申请考试者</w:t>
            </w:r>
          </w:p>
        </w:tc>
        <w:tc>
          <w:tcPr>
            <w:tcW w:w="3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收费标准按照《关于贯彻落实国家发改委 财政部关于改革全国性职业资格考试收费标准管理方式的通知》（湘发改价费[2017]127号）规定执行。</w:t>
            </w:r>
          </w:p>
        </w:tc>
      </w:tr>
    </w:tbl>
    <w:p>
      <w:pPr>
        <w:spacing w:line="578" w:lineRule="exact"/>
        <w:rPr>
          <w:rFonts w:ascii="Times New Roman" w:hAnsi="Times New Roman" w:eastAsia="宋体" w:cs="Times New Roman"/>
          <w:szCs w:val="21"/>
        </w:rPr>
      </w:pPr>
    </w:p>
    <w:p>
      <w:pPr>
        <w:spacing w:line="578" w:lineRule="exact"/>
        <w:rPr>
          <w:rFonts w:ascii="仿宋_GB2312" w:eastAsia="仿宋_GB2312"/>
          <w:sz w:val="32"/>
          <w:szCs w:val="32"/>
        </w:rPr>
      </w:pPr>
      <w:r>
        <w:br w:type="page"/>
      </w:r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spacing w:afterLines="50" w:line="578" w:lineRule="exact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hAnsi="宋体" w:eastAsia="方正小标宋_GBK" w:cs="宋体"/>
          <w:kern w:val="0"/>
          <w:sz w:val="36"/>
          <w:szCs w:val="36"/>
        </w:rPr>
        <w:t>破损公路及公路设施赔补偿费和公路占用费标准表</w:t>
      </w:r>
    </w:p>
    <w:tbl>
      <w:tblPr>
        <w:tblStyle w:val="7"/>
        <w:tblW w:w="148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3541"/>
        <w:gridCol w:w="1167"/>
        <w:gridCol w:w="1167"/>
        <w:gridCol w:w="1164"/>
        <w:gridCol w:w="1161"/>
        <w:gridCol w:w="1164"/>
        <w:gridCol w:w="1161"/>
        <w:gridCol w:w="34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序号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收费项目名称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计费单位</w:t>
            </w:r>
          </w:p>
        </w:tc>
        <w:tc>
          <w:tcPr>
            <w:tcW w:w="23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收费标准（元）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执收单位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收费对象及范围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收费性质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备       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破损公路及公路设施赔补偿费和公路占用费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高速公路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普通公路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公路路政管理部门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破损、占用公路路产的单位或个人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事业性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一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路面、路肩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总量不足1㎡时按1㎡计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水泥混凝土路面、路肩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350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300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沥青混凝土路面、路肩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450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400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沥青碎石路面、路肩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280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沥青贯入式路面、路肩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180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5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沥青表处路面、路肩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100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6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砂、石路面、路肩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80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7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pacing w:val="-6"/>
                <w:kern w:val="0"/>
                <w:szCs w:val="21"/>
              </w:rPr>
            </w:pPr>
            <w:r>
              <w:rPr>
                <w:rFonts w:hint="eastAsia" w:ascii="宋体" w:hAnsi="宋体"/>
                <w:spacing w:val="-6"/>
                <w:kern w:val="0"/>
              </w:rPr>
              <w:t>油类、酸、碱类化学物质污染水泥路面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80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60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8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pacing w:val="-6"/>
                <w:kern w:val="0"/>
                <w:szCs w:val="21"/>
              </w:rPr>
            </w:pPr>
            <w:r>
              <w:rPr>
                <w:rFonts w:hint="eastAsia" w:ascii="宋体" w:hAnsi="宋体"/>
                <w:spacing w:val="-6"/>
                <w:kern w:val="0"/>
              </w:rPr>
              <w:t>油类、酸、碱类化学物质污染沥青路面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120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100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9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其他物质污染路面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10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混凝土路缘石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150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150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11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水泥路创伤划痕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宽度在1米之内（含1米）的，按长度计费，宽度在1米以上的，按平方米计费。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12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沥青路创伤划痕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二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基层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水泥稳定类基层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100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石灰、工业废渣稳定类基层和级配碎石、砾石基层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80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80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天然沙砾、泥灰结碎石基层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60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60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路基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立方米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150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100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四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防护工程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总量不足1㎡时按1㎡计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干砌挡土墙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150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浆砌挡土墙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200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混凝土挡土墙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300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碎落台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60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5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石砌边坡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100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车辆交通事故造成损坏的，计费单位按平方米；挖掘等涉路工程造成损坏的，计费单位按立方米计费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6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拱形骨架护坡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185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185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7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预制块边坡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80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80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8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土质边坡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五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桥、涵、隧道工程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石拱涵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500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总量不足1㎡时按1㎡计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石盖板涵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800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总量不足1㎡时按1㎡计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混凝土拱涵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1000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总量不足1㎡时按1㎡计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钢筋砼盖板涵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1200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1200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总量不足1㎡时按1㎡计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5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直径１米的钢筋混凝土圆管涵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600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600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直径每增减0.25米，收费标准增减100元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6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涵洞洞口及八字墙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处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1000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1000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7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钢筋砼盖板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460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460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总量不足1㎡时按1㎡计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8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钢筋砼倒虹吸圆管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立方米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1800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1800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总量不足1m</w:t>
            </w:r>
            <w:r>
              <w:rPr>
                <w:rFonts w:hint="eastAsia" w:ascii="宋体" w:hAnsi="宋体"/>
                <w:kern w:val="0"/>
                <w:vertAlign w:val="superscript"/>
              </w:rPr>
              <w:t>3</w:t>
            </w:r>
            <w:r>
              <w:rPr>
                <w:rFonts w:hint="eastAsia" w:ascii="宋体" w:hAnsi="宋体"/>
                <w:kern w:val="0"/>
              </w:rPr>
              <w:t>时按1m</w:t>
            </w:r>
            <w:r>
              <w:rPr>
                <w:rFonts w:hint="eastAsia" w:ascii="宋体" w:hAnsi="宋体"/>
                <w:kern w:val="0"/>
                <w:vertAlign w:val="superscript"/>
              </w:rPr>
              <w:t>3</w:t>
            </w:r>
            <w:r>
              <w:rPr>
                <w:rFonts w:hint="eastAsia" w:ascii="宋体" w:hAnsi="宋体"/>
                <w:kern w:val="0"/>
              </w:rPr>
              <w:t>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9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石砌、混凝土边沟、排水沟(截水沟)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230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200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10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土质边沟、排水沟(截水沟)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11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石砌墙式护栏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400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12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钢筋混凝土桥栏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600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600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13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人行道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300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14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波型梁板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300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15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桥梁方、圆钢护栏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340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16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 xml:space="preserve">桥梁方、圆钢护栏托架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个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50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17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桥 面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300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总量不足1m</w:t>
            </w:r>
            <w:r>
              <w:rPr>
                <w:rFonts w:hint="eastAsia" w:ascii="宋体" w:hAnsi="宋体"/>
                <w:kern w:val="0"/>
                <w:vertAlign w:val="superscript"/>
              </w:rPr>
              <w:t>2</w:t>
            </w:r>
            <w:r>
              <w:rPr>
                <w:rFonts w:hint="eastAsia" w:ascii="宋体" w:hAnsi="宋体"/>
                <w:kern w:val="0"/>
              </w:rPr>
              <w:t>时按1m</w:t>
            </w:r>
            <w:r>
              <w:rPr>
                <w:rFonts w:hint="eastAsia" w:ascii="宋体" w:hAnsi="宋体"/>
                <w:kern w:val="0"/>
                <w:vertAlign w:val="superscript"/>
              </w:rPr>
              <w:t>2</w:t>
            </w:r>
            <w:r>
              <w:rPr>
                <w:rFonts w:hint="eastAsia" w:ascii="宋体" w:hAnsi="宋体"/>
                <w:kern w:val="0"/>
              </w:rPr>
              <w:t>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18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人行天桥桥墩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立方米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1700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总量不足1m</w:t>
            </w:r>
            <w:r>
              <w:rPr>
                <w:rFonts w:hint="eastAsia" w:ascii="宋体" w:hAnsi="宋体"/>
                <w:kern w:val="0"/>
                <w:vertAlign w:val="superscript"/>
              </w:rPr>
              <w:t>3</w:t>
            </w:r>
            <w:r>
              <w:rPr>
                <w:rFonts w:hint="eastAsia" w:ascii="宋体" w:hAnsi="宋体"/>
                <w:kern w:val="0"/>
              </w:rPr>
              <w:t>时按1m</w:t>
            </w:r>
            <w:r>
              <w:rPr>
                <w:rFonts w:hint="eastAsia" w:ascii="宋体" w:hAnsi="宋体"/>
                <w:kern w:val="0"/>
                <w:vertAlign w:val="superscript"/>
              </w:rPr>
              <w:t>3</w:t>
            </w:r>
            <w:r>
              <w:rPr>
                <w:rFonts w:hint="eastAsia" w:ascii="宋体" w:hAnsi="宋体"/>
                <w:kern w:val="0"/>
              </w:rPr>
              <w:t>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19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人行天桥上部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1600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总量不足1㎡时按1㎡计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20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防落物网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380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21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分离式立交桥桥墩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立方米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1900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总量不足1m</w:t>
            </w:r>
            <w:r>
              <w:rPr>
                <w:rFonts w:hint="eastAsia" w:ascii="宋体" w:hAnsi="宋体"/>
                <w:kern w:val="0"/>
                <w:vertAlign w:val="superscript"/>
              </w:rPr>
              <w:t>3</w:t>
            </w:r>
            <w:r>
              <w:rPr>
                <w:rFonts w:hint="eastAsia" w:ascii="宋体" w:hAnsi="宋体"/>
                <w:kern w:val="0"/>
              </w:rPr>
              <w:t>时按1m</w:t>
            </w:r>
            <w:r>
              <w:rPr>
                <w:rFonts w:hint="eastAsia" w:ascii="宋体" w:hAnsi="宋体"/>
                <w:kern w:val="0"/>
                <w:vertAlign w:val="superscript"/>
              </w:rPr>
              <w:t>3</w:t>
            </w:r>
            <w:r>
              <w:rPr>
                <w:rFonts w:hint="eastAsia" w:ascii="宋体" w:hAnsi="宋体"/>
                <w:kern w:val="0"/>
              </w:rPr>
              <w:t>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22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分离式立交桥上部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立方米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1800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总量不足1m</w:t>
            </w:r>
            <w:r>
              <w:rPr>
                <w:rFonts w:hint="eastAsia" w:ascii="宋体" w:hAnsi="宋体"/>
                <w:kern w:val="0"/>
                <w:vertAlign w:val="superscript"/>
              </w:rPr>
              <w:t>3</w:t>
            </w:r>
            <w:r>
              <w:rPr>
                <w:rFonts w:hint="eastAsia" w:ascii="宋体" w:hAnsi="宋体"/>
                <w:kern w:val="0"/>
              </w:rPr>
              <w:t>时按1m</w:t>
            </w:r>
            <w:r>
              <w:rPr>
                <w:rFonts w:hint="eastAsia" w:ascii="宋体" w:hAnsi="宋体"/>
                <w:kern w:val="0"/>
                <w:vertAlign w:val="superscript"/>
              </w:rPr>
              <w:t>3</w:t>
            </w:r>
            <w:r>
              <w:rPr>
                <w:rFonts w:hint="eastAsia" w:ascii="宋体" w:hAnsi="宋体"/>
                <w:kern w:val="0"/>
              </w:rPr>
              <w:t>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23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桥梁主体结构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按价格认证机构认证价格收取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24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隧道主体结构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按价格认证机构认证价格收取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六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交通工程设施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已扣除残值。擦伤按50％计赔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路侧、中央带二波形梁钢护栏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4米栏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900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800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3米栏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650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600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2.5米栏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600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550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二波形梁防护栏钢托架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个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60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60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二波形梁防护栏钢立柱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根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200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三波形梁防护栏（纳米防锈型）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1400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4米为一块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5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pacing w:val="-6"/>
                <w:kern w:val="0"/>
                <w:szCs w:val="21"/>
              </w:rPr>
            </w:pPr>
            <w:r>
              <w:rPr>
                <w:rFonts w:hint="eastAsia" w:ascii="宋体" w:hAnsi="宋体"/>
                <w:spacing w:val="-6"/>
                <w:kern w:val="0"/>
              </w:rPr>
              <w:t>三波形梁防护栏钢托架（纳米防锈型）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个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120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6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三波形梁防护栏钢立柱（纳米防锈型）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根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7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裹塑型钢护栏(二波形)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1000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4米为一块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8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纳米防锈型钢护栏(二波形)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1100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4米为一块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9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钢缆索护栏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260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200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10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钢缆索护栏立柱及砼基础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500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450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11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路侧、中央带波形钢端头梁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个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180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160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12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BT2型护栏端头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个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4800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4600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13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双圆端头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个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4400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4200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14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路侧砼隔音隔离墙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片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1200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每片规格：2.5米×2米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15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路侧砼隔音隔离板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1500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每片规格：3米×2米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16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A型隔音墙(PC半透明阳光板)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880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17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B型隔音墙(PC半透明阳光板)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920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18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C型隔音墙（2.5米PC透明阳光板）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1800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19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C型隔音墙上构（3米PC半透明阳光板）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2400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20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生态隔音墙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1400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21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路侧隔音隔离墙砼立柱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根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240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22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红砖隔离墙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23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喷塑钢板网隔离栅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片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24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浸塑折弯式点焊网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450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25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路侧编织网隔离栅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片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26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路侧刺铁丝隔离栅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27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半封闭防撞砼墩及金属隔栏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600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28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金属活动栏杆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片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450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29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钢筋砼防护栏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280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30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玻璃钢式轮廓柱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根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180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31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钢筋砼安全示警桩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个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100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32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里程牌（碑）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440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90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33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里程牌支撑立柱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根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34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柔性立柱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根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35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百米桩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根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50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36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示警桩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根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80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37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轮廓桩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根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90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38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普通反光标志牌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700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39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普通标志牌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350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40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立柱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根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230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41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公路标线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42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分隔带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140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43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双向推拉式活动护栏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1000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44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防眩板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45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标线上反光路钮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个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50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46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 xml:space="preserve">球型突起路钮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个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50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47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附着式轮廓标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个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48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路面反光漆标线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80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总量不足1㎡时按1㎡计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49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热熔型标线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120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总量不足1㎡时按1㎡计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50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振动标线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260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总量不足1㎡时按1㎡计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51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彩色减速带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180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总量不足1㎡时按1㎡计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52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砖砌普通贴面墙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150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总量不足1㎡时按1㎡计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53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砖砌花岗岩贴面墙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总量不足1㎡时按1㎡计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54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固定式钢管防撞栏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个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1000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55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圆柱型玻璃钢反光防撞筒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个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700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56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半圆柱型玻璃钢反光防撞导流桶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个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1000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57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导向防撞垫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按价格认证机构认证价格收取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58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反光锥筒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个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80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59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水马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个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500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60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紧急电话亭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国产件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座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11000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进口件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座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32000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61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钢筋砼防撞导流岛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总量不足1㎡时按1㎡计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62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高架桥上泄水管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根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80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63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封沟网片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处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64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高强级反光标志牌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3000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总量不足1㎡时按1㎡计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65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直径100㎜内热镀锌钢制单立柱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根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1200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66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直径101－150㎜以内热镀锌钢制单立柱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根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2500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67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直径150－200㎜以内热镀锌钢制单立柱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根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3200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68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直径201－250㎜以内热镀锌钢制单悬臂立柱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10000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69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直径251－310㎜以内热镀锌钢制单悬臂立柱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18000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70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热镀锌钢制门架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座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55000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只损坏部分的，按同规格单立柱标准收取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七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高速公路机电设施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计重收费设备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（1）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称重中心控制器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54600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（2）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称重传感器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62200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（3）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线圈传感器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10200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（4）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红外线车辆分离器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15000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（5）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设备机箱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3200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监控、收费机电设施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（1）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自动栏杆（包括电机、主控器、外壳、支架、基础、栏杆等）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a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电机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台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5280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b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主控器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台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4560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c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箱体外壳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个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3240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d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活动支架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个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1370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e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自动栏杆挡臂（含ETC栏杆）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根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1000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合金材质，PVC管按每根300元收取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（2）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费额显示器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台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5400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（3）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雨棚信号灯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3000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（4）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通行信号灯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3500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（5）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黄色闪光报警器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140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（6）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 xml:space="preserve">手动栏杆                 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2800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（7）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雾灯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1800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（8）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车牌识别设备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20000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（9）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车道控制器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按价格认证机构认证价格收取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（10）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收费车道摄像机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9000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（11）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收费亭摄像机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3500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（12）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视频防护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只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150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（13）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广场设备机柜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个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3800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（14）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摄像机防水保护外壳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个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600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（15）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广场摄像机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a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镜头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个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4200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b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云台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12000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c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防护罩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个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740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d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解码器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台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3000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e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机箱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4800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（16）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立柱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3600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（17）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视频车辆检测摄像机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5000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（18）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机箱、立柱及防雷装置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处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9500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（19）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拾音器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70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（20）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收费站固定钢管防撞门墩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副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9600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（21）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收费站设备基础恢复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项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1800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（22）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收费岛反光漆面刮擦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50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总量不足1㎡时按1㎡计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（23）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收费亭玻璃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110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总量不足1㎡时按1㎡计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（24）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收费亭曲面玻璃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（25）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IC卡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张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35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（26）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门架式可变情报板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按价格认证机构认证价格收取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（27）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立柱式可变情报板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高速公路隧道设施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（1）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隧道内遥控摄像机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按价格认证机构认证价格收取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（2）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隧道内固定摄像机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（3）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球式摄像机含附件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（4）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一氧化碳及透过率检测器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（5）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风速、风向检测器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（6）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双波长火灾探测器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台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12560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（7）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光强监测系统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按价格认证机构认证价格收取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（8）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可变情报板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（9）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可变限速标志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11400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（10）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紧急出口指示牌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680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（11）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紧急停车带标志灯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2200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（12）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行人横洞标志灯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2200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（13）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隧道车道控制标志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16000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（14）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隧道鼓风机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21000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（15）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照明控制箱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个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1350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（16）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检修插座箱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个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1350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（17）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不锈钢灭火箱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个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410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（18）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隧道内消防栓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个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2400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（19）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智能手动报警按钮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只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360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（20）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声光报警器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只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370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（21）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隧道广播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只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180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（22）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隧道高压钠灯250W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960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（23）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隧道高压钠灯150W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920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（24）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隧道高压钠灯100W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880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（25）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星空投影灯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11000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（26）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蓝色投光灯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8400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（27）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防水吸顶灯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1140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（28）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隧道内壁防火涂层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120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（29）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隧道内壁反光墙面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150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（30）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LED地脚灯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个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900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ETC专用车道机电设备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（1）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ETC专用车道控制器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按价格认证机构认证价格收取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（2）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ETC专用车道天线及控制器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（3）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ETC专用车道天线立柱（2支架式）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（4）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ETC专用车道高速电动栏杆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（5）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ETC车道检测器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4800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（6）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ETC专用车道声光报警器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1200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（7）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ETC专用车道费额显示器（含立柱）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24000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（8）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ETC专用车道通行信号灯（含立柱）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7200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（9）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ETC专用车道字符叠加器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4300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（10）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ETC专用车道车牌自动识别系统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按价格认证机构认证价格收取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（11）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ETC专用车道防雷设备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套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16800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八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公路绿化设施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（1）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乔木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株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a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胸径4㎝以内（含4㎝）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140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140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胸径是指距离地面1米处树干的直径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b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胸径５－8㎝以内（含8㎝）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180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180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c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胸径９－12㎝以内（含12㎝）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460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460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d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胸径12㎝以上基价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900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900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每增加5cm按基价的15%加收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（2）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灌木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株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a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冠幅1米以下（含1米）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80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80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b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冠幅1－1.3米以下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130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130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c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冠幅1.3米以上基价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200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每增加10㎝按基价的30﹪加收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（3）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竹类、花卉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株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100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（4）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草皮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12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12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（5）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藤蔓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株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2.5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2.5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（6）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特殊植被、名贵树木、花卉等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pacing w:val="-6"/>
                <w:kern w:val="0"/>
                <w:szCs w:val="21"/>
              </w:rPr>
            </w:pPr>
            <w:r>
              <w:rPr>
                <w:rFonts w:hint="eastAsia" w:ascii="宋体" w:hAnsi="宋体"/>
                <w:spacing w:val="-6"/>
                <w:kern w:val="0"/>
              </w:rPr>
              <w:t>按现行价格2倍收取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九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占用公路补偿费（一次性收取）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破损公路及公路设施另行计费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（1）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pacing w:val="-6"/>
                <w:kern w:val="0"/>
                <w:szCs w:val="21"/>
              </w:rPr>
            </w:pPr>
            <w:r>
              <w:rPr>
                <w:rFonts w:hint="eastAsia" w:ascii="宋体" w:hAnsi="宋体"/>
                <w:spacing w:val="-6"/>
                <w:kern w:val="0"/>
              </w:rPr>
              <w:t>跨越、穿越公路架设、埋设管线等设施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300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（2）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顶管穿越公路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240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240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顶管穿径超过30cm，每增加10cm，加收20%。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（3）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公路用地范围内架设、埋设管线、电缆等设施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50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50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含公路桥梁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（4）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占用公路用地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延米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高速公路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8000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国道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8000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省道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5000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县道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3000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（5）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临时占用公路（含路面、路肩和公路用地）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M</w:t>
            </w:r>
            <w:r>
              <w:rPr>
                <w:rFonts w:hint="eastAsia" w:ascii="宋体" w:hAnsi="宋体"/>
                <w:kern w:val="0"/>
                <w:vertAlign w:val="superscript"/>
              </w:rPr>
              <w:t>2</w:t>
            </w:r>
            <w:r>
              <w:rPr>
                <w:rFonts w:hint="eastAsia" w:ascii="宋体" w:hAnsi="宋体"/>
                <w:kern w:val="0"/>
              </w:rPr>
              <w:t>·天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一年期限。不足1平方米，按1平方米计征。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十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超限运输车辆行驶公路补偿费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（1）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超高、超长、超宽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Km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0.2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0.2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车辆同时超高、超长、超宽，选择大数计收。已实行计重收费的路段，不得收费。公路桥梁、涵洞需要加固的，按加固、改造的预算价收取加固、改造费用。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（2）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超重(车货总质量)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40-50吨(含40吨)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Km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50-60吨(含50T吨）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Km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60-70吨(含60吨)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Km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6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6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70吨以上(含70吨)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①超限率≤30﹪的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T.km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②30﹪＜超限率≤100﹪的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超限0－30﹪的部分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T.km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超限30﹪以上的部分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按基本费率的2倍线性递增至5倍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基本费率为1元／T.km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③超限率＞100﹪的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超限0－30﹪的部分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T.km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超限30﹪以上的部分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按基本费率的5倍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基本费率为1元／T.km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（3）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车辆轴载质量超过规定值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T.km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（4）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超限运输护运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车货总重120吨以下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Km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25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25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高速公路上行驶的车辆货物载后几何尺寸总长30－35米或总宽3.7－4.2米或总高4.5－4.7米，任意一项达到此范围的需要交费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车货总重120以上(含120T)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Km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40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高速公路上行驶的车辆货物载后几何尺寸总长超过35米或总宽超过4.2米或总高超过4.7米，任意一项超过此范围的需要交费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十一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其它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涂改公路设施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（1）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反光膜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参照标志牌反光膜标准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参照标志牌反光膜标准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（2）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镀锌产品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处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160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160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（3）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混凝土设施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平方米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60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60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损坏治超检测站设施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根据恢复重置费用按实收取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</w:t>
            </w:r>
          </w:p>
        </w:tc>
        <w:tc>
          <w:tcPr>
            <w:tcW w:w="3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2010年后高速公路新增项目及表列以外的其它设施破损赔偿费用标准，由省价格认证中心认证后，报省发改委、省财政厅审定。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  <w:tc>
          <w:tcPr>
            <w:tcW w:w="3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　</w:t>
            </w:r>
          </w:p>
        </w:tc>
      </w:tr>
    </w:tbl>
    <w:p>
      <w:pPr>
        <w:spacing w:line="596" w:lineRule="exact"/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81284"/>
    <w:rsid w:val="000B109C"/>
    <w:rsid w:val="000C5F37"/>
    <w:rsid w:val="003F2757"/>
    <w:rsid w:val="00481284"/>
    <w:rsid w:val="0060717A"/>
    <w:rsid w:val="00836C3F"/>
    <w:rsid w:val="00B21F34"/>
    <w:rsid w:val="00D825EC"/>
    <w:rsid w:val="00DC086F"/>
    <w:rsid w:val="16C37D95"/>
    <w:rsid w:val="75D9190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5">
    <w:name w:val="header"/>
    <w:basedOn w:val="1"/>
    <w:link w:val="15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semiHidden/>
    <w:unhideWhenUsed/>
    <w:uiPriority w:val="99"/>
    <w:rPr>
      <w:color w:val="0000FF"/>
      <w:u w:val="single"/>
    </w:rPr>
  </w:style>
  <w:style w:type="character" w:customStyle="1" w:styleId="10">
    <w:name w:val="标题 3 Char"/>
    <w:basedOn w:val="8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1">
    <w:name w:val="tys-main-zt-aa"/>
    <w:basedOn w:val="8"/>
    <w:qFormat/>
    <w:uiPriority w:val="0"/>
  </w:style>
  <w:style w:type="character" w:customStyle="1" w:styleId="12">
    <w:name w:val="apple-converted-space"/>
    <w:basedOn w:val="8"/>
    <w:qFormat/>
    <w:uiPriority w:val="0"/>
  </w:style>
  <w:style w:type="character" w:customStyle="1" w:styleId="13">
    <w:name w:val="页脚 Char"/>
    <w:basedOn w:val="8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批注框文本 Char"/>
    <w:basedOn w:val="8"/>
    <w:link w:val="3"/>
    <w:semiHidden/>
    <w:uiPriority w:val="99"/>
    <w:rPr>
      <w:sz w:val="18"/>
      <w:szCs w:val="18"/>
    </w:rPr>
  </w:style>
  <w:style w:type="character" w:customStyle="1" w:styleId="15">
    <w:name w:val="页眉 Char"/>
    <w:basedOn w:val="8"/>
    <w:link w:val="5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1501</Words>
  <Characters>8556</Characters>
  <Lines>71</Lines>
  <Paragraphs>20</Paragraphs>
  <TotalTime>6</TotalTime>
  <ScaleCrop>false</ScaleCrop>
  <LinksUpToDate>false</LinksUpToDate>
  <CharactersWithSpaces>10037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2017-12-14T01:25:00Z</dcterms:created>
  <dc:creator>NTKO</dc:creator>
  <cp:lastModifiedBy>路石</cp:lastModifiedBy>
  <dcterms:modified xsi:type="dcterms:W3CDTF">2021-06-16T01:56:20Z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