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  <w:sz w:val="20"/>
        </w:rPr>
      </w:pPr>
      <w:bookmarkStart w:id="0" w:name="_GoBack"/>
      <w:bookmarkEnd w:id="0"/>
    </w:p>
    <w:p>
      <w:pPr>
        <w:pStyle w:val="3"/>
        <w:spacing w:before="4"/>
        <w:rPr>
          <w:rFonts w:ascii="Times New Roman"/>
          <w:sz w:val="27"/>
        </w:rPr>
      </w:pPr>
    </w:p>
    <w:p>
      <w:pPr>
        <w:pStyle w:val="3"/>
        <w:spacing w:before="369"/>
        <w:ind w:left="2934" w:right="3015"/>
        <w:jc w:val="center"/>
      </w:pPr>
      <w:r>
        <w:pict>
          <v:line id="_x0000_s1026" o:spid="_x0000_s1026" o:spt="20" style="position:absolute;left:0pt;margin-left:79.4pt;margin-top:42.5pt;height:0pt;width:436.8pt;mso-position-horizontal-relative:page;mso-wrap-distance-bottom:0pt;mso-wrap-distance-top:0pt;z-index:-251657216;mso-width-relative:page;mso-height-relative:page;" stroked="t" coordsize="21600,21600">
            <v:path arrowok="t"/>
            <v:fill focussize="0,0"/>
            <v:stroke weight="1.5pt" color="#FF0000"/>
            <v:imagedata o:title=""/>
            <o:lock v:ext="edit"/>
            <w10:wrap type="topAndBottom"/>
          </v:line>
        </w:pict>
      </w:r>
      <w:r>
        <w:t>湘财预〔</w:t>
      </w:r>
      <w:r>
        <w:rPr>
          <w:rFonts w:ascii="Times New Roman" w:eastAsia="Times New Roman"/>
        </w:rPr>
        <w:t>2020</w:t>
      </w:r>
      <w:r>
        <w:t>〕</w:t>
      </w:r>
      <w:r>
        <w:rPr>
          <w:rFonts w:ascii="Times New Roman" w:eastAsia="Times New Roman"/>
        </w:rPr>
        <w:t xml:space="preserve">379 </w:t>
      </w:r>
      <w:r>
        <w:t>号</w:t>
      </w:r>
    </w:p>
    <w:p>
      <w:pPr>
        <w:pStyle w:val="3"/>
        <w:rPr>
          <w:sz w:val="20"/>
        </w:rPr>
      </w:pPr>
    </w:p>
    <w:p>
      <w:pPr>
        <w:pStyle w:val="3"/>
        <w:spacing w:before="7"/>
        <w:rPr>
          <w:sz w:val="26"/>
        </w:rPr>
      </w:pPr>
    </w:p>
    <w:p>
      <w:pPr>
        <w:spacing w:before="87" w:line="187" w:lineRule="auto"/>
        <w:ind w:left="1832" w:right="297" w:hanging="1649"/>
        <w:jc w:val="left"/>
        <w:rPr>
          <w:rFonts w:hint="eastAsia" w:ascii="Arial Unicode MS" w:eastAsia="Arial Unicode MS"/>
          <w:sz w:val="44"/>
        </w:rPr>
      </w:pPr>
      <w:r>
        <w:rPr>
          <w:rFonts w:hint="eastAsia" w:ascii="Arial Unicode MS" w:eastAsia="Arial Unicode MS"/>
          <w:sz w:val="44"/>
        </w:rPr>
        <w:t xml:space="preserve">关于提前下达 </w:t>
      </w:r>
      <w:r>
        <w:rPr>
          <w:rFonts w:ascii="Times New Roman" w:eastAsia="Times New Roman"/>
          <w:sz w:val="44"/>
        </w:rPr>
        <w:t xml:space="preserve">2021 </w:t>
      </w:r>
      <w:r>
        <w:rPr>
          <w:rFonts w:hint="eastAsia" w:ascii="Arial Unicode MS" w:eastAsia="Arial Unicode MS"/>
          <w:sz w:val="44"/>
        </w:rPr>
        <w:t>年学生资助中央直达资金和省级资金的通知（市县）</w:t>
      </w:r>
    </w:p>
    <w:p>
      <w:pPr>
        <w:pStyle w:val="3"/>
        <w:spacing w:before="3"/>
        <w:rPr>
          <w:rFonts w:ascii="Arial Unicode MS"/>
          <w:sz w:val="44"/>
        </w:rPr>
      </w:pPr>
    </w:p>
    <w:p>
      <w:pPr>
        <w:pStyle w:val="3"/>
        <w:ind w:left="1388"/>
      </w:pPr>
      <w:r>
        <w:rPr>
          <w:w w:val="99"/>
        </w:rPr>
        <w:t>：</w:t>
      </w:r>
    </w:p>
    <w:p>
      <w:pPr>
        <w:pStyle w:val="3"/>
        <w:tabs>
          <w:tab w:val="left" w:pos="3468"/>
        </w:tabs>
        <w:spacing w:before="228" w:line="374" w:lineRule="auto"/>
        <w:ind w:left="108" w:right="105" w:firstLine="720"/>
        <w:rPr>
          <w:rFonts w:ascii="Times New Roman" w:hAnsi="Times New Roman" w:eastAsia="Times New Roman"/>
        </w:rPr>
      </w:pPr>
      <w:r>
        <w:t>根据《财政部</w:t>
      </w:r>
      <w:r>
        <w:rPr>
          <w:spacing w:val="-5"/>
        </w:rPr>
        <w:t xml:space="preserve"> </w:t>
      </w:r>
      <w:r>
        <w:t>教育部</w:t>
      </w:r>
      <w:r>
        <w:rPr>
          <w:spacing w:val="-2"/>
        </w:rPr>
        <w:t xml:space="preserve"> </w:t>
      </w:r>
      <w:r>
        <w:t>人力资源社会保障部关于提前下达</w:t>
      </w:r>
      <w:r>
        <w:rPr>
          <w:rFonts w:ascii="Times New Roman" w:hAnsi="Times New Roman" w:eastAsia="Times New Roman"/>
          <w:spacing w:val="1"/>
          <w:w w:val="99"/>
        </w:rPr>
        <w:t>2</w:t>
      </w:r>
      <w:r>
        <w:rPr>
          <w:rFonts w:ascii="Times New Roman" w:hAnsi="Times New Roman" w:eastAsia="Times New Roman"/>
          <w:spacing w:val="-2"/>
          <w:w w:val="99"/>
        </w:rPr>
        <w:t>0</w:t>
      </w:r>
      <w:r>
        <w:rPr>
          <w:rFonts w:ascii="Times New Roman" w:hAnsi="Times New Roman" w:eastAsia="Times New Roman"/>
          <w:spacing w:val="1"/>
          <w:w w:val="99"/>
        </w:rPr>
        <w:t>2</w:t>
      </w:r>
      <w:r>
        <w:rPr>
          <w:rFonts w:ascii="Times New Roman" w:hAnsi="Times New Roman" w:eastAsia="Times New Roman"/>
          <w:w w:val="99"/>
        </w:rPr>
        <w:t>1</w:t>
      </w:r>
      <w:r>
        <w:rPr>
          <w:rFonts w:ascii="Times New Roman" w:hAnsi="Times New Roman" w:eastAsia="Times New Roman"/>
        </w:rPr>
        <w:t xml:space="preserve"> </w:t>
      </w:r>
      <w:r>
        <w:rPr>
          <w:w w:val="99"/>
        </w:rPr>
        <w:t>年</w:t>
      </w:r>
      <w:r>
        <w:rPr>
          <w:spacing w:val="2"/>
          <w:w w:val="99"/>
        </w:rPr>
        <w:t>学</w:t>
      </w:r>
      <w:r>
        <w:rPr>
          <w:w w:val="99"/>
        </w:rPr>
        <w:t>生资</w:t>
      </w:r>
      <w:r>
        <w:rPr>
          <w:spacing w:val="2"/>
          <w:w w:val="99"/>
        </w:rPr>
        <w:t>助</w:t>
      </w:r>
      <w:r>
        <w:rPr>
          <w:w w:val="99"/>
        </w:rPr>
        <w:t>补</w:t>
      </w:r>
      <w:r>
        <w:rPr>
          <w:spacing w:val="2"/>
          <w:w w:val="99"/>
        </w:rPr>
        <w:t>助</w:t>
      </w:r>
      <w:r>
        <w:rPr>
          <w:w w:val="99"/>
        </w:rPr>
        <w:t>经费</w:t>
      </w:r>
      <w:r>
        <w:rPr>
          <w:spacing w:val="2"/>
          <w:w w:val="99"/>
        </w:rPr>
        <w:t>预</w:t>
      </w:r>
      <w:r>
        <w:rPr>
          <w:w w:val="99"/>
        </w:rPr>
        <w:t>算的</w:t>
      </w:r>
      <w:r>
        <w:rPr>
          <w:spacing w:val="2"/>
          <w:w w:val="99"/>
        </w:rPr>
        <w:t>通</w:t>
      </w:r>
      <w:r>
        <w:rPr>
          <w:w w:val="99"/>
        </w:rPr>
        <w:t>知</w:t>
      </w:r>
      <w:r>
        <w:rPr>
          <w:spacing w:val="-183"/>
          <w:w w:val="99"/>
        </w:rPr>
        <w:t>》</w:t>
      </w:r>
      <w:r>
        <w:rPr>
          <w:w w:val="99"/>
        </w:rPr>
        <w:t>（财</w:t>
      </w:r>
      <w:r>
        <w:rPr>
          <w:spacing w:val="-22"/>
          <w:w w:val="99"/>
        </w:rPr>
        <w:t>教</w:t>
      </w:r>
      <w:r>
        <w:rPr>
          <w:w w:val="99"/>
        </w:rPr>
        <w:t>〔</w:t>
      </w:r>
      <w:r>
        <w:rPr>
          <w:rFonts w:ascii="Times New Roman" w:hAnsi="Times New Roman" w:eastAsia="Times New Roman"/>
          <w:spacing w:val="1"/>
          <w:w w:val="99"/>
        </w:rPr>
        <w:t>20</w:t>
      </w:r>
      <w:r>
        <w:rPr>
          <w:rFonts w:ascii="Times New Roman" w:hAnsi="Times New Roman" w:eastAsia="Times New Roman"/>
          <w:spacing w:val="-2"/>
          <w:w w:val="99"/>
        </w:rPr>
        <w:t>2</w:t>
      </w:r>
      <w:r>
        <w:rPr>
          <w:rFonts w:ascii="Times New Roman" w:hAnsi="Times New Roman" w:eastAsia="Times New Roman"/>
          <w:spacing w:val="1"/>
          <w:w w:val="99"/>
        </w:rPr>
        <w:t>0</w:t>
      </w:r>
      <w:r>
        <w:rPr>
          <w:spacing w:val="-22"/>
          <w:w w:val="99"/>
        </w:rPr>
        <w:t>〕</w:t>
      </w:r>
      <w:r>
        <w:rPr>
          <w:rFonts w:ascii="Times New Roman" w:hAnsi="Times New Roman" w:eastAsia="Times New Roman"/>
          <w:spacing w:val="1"/>
          <w:w w:val="99"/>
        </w:rPr>
        <w:t>1</w:t>
      </w:r>
      <w:r>
        <w:rPr>
          <w:rFonts w:ascii="Times New Roman" w:hAnsi="Times New Roman" w:eastAsia="Times New Roman"/>
          <w:spacing w:val="-2"/>
          <w:w w:val="99"/>
        </w:rPr>
        <w:t>9</w:t>
      </w:r>
      <w:r>
        <w:rPr>
          <w:rFonts w:ascii="Times New Roman" w:hAnsi="Times New Roman" w:eastAsia="Times New Roman"/>
          <w:w w:val="99"/>
        </w:rPr>
        <w:t>2</w:t>
      </w:r>
      <w:r>
        <w:rPr>
          <w:rFonts w:ascii="Times New Roman" w:hAnsi="Times New Roman" w:eastAsia="Times New Roman"/>
        </w:rPr>
        <w:t xml:space="preserve"> </w:t>
      </w:r>
      <w:r>
        <w:rPr>
          <w:w w:val="99"/>
        </w:rPr>
        <w:t>号</w:t>
      </w:r>
      <w:r>
        <w:rPr>
          <w:spacing w:val="-159"/>
          <w:w w:val="99"/>
        </w:rPr>
        <w:t>）</w:t>
      </w:r>
      <w:r>
        <w:rPr>
          <w:w w:val="99"/>
        </w:rPr>
        <w:t>，</w:t>
      </w:r>
      <w:r>
        <w:t>经研究，现提前下达你市（州、省直管县市）</w:t>
      </w:r>
      <w:r>
        <w:rPr>
          <w:rFonts w:ascii="Times New Roman" w:hAnsi="Times New Roman" w:eastAsia="Times New Roman"/>
        </w:rPr>
        <w:t xml:space="preserve">2021 </w:t>
      </w:r>
      <w:r>
        <w:t>年学生资助中央和省级补助资金</w:t>
      </w:r>
      <w:r>
        <w:tab/>
      </w:r>
      <w:r>
        <w:t>万元</w:t>
      </w:r>
      <w:r>
        <w:rPr>
          <w:spacing w:val="-34"/>
        </w:rPr>
        <w:t>，</w:t>
      </w:r>
      <w:r>
        <w:t>用于落实高等教育</w:t>
      </w:r>
      <w:r>
        <w:rPr>
          <w:spacing w:val="-36"/>
        </w:rPr>
        <w:t>、</w:t>
      </w:r>
      <w:r>
        <w:t>中等职业教育</w:t>
      </w:r>
      <w:r>
        <w:rPr>
          <w:spacing w:val="-99"/>
        </w:rPr>
        <w:t>、</w:t>
      </w:r>
      <w:r>
        <w:t>普通高中教育国家学生资助政策</w:t>
      </w:r>
      <w:r>
        <w:rPr>
          <w:spacing w:val="-101"/>
        </w:rPr>
        <w:t>。</w:t>
      </w:r>
      <w:r>
        <w:t>该项指标收入列</w:t>
      </w:r>
      <w:r>
        <w:rPr>
          <w:rFonts w:ascii="Times New Roman" w:hAnsi="Times New Roman" w:eastAsia="Times New Roman"/>
        </w:rPr>
        <w:t>“1100245</w:t>
      </w:r>
    </w:p>
    <w:p>
      <w:pPr>
        <w:pStyle w:val="3"/>
        <w:spacing w:before="6"/>
        <w:rPr>
          <w:rFonts w:ascii="Times New Roman"/>
          <w:sz w:val="13"/>
        </w:rPr>
      </w:pPr>
    </w:p>
    <w:p>
      <w:pPr>
        <w:spacing w:before="61"/>
        <w:ind w:left="0" w:right="266" w:firstLine="0"/>
        <w:jc w:val="right"/>
        <w:rPr>
          <w:sz w:val="28"/>
        </w:rPr>
      </w:pPr>
      <w:r>
        <w:rPr>
          <w:spacing w:val="-2"/>
          <w:sz w:val="28"/>
        </w:rPr>
        <w:t>—1—</w:t>
      </w:r>
    </w:p>
    <w:p>
      <w:pPr>
        <w:spacing w:after="0"/>
        <w:jc w:val="right"/>
        <w:rPr>
          <w:sz w:val="28"/>
        </w:rPr>
        <w:sectPr>
          <w:type w:val="continuous"/>
          <w:pgSz w:w="11910" w:h="16840"/>
          <w:pgMar w:top="1580" w:right="1320" w:bottom="280" w:left="1480" w:header="720" w:footer="720" w:gutter="0"/>
          <w:cols w:space="720" w:num="1"/>
        </w:sectPr>
      </w:pPr>
    </w:p>
    <w:p>
      <w:pPr>
        <w:pStyle w:val="3"/>
        <w:spacing w:before="52" w:line="374" w:lineRule="auto"/>
        <w:ind w:left="108" w:right="264"/>
        <w:jc w:val="both"/>
      </w:pPr>
      <w:r>
        <w:t>教育共同财政事权转移支付收入</w:t>
      </w:r>
      <w:r>
        <w:rPr>
          <w:rFonts w:ascii="Times New Roman" w:hAnsi="Times New Roman" w:eastAsia="Times New Roman"/>
        </w:rPr>
        <w:t>”</w:t>
      </w:r>
      <w:r>
        <w:rPr>
          <w:spacing w:val="2"/>
        </w:rPr>
        <w:t>，支出列</w:t>
      </w:r>
      <w:r>
        <w:rPr>
          <w:rFonts w:ascii="Times New Roman" w:hAnsi="Times New Roman" w:eastAsia="Times New Roman"/>
        </w:rPr>
        <w:t xml:space="preserve">“205 </w:t>
      </w:r>
      <w:r>
        <w:t>教育支出</w:t>
      </w:r>
      <w:r>
        <w:rPr>
          <w:rFonts w:ascii="Times New Roman" w:hAnsi="Times New Roman" w:eastAsia="Times New Roman"/>
        </w:rPr>
        <w:t>”</w:t>
      </w:r>
      <w:r>
        <w:t>下相</w:t>
      </w:r>
      <w:r>
        <w:rPr>
          <w:spacing w:val="-12"/>
        </w:rPr>
        <w:t xml:space="preserve">关项。具体金额、科目见附件。待 </w:t>
      </w:r>
      <w:r>
        <w:rPr>
          <w:rFonts w:ascii="Times New Roman" w:hAnsi="Times New Roman" w:eastAsia="Times New Roman"/>
        </w:rPr>
        <w:t xml:space="preserve">2021 </w:t>
      </w:r>
      <w:r>
        <w:rPr>
          <w:spacing w:val="-2"/>
        </w:rPr>
        <w:t>年预算年度开始后，按程序拨付使用。现将有关事项通知如下：</w:t>
      </w:r>
    </w:p>
    <w:p>
      <w:pPr>
        <w:pStyle w:val="3"/>
        <w:spacing w:before="2" w:line="374" w:lineRule="auto"/>
        <w:ind w:left="108" w:right="266" w:firstLine="638"/>
        <w:jc w:val="both"/>
      </w:pPr>
      <w:r>
        <w:rPr>
          <w:spacing w:val="-12"/>
        </w:rPr>
        <w:t>一、此次中央直达资金的标识为“</w:t>
      </w:r>
      <w:r>
        <w:rPr>
          <w:rFonts w:ascii="Times New Roman" w:hAnsi="Times New Roman" w:eastAsia="Times New Roman"/>
        </w:rPr>
        <w:t>01</w:t>
      </w:r>
      <w:r>
        <w:rPr>
          <w:rFonts w:ascii="Times New Roman" w:hAnsi="Times New Roman" w:eastAsia="Times New Roman"/>
          <w:spacing w:val="-10"/>
        </w:rPr>
        <w:t xml:space="preserve"> </w:t>
      </w:r>
      <w:r>
        <w:rPr>
          <w:spacing w:val="-22"/>
        </w:rPr>
        <w:t>中央直达资金”，贯穿</w:t>
      </w:r>
      <w:r>
        <w:rPr>
          <w:spacing w:val="-1"/>
        </w:rPr>
        <w:t>资金分配、拨付、使用等整个环节，各级财政、教育部门在下达直达资金预算时，应保持直达资金标识不变；同时，要及时在指标管理系统中登录有关指标和直达资金标识，导入直达资</w:t>
      </w:r>
      <w:r>
        <w:t>金监控系统，确保数据真实、账目清楚、流向明确。</w:t>
      </w:r>
    </w:p>
    <w:p>
      <w:pPr>
        <w:pStyle w:val="3"/>
        <w:spacing w:before="1" w:line="374" w:lineRule="auto"/>
        <w:ind w:left="108" w:right="266" w:firstLine="638"/>
        <w:jc w:val="both"/>
      </w:pPr>
      <w:r>
        <w:rPr>
          <w:spacing w:val="1"/>
          <w:w w:val="95"/>
        </w:rPr>
        <w:t xml:space="preserve">二、省级及各地本级安排的学生资助配套资金要一并纳入 </w:t>
      </w:r>
      <w:r>
        <w:rPr>
          <w:spacing w:val="-1"/>
        </w:rPr>
        <w:t>直达资金监控系统反映，对于资金来源既包含直达资金又包含其他资金的，应按资金明细来源在预算指标文件中分别列示、</w:t>
      </w:r>
      <w:r>
        <w:t>在指标系统中分别登录，并导入直达资金监控系统。</w:t>
      </w:r>
    </w:p>
    <w:p>
      <w:pPr>
        <w:pStyle w:val="3"/>
        <w:spacing w:before="2" w:line="374" w:lineRule="auto"/>
        <w:ind w:left="108" w:right="108" w:firstLine="720"/>
      </w:pPr>
      <w:r>
        <w:t>三、各地要按照《教育部等六部门关于做好家庭经济困难学生认定工作的指导意见</w:t>
      </w:r>
      <w:r>
        <w:rPr>
          <w:spacing w:val="-190"/>
        </w:rPr>
        <w:t>》</w:t>
      </w:r>
      <w:r>
        <w:t>（</w:t>
      </w:r>
      <w:r>
        <w:rPr>
          <w:spacing w:val="-10"/>
        </w:rPr>
        <w:t>教财〔</w:t>
      </w:r>
      <w:r>
        <w:rPr>
          <w:rFonts w:ascii="Times New Roman" w:eastAsia="Times New Roman"/>
        </w:rPr>
        <w:t>2018</w:t>
      </w:r>
      <w:r>
        <w:rPr>
          <w:spacing w:val="-29"/>
        </w:rPr>
        <w:t>〕</w:t>
      </w:r>
      <w:r>
        <w:rPr>
          <w:rFonts w:ascii="Times New Roman" w:eastAsia="Times New Roman"/>
        </w:rPr>
        <w:t xml:space="preserve">16 </w:t>
      </w:r>
      <w:r>
        <w:t>号</w:t>
      </w:r>
      <w:r>
        <w:rPr>
          <w:spacing w:val="-29"/>
        </w:rPr>
        <w:t>）</w:t>
      </w:r>
      <w:r>
        <w:rPr>
          <w:spacing w:val="-6"/>
        </w:rPr>
        <w:t>要求，做好家</w:t>
      </w:r>
      <w:r>
        <w:t>庭经济困难学生认定工作，确保建档立卡等家庭经济困难学生</w:t>
      </w:r>
      <w:r>
        <w:rPr>
          <w:spacing w:val="-8"/>
        </w:rPr>
        <w:t>优先受助、全部受助，进一步提高资助精准度，实现应助尽助。各地各校要按照《学生资助资金管理办法</w:t>
      </w:r>
      <w:r>
        <w:rPr>
          <w:spacing w:val="-178"/>
        </w:rPr>
        <w:t>》</w:t>
      </w:r>
      <w:r>
        <w:t>（</w:t>
      </w:r>
      <w:r>
        <w:rPr>
          <w:spacing w:val="-5"/>
        </w:rPr>
        <w:t>财科教〔</w:t>
      </w:r>
      <w:r>
        <w:rPr>
          <w:rFonts w:ascii="Times New Roman" w:eastAsia="Times New Roman"/>
        </w:rPr>
        <w:t>2019</w:t>
      </w:r>
      <w:r>
        <w:rPr>
          <w:spacing w:val="-15"/>
        </w:rPr>
        <w:t>〕</w:t>
      </w:r>
      <w:r>
        <w:rPr>
          <w:rFonts w:ascii="Times New Roman" w:eastAsia="Times New Roman"/>
        </w:rPr>
        <w:t xml:space="preserve">19 </w:t>
      </w:r>
      <w:r>
        <w:rPr>
          <w:spacing w:val="5"/>
        </w:rPr>
        <w:t>号）</w:t>
      </w:r>
      <w:r>
        <w:t>有关规定，切实抓好国家资助政策的落实，加快预算执行进度，提高资金使用绩效，主动接受有关部门的监督。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spacing w:before="240"/>
        <w:ind w:left="108" w:right="0" w:firstLine="0"/>
        <w:jc w:val="left"/>
        <w:rPr>
          <w:sz w:val="28"/>
        </w:rPr>
      </w:pPr>
      <w:r>
        <w:rPr>
          <w:sz w:val="28"/>
        </w:rPr>
        <w:t>—2—</w:t>
      </w:r>
    </w:p>
    <w:p>
      <w:pPr>
        <w:spacing w:after="0"/>
        <w:jc w:val="left"/>
        <w:rPr>
          <w:sz w:val="28"/>
        </w:rPr>
        <w:sectPr>
          <w:pgSz w:w="11910" w:h="16840"/>
          <w:pgMar w:top="1540" w:right="1320" w:bottom="280" w:left="1480" w:header="720" w:footer="720" w:gutter="0"/>
          <w:cols w:space="720" w:num="1"/>
        </w:sectPr>
      </w:pPr>
    </w:p>
    <w:p>
      <w:pPr>
        <w:pStyle w:val="3"/>
        <w:spacing w:before="52" w:line="374" w:lineRule="auto"/>
        <w:ind w:left="1628" w:right="266" w:hanging="800"/>
      </w:pPr>
      <w:r>
        <w:rPr>
          <w:spacing w:val="-31"/>
        </w:rPr>
        <w:t xml:space="preserve">附件：提前下达 </w:t>
      </w:r>
      <w:r>
        <w:rPr>
          <w:rFonts w:ascii="Times New Roman" w:eastAsia="Times New Roman"/>
        </w:rPr>
        <w:t xml:space="preserve">2021 </w:t>
      </w:r>
      <w:r>
        <w:t>年学生资助中央直达资金和省级资金分配表（市县）</w:t>
      </w:r>
    </w:p>
    <w:p>
      <w:pPr>
        <w:pStyle w:val="3"/>
      </w:pPr>
    </w:p>
    <w:p>
      <w:pPr>
        <w:pStyle w:val="3"/>
      </w:pPr>
    </w:p>
    <w:p>
      <w:pPr>
        <w:pStyle w:val="3"/>
        <w:rPr>
          <w:sz w:val="31"/>
        </w:rPr>
      </w:pPr>
    </w:p>
    <w:p>
      <w:pPr>
        <w:pStyle w:val="3"/>
        <w:tabs>
          <w:tab w:val="left" w:pos="2393"/>
          <w:tab w:val="left" w:pos="4632"/>
        </w:tabs>
        <w:ind w:left="151"/>
      </w:pPr>
      <w:r>
        <w:t>湖南省财政厅</w:t>
      </w:r>
      <w:r>
        <w:tab/>
      </w:r>
      <w:r>
        <w:t>湖南省教育厅</w:t>
      </w:r>
      <w:r>
        <w:tab/>
      </w:r>
      <w:r>
        <w:t>湖南省人力资源和社会保障厅</w:t>
      </w:r>
    </w:p>
    <w:p>
      <w:pPr>
        <w:pStyle w:val="3"/>
        <w:spacing w:before="214"/>
        <w:ind w:left="5628"/>
      </w:pPr>
      <w:r>
        <w:rPr>
          <w:rFonts w:ascii="Times New Roman" w:eastAsia="Times New Roman"/>
        </w:rPr>
        <w:t xml:space="preserve">2020 </w:t>
      </w:r>
      <w:r>
        <w:t xml:space="preserve">年 </w:t>
      </w:r>
      <w:r>
        <w:rPr>
          <w:rFonts w:ascii="Times New Roman" w:eastAsia="Times New Roman"/>
        </w:rPr>
        <w:t xml:space="preserve">12 </w:t>
      </w:r>
      <w:r>
        <w:t xml:space="preserve">月 </w:t>
      </w:r>
      <w:r>
        <w:rPr>
          <w:rFonts w:ascii="Times New Roman" w:eastAsia="Times New Roman"/>
        </w:rPr>
        <w:t xml:space="preserve">29 </w:t>
      </w:r>
      <w:r>
        <w:t>日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3"/>
        <w:rPr>
          <w:sz w:val="27"/>
        </w:rPr>
      </w:pPr>
    </w:p>
    <w:p>
      <w:pPr>
        <w:spacing w:before="62"/>
        <w:ind w:left="0" w:right="266" w:firstLine="0"/>
        <w:jc w:val="right"/>
        <w:rPr>
          <w:sz w:val="28"/>
        </w:rPr>
      </w:pPr>
      <w:r>
        <w:rPr>
          <w:sz w:val="28"/>
        </w:rPr>
        <w:t>—3—</w:t>
      </w:r>
    </w:p>
    <w:p>
      <w:pPr>
        <w:spacing w:after="0"/>
        <w:jc w:val="right"/>
        <w:rPr>
          <w:sz w:val="28"/>
        </w:rPr>
        <w:sectPr>
          <w:pgSz w:w="11910" w:h="16840"/>
          <w:pgMar w:top="1540" w:right="1320" w:bottom="280" w:left="1480" w:header="720" w:footer="720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2"/>
        <w:rPr>
          <w:sz w:val="22"/>
        </w:rPr>
      </w:pPr>
    </w:p>
    <w:p>
      <w:pPr>
        <w:spacing w:before="62"/>
        <w:ind w:left="108" w:right="0" w:firstLine="0"/>
        <w:jc w:val="left"/>
        <w:rPr>
          <w:rFonts w:hint="eastAsia" w:ascii="黑体" w:eastAsia="黑体"/>
          <w:sz w:val="28"/>
        </w:rPr>
      </w:pPr>
      <w:r>
        <w:pict>
          <v:line id="_x0000_s1027" o:spid="_x0000_s1027" o:spt="20" style="position:absolute;left:0pt;margin-left:79.4pt;margin-top:23pt;height:0pt;width:432pt;mso-position-horizontal-relative:page;mso-wrap-distance-bottom:0pt;mso-wrap-distance-top:0pt;z-index:-251656192;mso-width-relative:page;mso-height-relative:page;" stroked="t" coordsize="21600,21600">
            <v:path arrowok="t"/>
            <v:fill focussize="0,0"/>
            <v:stroke weight="1.5pt" color="#000000"/>
            <v:imagedata o:title=""/>
            <o:lock v:ext="edit"/>
            <w10:wrap type="topAndBottom"/>
          </v:line>
        </w:pict>
      </w:r>
      <w:r>
        <w:rPr>
          <w:rFonts w:hint="eastAsia" w:ascii="黑体" w:eastAsia="黑体"/>
          <w:sz w:val="28"/>
        </w:rPr>
        <w:t>信息公开选项:主动公开</w:t>
      </w:r>
    </w:p>
    <w:p>
      <w:pPr>
        <w:spacing w:before="157" w:after="77"/>
        <w:ind w:left="387" w:right="0" w:firstLine="0"/>
        <w:jc w:val="left"/>
        <w:rPr>
          <w:sz w:val="28"/>
        </w:rPr>
      </w:pPr>
      <w:r>
        <w:rPr>
          <w:sz w:val="28"/>
        </w:rPr>
        <w:t>抄送：财政部湖南监管局。</w:t>
      </w:r>
    </w:p>
    <w:p>
      <w:pPr>
        <w:pStyle w:val="3"/>
        <w:spacing w:line="20" w:lineRule="exact"/>
        <w:ind w:left="115"/>
        <w:rPr>
          <w:sz w:val="2"/>
        </w:rPr>
      </w:pPr>
      <w:r>
        <w:rPr>
          <w:sz w:val="2"/>
        </w:rPr>
        <w:pict>
          <v:group id="_x0000_s1028" o:spid="_x0000_s1028" o:spt="203" style="height:0.75pt;width:432pt;" coordsize="8640,15">
            <o:lock v:ext="edit"/>
            <v:line id="_x0000_s1029" o:spid="_x0000_s1029" o:spt="20" style="position:absolute;left:0;top:8;height:0;width:8640;" stroked="t" coordsize="21600,21600">
              <v:path arrowok="t"/>
              <v:fill focussize="0,0"/>
              <v:stroke color="#000000"/>
              <v:imagedata o:title=""/>
              <o:lock v:ext="edit"/>
            </v:line>
            <w10:wrap type="none"/>
            <w10:anchorlock/>
          </v:group>
        </w:pict>
      </w:r>
    </w:p>
    <w:p>
      <w:pPr>
        <w:tabs>
          <w:tab w:val="left" w:pos="5499"/>
        </w:tabs>
        <w:spacing w:before="144"/>
        <w:ind w:left="387" w:right="0" w:firstLine="0"/>
        <w:jc w:val="left"/>
        <w:rPr>
          <w:sz w:val="28"/>
        </w:rPr>
      </w:pPr>
      <w:r>
        <w:pict>
          <v:line id="_x0000_s1030" o:spid="_x0000_s1030" o:spt="20" style="position:absolute;left:0pt;margin-left:79.4pt;margin-top:27.1pt;height:0pt;width:432pt;mso-position-horizontal-relative:page;mso-wrap-distance-bottom:0pt;mso-wrap-distance-top:0pt;z-index:-251655168;mso-width-relative:page;mso-height-relative:page;" stroked="t" coordsize="21600,21600">
            <v:path arrowok="t"/>
            <v:fill focussize="0,0"/>
            <v:stroke weight="1.5pt" color="#000000"/>
            <v:imagedata o:title=""/>
            <o:lock v:ext="edit"/>
            <w10:wrap type="topAndBottom"/>
          </v:line>
        </w:pict>
      </w:r>
      <w:r>
        <w:rPr>
          <w:sz w:val="28"/>
        </w:rPr>
        <w:t>湖</w:t>
      </w:r>
      <w:r>
        <w:rPr>
          <w:spacing w:val="-13"/>
          <w:sz w:val="28"/>
        </w:rPr>
        <w:t>南</w:t>
      </w:r>
      <w:r>
        <w:rPr>
          <w:spacing w:val="-15"/>
          <w:sz w:val="28"/>
        </w:rPr>
        <w:t>省</w:t>
      </w:r>
      <w:r>
        <w:rPr>
          <w:spacing w:val="-13"/>
          <w:sz w:val="28"/>
        </w:rPr>
        <w:t>财政</w:t>
      </w:r>
      <w:r>
        <w:rPr>
          <w:spacing w:val="-15"/>
          <w:sz w:val="28"/>
        </w:rPr>
        <w:t>厅</w:t>
      </w:r>
      <w:r>
        <w:rPr>
          <w:spacing w:val="-13"/>
          <w:sz w:val="28"/>
        </w:rPr>
        <w:t>办公</w:t>
      </w:r>
      <w:r>
        <w:rPr>
          <w:sz w:val="28"/>
        </w:rPr>
        <w:t>室</w:t>
      </w:r>
      <w:r>
        <w:rPr>
          <w:sz w:val="28"/>
        </w:rPr>
        <w:tab/>
      </w:r>
      <w:r>
        <w:rPr>
          <w:rFonts w:ascii="Times New Roman" w:eastAsia="Times New Roman"/>
          <w:spacing w:val="-5"/>
          <w:sz w:val="28"/>
        </w:rPr>
        <w:t>2020</w:t>
      </w:r>
      <w:r>
        <w:rPr>
          <w:rFonts w:ascii="Times New Roman" w:eastAsia="Times New Roman"/>
          <w:spacing w:val="-12"/>
          <w:sz w:val="28"/>
        </w:rPr>
        <w:t xml:space="preserve"> </w:t>
      </w:r>
      <w:r>
        <w:rPr>
          <w:sz w:val="28"/>
        </w:rPr>
        <w:t>年</w:t>
      </w:r>
      <w:r>
        <w:rPr>
          <w:spacing w:val="-88"/>
          <w:sz w:val="28"/>
        </w:rPr>
        <w:t xml:space="preserve"> </w:t>
      </w:r>
      <w:r>
        <w:rPr>
          <w:rFonts w:ascii="Times New Roman" w:eastAsia="Times New Roman"/>
          <w:sz w:val="28"/>
        </w:rPr>
        <w:t>12</w:t>
      </w:r>
      <w:r>
        <w:rPr>
          <w:rFonts w:ascii="Times New Roman" w:eastAsia="Times New Roman"/>
          <w:spacing w:val="-12"/>
          <w:sz w:val="28"/>
        </w:rPr>
        <w:t xml:space="preserve"> </w:t>
      </w:r>
      <w:r>
        <w:rPr>
          <w:sz w:val="28"/>
        </w:rPr>
        <w:t>月</w:t>
      </w:r>
      <w:r>
        <w:rPr>
          <w:spacing w:val="-88"/>
          <w:sz w:val="28"/>
        </w:rPr>
        <w:t xml:space="preserve"> </w:t>
      </w:r>
      <w:r>
        <w:rPr>
          <w:rFonts w:ascii="Times New Roman" w:eastAsia="Times New Roman"/>
          <w:sz w:val="28"/>
        </w:rPr>
        <w:t>30</w:t>
      </w:r>
      <w:r>
        <w:rPr>
          <w:rFonts w:ascii="Times New Roman" w:eastAsia="Times New Roman"/>
          <w:spacing w:val="-12"/>
          <w:sz w:val="28"/>
        </w:rPr>
        <w:t xml:space="preserve"> </w:t>
      </w:r>
      <w:r>
        <w:rPr>
          <w:spacing w:val="-13"/>
          <w:sz w:val="28"/>
        </w:rPr>
        <w:t>日</w:t>
      </w:r>
      <w:r>
        <w:rPr>
          <w:spacing w:val="-15"/>
          <w:sz w:val="28"/>
        </w:rPr>
        <w:t>印</w:t>
      </w:r>
      <w:r>
        <w:rPr>
          <w:sz w:val="28"/>
        </w:rPr>
        <w:t>发</w:t>
      </w:r>
    </w:p>
    <w:sectPr>
      <w:pgSz w:w="11910" w:h="16840"/>
      <w:pgMar w:top="1580" w:right="1320" w:bottom="280" w:left="14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496548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line="1332" w:lineRule="exact"/>
      <w:ind w:left="384"/>
      <w:outlineLvl w:val="1"/>
    </w:pPr>
    <w:rPr>
      <w:rFonts w:ascii="Arial Unicode MS" w:hAnsi="Arial Unicode MS" w:eastAsia="Arial Unicode MS" w:cs="Arial Unicode MS"/>
      <w:sz w:val="112"/>
      <w:szCs w:val="112"/>
      <w:lang w:val="zh-CN" w:eastAsia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  <customShpInfo spid="_x0000_s1027"/>
    <customShpInfo spid="_x0000_s1029"/>
    <customShpInfo spid="_x0000_s1028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2021-06-10T01:54:00Z</dcterms:created>
  <dc:creator>张丽 10.104.65.165</dc:creator>
  <cp:lastModifiedBy>WPS_1212017658</cp:lastModifiedBy>
  <dcterms:modified xsi:type="dcterms:W3CDTF">2021-06-10T01:56:27Z</dcterms:modified>
  <dc:title>湖南省财政厅发文（指标、函）稿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2021-06-10T00:00:00Z</vt:filetime>
  </property>
  <property fmtid="{D5CDD505-2E9C-101B-9397-08002B2CF9AE}" pid="5" name="KSOProductBuildVer">
    <vt:lpwstr>2052-11.1.0.10495</vt:lpwstr>
  </property>
  <property fmtid="{D5CDD505-2E9C-101B-9397-08002B2CF9AE}" pid="6" name="ICV">
    <vt:lpwstr>34E144CCA9F24CB38D08E2BC185A494C</vt:lpwstr>
  </property>
</Properties>
</file>