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仿宋" w:hAnsi="仿宋" w:eastAsia="仿宋" w:cs="仿宋"/>
          <w:b/>
          <w:bCs/>
          <w:color w:val="000000"/>
          <w:kern w:val="0"/>
          <w:sz w:val="32"/>
          <w:szCs w:val="32"/>
        </w:rPr>
      </w:pPr>
    </w:p>
    <w:p>
      <w:pPr>
        <w:tabs>
          <w:tab w:val="left" w:pos="6480"/>
        </w:tabs>
        <w:spacing w:line="600" w:lineRule="exact"/>
        <w:jc w:val="center"/>
        <w:rPr>
          <w:rFonts w:ascii="宋体" w:hAnsi="宋体" w:cs="方正小标宋_GBK"/>
          <w:b/>
          <w:sz w:val="36"/>
          <w:szCs w:val="36"/>
        </w:rPr>
      </w:pPr>
      <w:bookmarkStart w:id="0" w:name="_GoBack"/>
      <w:r>
        <w:rPr>
          <w:rFonts w:hint="eastAsia" w:ascii="宋体" w:hAnsi="宋体" w:cs="方正小标宋_GBK"/>
          <w:b/>
          <w:sz w:val="36"/>
          <w:szCs w:val="36"/>
        </w:rPr>
        <w:t>湘潭县商务局2020年</w:t>
      </w:r>
      <w:r>
        <w:rPr>
          <w:rFonts w:hint="eastAsia" w:ascii="宋体" w:hAnsi="宋体" w:cs="方正小标宋_GBK"/>
          <w:b/>
          <w:bCs/>
          <w:sz w:val="36"/>
          <w:szCs w:val="36"/>
        </w:rPr>
        <w:t>部门整体支出绩效评价报告</w:t>
      </w:r>
    </w:p>
    <w:bookmarkEnd w:id="0"/>
    <w:tbl>
      <w:tblPr>
        <w:tblStyle w:val="6"/>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384"/>
        <w:gridCol w:w="1985"/>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5" w:hRule="atLeast"/>
          <w:jc w:val="center"/>
        </w:trPr>
        <w:tc>
          <w:tcPr>
            <w:tcW w:w="1384" w:type="dxa"/>
            <w:vMerge w:val="restart"/>
            <w:shd w:val="clear" w:color="auto" w:fill="auto"/>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985" w:type="dxa"/>
            <w:shd w:val="clear" w:color="auto" w:fill="auto"/>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5670" w:type="dxa"/>
            <w:shd w:val="clear" w:color="auto" w:fill="auto"/>
            <w:vAlign w:val="center"/>
          </w:tcPr>
          <w:p>
            <w:pPr>
              <w:spacing w:line="576" w:lineRule="exact"/>
              <w:ind w:right="880" w:rightChars="419"/>
              <w:jc w:val="center"/>
              <w:rPr>
                <w:rFonts w:ascii="仿宋_GB2312" w:hAnsi="宋体" w:eastAsia="仿宋_GB2312" w:cs="宋体"/>
                <w:szCs w:val="21"/>
              </w:rPr>
            </w:pPr>
            <w:r>
              <w:rPr>
                <w:rFonts w:hint="eastAsia" w:ascii="仿宋" w:hAnsi="仿宋" w:eastAsia="仿宋" w:cs="方正小标宋简体"/>
                <w:sz w:val="24"/>
              </w:rPr>
              <w:t>湘潭县商务局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shd w:val="clear" w:color="auto" w:fill="auto"/>
          </w:tcPr>
          <w:p>
            <w:pPr>
              <w:spacing w:line="576" w:lineRule="exact"/>
              <w:jc w:val="center"/>
              <w:rPr>
                <w:rFonts w:ascii="仿宋_GB2312" w:hAnsi="宋体" w:eastAsia="仿宋_GB2312" w:cs="宋体"/>
                <w:szCs w:val="21"/>
              </w:rPr>
            </w:pPr>
          </w:p>
        </w:tc>
        <w:tc>
          <w:tcPr>
            <w:tcW w:w="1985" w:type="dxa"/>
            <w:shd w:val="clear" w:color="auto" w:fill="auto"/>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5670" w:type="dxa"/>
            <w:shd w:val="clear" w:color="auto" w:fill="auto"/>
            <w:vAlign w:val="center"/>
          </w:tcPr>
          <w:p>
            <w:pPr>
              <w:spacing w:line="576" w:lineRule="exact"/>
              <w:ind w:right="880" w:rightChars="419"/>
              <w:jc w:val="center"/>
              <w:rPr>
                <w:rFonts w:ascii="仿宋_GB2312" w:hAnsi="宋体" w:eastAsia="仿宋_GB2312" w:cs="宋体"/>
                <w:szCs w:val="21"/>
              </w:rPr>
            </w:pPr>
            <w:r>
              <w:rPr>
                <w:rFonts w:hint="eastAsia" w:ascii="仿宋_GB2312" w:hAnsi="宋体" w:eastAsia="仿宋_GB2312" w:cs="宋体"/>
                <w:szCs w:val="21"/>
              </w:rPr>
              <w:t>19311269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shd w:val="clear" w:color="auto" w:fill="auto"/>
          </w:tcPr>
          <w:p>
            <w:pPr>
              <w:spacing w:line="576" w:lineRule="exact"/>
              <w:jc w:val="center"/>
              <w:rPr>
                <w:rFonts w:ascii="仿宋_GB2312" w:hAnsi="宋体" w:eastAsia="仿宋_GB2312" w:cs="宋体"/>
                <w:szCs w:val="21"/>
              </w:rPr>
            </w:pPr>
          </w:p>
        </w:tc>
        <w:tc>
          <w:tcPr>
            <w:tcW w:w="1985" w:type="dxa"/>
            <w:shd w:val="clear" w:color="auto" w:fill="auto"/>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主管部门</w:t>
            </w:r>
          </w:p>
        </w:tc>
        <w:tc>
          <w:tcPr>
            <w:tcW w:w="5670" w:type="dxa"/>
            <w:shd w:val="clear" w:color="auto" w:fill="auto"/>
            <w:vAlign w:val="center"/>
          </w:tcPr>
          <w:p>
            <w:pPr>
              <w:spacing w:line="576" w:lineRule="exact"/>
              <w:ind w:right="880" w:rightChars="419"/>
              <w:jc w:val="center"/>
              <w:rPr>
                <w:rFonts w:ascii="仿宋_GB2312" w:hAnsi="宋体" w:eastAsia="仿宋_GB2312" w:cs="宋体"/>
                <w:szCs w:val="21"/>
              </w:rPr>
            </w:pPr>
            <w:r>
              <w:rPr>
                <w:rFonts w:hint="eastAsia" w:ascii="仿宋" w:hAnsi="仿宋" w:eastAsia="仿宋" w:cs="方正小标宋简体"/>
                <w:sz w:val="24"/>
              </w:rPr>
              <w:t>企财股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shd w:val="clear" w:color="auto" w:fill="auto"/>
          </w:tcPr>
          <w:p>
            <w:pPr>
              <w:spacing w:line="576" w:lineRule="exact"/>
              <w:jc w:val="center"/>
              <w:rPr>
                <w:rFonts w:ascii="仿宋_GB2312" w:hAnsi="宋体" w:eastAsia="仿宋_GB2312" w:cs="宋体"/>
                <w:szCs w:val="21"/>
              </w:rPr>
            </w:pPr>
          </w:p>
        </w:tc>
        <w:tc>
          <w:tcPr>
            <w:tcW w:w="1985" w:type="dxa"/>
            <w:shd w:val="clear" w:color="auto" w:fill="auto"/>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5670" w:type="dxa"/>
            <w:shd w:val="clear" w:color="auto" w:fill="auto"/>
            <w:vAlign w:val="center"/>
          </w:tcPr>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1.贯彻落实国家、省、市有关内外贸易、对外投资、招商引资的发展战略、方针、政策；拟定全县商务经济、利用外资等相应的中长期发展规划以及规定、办法和措施。研究区域经济合作、现代流通方式的发展趋势并提出相关建议。</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2.负责推进流通产业结构调整，研究提出流通体制改革建议。指导商贸服务业和社区商业发展，提出促进商贸中小企业发展的建议；培育发展城乡市场，推进流通产业结构调整和连锁经营、物流配送、电子商务等现代流通方式的发展。指导全县流通领域信息网络和电子商务建设、指导、监督、规范全县商贸流通行业协会、学会等社团组织工作。</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3.拟定全县规范流通领域市场、流通秩序的有关规定。牵头协调整顿和规范市场经济秩序工作。指导、监督商务流通领域安全生产工作，拟订商务流通领域追溯体系建设规划并推进实施。推动商务领域信用建设，指导商业信用销售，建立市场诚信公共服务平台，按有关规定对特殊流通行业进行监督管理。</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4.拟订全县贸易发展规划，提出引导国内外资金投向市场体系建设的政策建议，指导城市商业网点、大宗产品批发市场（不含农贸市场）规划，推进全县商业体系建设，组织实施农村现代流通网络工程。</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5.承担组织实施重要消费品市场调控和重要生产资料流通管理的责任。负责建立健全生活必需品市场供应应急管理机制，监测分析市场运行、商品供求状况，调查分析商品价格信息进行预测、预警和信息引导。</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6.贯彻执行国家制定的进出口商品、加工贸易管理办法和进出口管理商品、技术目录，拟定促进外贸增长方式转变的政策措施，指导贸易促进活动和外贸促进体系建设。</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7.贯彻执行国家对外技术贸易、出口管制以及鼓励技术和成套设备进出口的政策，推进进出口贸易标准化工作。依法监督技术引进、设备进口、国家限制出口技术的工作。</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8.牵头拟定服务贸易发展和服务外包规划并开展相关工作，推动服务外包平台建设。</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9.指导全县对外经济技术合作，指导和监督管理全县对外承包工程、劳务合作等业务。牵头外派劳务和境外就业人员的权益保护工作。</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10.贯彻执行我国多双边（含区域、自由贸易区）经贸合作战略和政策，推进我县与其他国家（地区）的经贸往来与投资贸易合作。牵头承担全县商务领域涉及世界贸易组织事务的相关工作，负责对外经济贸易协调工作。</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11.配合省、市商务部门做好反倾销、反补贴、保障措施和其他与进出口公平贸易相关的工作，协助开展对外贸易调查和产业损害调查、产业安全应对等工作。</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12.指导、协调、组织参与以湘潭县名义在境内外举办的各种内外贸交易会、展览会、展销会等活动。</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13.宏观指导全县招商引资工作，组织拟订全县招商引资发展规划、政策措施，落实招商引资政策。负责全县招商信息交流工作。负责我县内外资及招商项目的协调和统计工作。负责考核全县各级各部门招商引资工作。承担县招商引资工作领导小组办公室的日常工作。</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14.分析研究全县外来投资情况，统一对外发布重点招商项目和招商信息。规范招商引资活动，指导投资促进活动。负责与境内外企业财团，各界人士联络。组织举办或参与各类招商活动。做好招商引资奖励的前期准备工作，跟踪调度重点招商项目并督促落实。</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15.监督检查外来投资企业执行有关法律法规规章、合同、章程的情况并协调解决有关问题。</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16.承担全县商务系统统计及信息发布工作。</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17.负责全县商务系统企业改制遗留问题的处理。</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18.完成县委、县人民政府交办的其他任务。</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19.职能转变。进一步加强全县招商引资工作。加强全县流通领域信息网络和电子商务建设。加强商品流通业和商贸服务业的行业管理。促进现代物流业发展，促进品牌建设和绿色流通发展，推进再生资源回收和流通领域节能减排工作。加强重要生活必需品的储备管理和市场调控工作。建立健全统一、开放、竟争、有序的市场体系。</w:t>
            </w:r>
          </w:p>
          <w:p>
            <w:pPr>
              <w:pStyle w:val="5"/>
              <w:widowControl/>
              <w:shd w:val="clear" w:color="auto"/>
              <w:spacing w:before="225" w:line="510" w:lineRule="atLeast"/>
              <w:rPr>
                <w:rFonts w:ascii="仿宋_GB2312" w:hAnsi="宋体" w:eastAsia="仿宋_GB2312" w:cs="宋体"/>
                <w:szCs w:val="21"/>
              </w:rPr>
            </w:pPr>
            <w:r>
              <w:rPr>
                <w:rFonts w:hint="eastAsia" w:ascii="仿宋" w:hAnsi="仿宋" w:eastAsia="仿宋" w:cs="方正小标宋简体"/>
                <w:kern w:val="2"/>
              </w:rPr>
              <w:t>20.有关职责分工。与县发展和改革局有关职责分工。县发展和改革局、县商务局牵头会同外商投资涉及领域相关部门开展外商投资安全审查相关工作。县发展和改革局负责提出外商投资产业指导目录，并与县商务局联合发布。与县市场监督管理局有关职责分工。县商务局负责拟定药品流通发展规划和政策，县市场监督管理局在与药品零售环节的监督管理工作中配合执行药品流通发展规划和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1384" w:type="dxa"/>
            <w:vMerge w:val="restart"/>
            <w:shd w:val="clear" w:color="auto" w:fill="auto"/>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985" w:type="dxa"/>
            <w:shd w:val="clear" w:color="auto" w:fill="auto"/>
            <w:vAlign w:val="center"/>
          </w:tcPr>
          <w:p>
            <w:pPr>
              <w:pStyle w:val="5"/>
              <w:widowControl/>
              <w:shd w:val="clear" w:color="auto" w:fill="FFFFFF"/>
              <w:spacing w:before="225" w:line="510" w:lineRule="atLeast"/>
              <w:rPr>
                <w:rFonts w:ascii="仿宋" w:hAnsi="仿宋" w:eastAsia="仿宋" w:cs="方正小标宋简体"/>
                <w:kern w:val="2"/>
              </w:rPr>
            </w:pPr>
            <w:r>
              <w:rPr>
                <w:rFonts w:hint="eastAsia" w:ascii="仿宋" w:hAnsi="仿宋" w:eastAsia="仿宋" w:cs="方正小标宋简体"/>
                <w:kern w:val="2"/>
                <w:shd w:val="clear"/>
              </w:rPr>
              <w:t>部</w:t>
            </w:r>
            <w:r>
              <w:rPr>
                <w:rFonts w:hint="eastAsia" w:ascii="仿宋" w:hAnsi="仿宋" w:eastAsia="仿宋" w:cs="方正小标宋简体"/>
                <w:kern w:val="2"/>
                <w:shd w:val="clear"/>
              </w:rPr>
              <w:t>门整体支出管理和使用基本情况</w:t>
            </w:r>
          </w:p>
        </w:tc>
        <w:tc>
          <w:tcPr>
            <w:tcW w:w="5670" w:type="dxa"/>
            <w:shd w:val="clear" w:color="auto" w:fill="auto"/>
            <w:vAlign w:val="center"/>
          </w:tcPr>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一、内设机构</w:t>
            </w:r>
          </w:p>
          <w:p>
            <w:pPr>
              <w:pStyle w:val="5"/>
              <w:widowControl/>
              <w:shd w:val="clear" w:color="auto"/>
              <w:spacing w:before="225" w:line="510" w:lineRule="atLeast"/>
              <w:ind w:firstLine="480" w:firstLineChars="200"/>
              <w:rPr>
                <w:rFonts w:ascii="仿宋" w:hAnsi="仿宋" w:eastAsia="仿宋" w:cs="方正小标宋简体"/>
                <w:kern w:val="2"/>
              </w:rPr>
            </w:pPr>
            <w:r>
              <w:rPr>
                <w:rFonts w:hint="eastAsia" w:ascii="仿宋" w:hAnsi="仿宋" w:eastAsia="仿宋" w:cs="方正小标宋简体"/>
                <w:kern w:val="2"/>
              </w:rPr>
              <w:t>湘潭县商务局内设股室8个，下辖3个二级机构，分别是湘潭县投资促进服务中心、湘潭县槟榔产业服务中心、湘潭县对外劳务服务中心，以上内设股室和二级机构均为无独立经费核算机构，是我单位预算编制范围。</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二、人员编制</w:t>
            </w:r>
          </w:p>
          <w:p>
            <w:pPr>
              <w:pStyle w:val="5"/>
              <w:widowControl/>
              <w:shd w:val="clear" w:color="auto"/>
              <w:spacing w:before="225" w:line="510" w:lineRule="atLeast"/>
              <w:ind w:firstLine="480" w:firstLineChars="200"/>
              <w:rPr>
                <w:rFonts w:ascii="仿宋" w:hAnsi="仿宋" w:eastAsia="仿宋" w:cs="方正小标宋简体"/>
                <w:kern w:val="2"/>
              </w:rPr>
            </w:pPr>
            <w:r>
              <w:rPr>
                <w:rFonts w:hint="eastAsia" w:ascii="仿宋" w:hAnsi="仿宋" w:eastAsia="仿宋" w:cs="方正小标宋简体"/>
                <w:kern w:val="2"/>
              </w:rPr>
              <w:t>2020年机构改革后我局编制人数46人，实有在岗人员55人,其中统发人员44人，人事代理人员1人，劳务派遣人员4人，借调6人等。遗属补助1人，退休人员25人，离休人员 1人。</w:t>
            </w:r>
          </w:p>
          <w:p>
            <w:pPr>
              <w:pStyle w:val="5"/>
              <w:widowControl/>
              <w:shd w:val="clear" w:color="auto"/>
              <w:spacing w:before="225" w:line="510" w:lineRule="atLeast"/>
              <w:rPr>
                <w:rFonts w:hint="eastAsia" w:ascii="仿宋" w:hAnsi="仿宋" w:eastAsia="仿宋" w:cs="方正小标宋简体"/>
                <w:kern w:val="2"/>
              </w:rPr>
            </w:pPr>
            <w:r>
              <w:rPr>
                <w:rFonts w:hint="eastAsia" w:ascii="仿宋" w:hAnsi="仿宋" w:eastAsia="仿宋" w:cs="方正小标宋简体"/>
                <w:kern w:val="2"/>
              </w:rPr>
              <w:t>三、预算安排情况及资金用途</w:t>
            </w:r>
          </w:p>
          <w:p>
            <w:pPr>
              <w:pStyle w:val="5"/>
              <w:widowControl/>
              <w:shd w:val="clear" w:color="auto"/>
              <w:spacing w:before="225" w:line="510" w:lineRule="atLeast"/>
              <w:rPr>
                <w:rFonts w:ascii="仿宋" w:hAnsi="仿宋" w:eastAsia="仿宋" w:cs="方正小标宋简体"/>
                <w:kern w:val="2"/>
              </w:rPr>
            </w:pPr>
          </w:p>
          <w:p>
            <w:pPr>
              <w:shd w:val="clear"/>
              <w:spacing w:line="460" w:lineRule="atLeast"/>
              <w:ind w:firstLine="480" w:firstLineChars="200"/>
              <w:jc w:val="left"/>
              <w:rPr>
                <w:rFonts w:ascii="仿宋" w:hAnsi="仿宋" w:eastAsia="仿宋" w:cs="方正小标宋简体"/>
                <w:sz w:val="24"/>
              </w:rPr>
            </w:pPr>
            <w:r>
              <w:rPr>
                <w:rFonts w:hint="eastAsia" w:ascii="仿宋" w:hAnsi="仿宋" w:eastAsia="仿宋" w:cs="方正小标宋简体"/>
                <w:sz w:val="24"/>
              </w:rPr>
              <w:t>2020年我局年初部门预算857.91万元（其中基本支出490.75万元，专项支出367.16万元）。年初基本支出安排490.75万元，包含工资福利支出434.58万，商品服务支出53.23万，其他对个人和家庭的补助支出2.94万，调整基本支出预算71.38 万元，基本支出预算主要用于维持局机关正常行政运行人员工资支出、社会保障支出、办公费、印刷费、宣传费、机关水电费、公务接待费、差旅费等工资福利支出和商品与服务支出；年初专项支出安排367.16万元，调整项目支出部门预算 300万元，预算内省市级补助收入703万元。项目性经费用于保障部门职能职责，对符合政策的企业给予的政策性补贴及财政贴息、奖励资金支出等，全年合计安排预算资金1931万元，上年结转24.54万元。</w:t>
            </w:r>
          </w:p>
          <w:p>
            <w:pPr>
              <w:pStyle w:val="5"/>
              <w:widowControl/>
              <w:shd w:val="clear" w:color="auto"/>
              <w:spacing w:before="225" w:line="510" w:lineRule="atLeast"/>
              <w:ind w:firstLine="480" w:firstLineChars="200"/>
              <w:rPr>
                <w:rFonts w:ascii="仿宋" w:hAnsi="仿宋" w:eastAsia="仿宋" w:cs="方正小标宋简体"/>
                <w:kern w:val="2"/>
              </w:rPr>
            </w:pPr>
            <w:r>
              <w:rPr>
                <w:rFonts w:hint="eastAsia" w:ascii="仿宋" w:hAnsi="仿宋" w:eastAsia="仿宋" w:cs="方正小标宋简体"/>
                <w:kern w:val="2"/>
              </w:rPr>
              <w:t>我局始终坚持厉行节约、实事求是的工作作风，严格按照政策及专项资金的管理要求使用部门预算资金，先后制订了《湘潭商务局财务管理办法》、《湘潭县商务局专项资金管理办法》、《湘潭县商务局差旅费管理办法》等相关制度，明确了经费审批权限及程序，经费预算、核算管理、资产购置与处置、财务监督等。</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四、预算资金执行情况</w:t>
            </w:r>
          </w:p>
          <w:p>
            <w:pPr>
              <w:spacing w:line="460" w:lineRule="atLeast"/>
              <w:ind w:firstLine="420" w:firstLineChars="200"/>
              <w:jc w:val="left"/>
              <w:rPr>
                <w:rFonts w:ascii="仿宋" w:hAnsi="仿宋" w:eastAsia="仿宋" w:cs="方正小标宋简体"/>
              </w:rPr>
            </w:pPr>
            <w:r>
              <w:rPr>
                <w:rFonts w:hint="eastAsia" w:ascii="仿宋" w:hAnsi="仿宋" w:eastAsia="仿宋" w:cs="方正小标宋简体"/>
              </w:rPr>
              <w:t>2020</w:t>
            </w:r>
            <w:r>
              <w:rPr>
                <w:rFonts w:hint="eastAsia" w:ascii="仿宋" w:hAnsi="仿宋" w:eastAsia="仿宋" w:cs="方正小标宋简体"/>
                <w:sz w:val="24"/>
              </w:rPr>
              <w:t>年我局部门预算基本支出62.94万元,用于工资福利支出533万元，商品服务支出87.8万元，对个人及家庭补助支出3.2万元；项目支出1402万元，其中上级补助资金703万，县级项目支出699万，项目支出用于商品与服务支出及对企事业单位补贴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shd w:val="clear" w:color="auto" w:fill="auto"/>
          </w:tcPr>
          <w:p>
            <w:pPr>
              <w:spacing w:line="576" w:lineRule="exact"/>
              <w:jc w:val="center"/>
              <w:rPr>
                <w:rFonts w:ascii="仿宋_GB2312" w:hAnsi="宋体" w:eastAsia="仿宋_GB2312" w:cs="宋体"/>
                <w:szCs w:val="21"/>
              </w:rPr>
            </w:pPr>
          </w:p>
        </w:tc>
        <w:tc>
          <w:tcPr>
            <w:tcW w:w="1985" w:type="dxa"/>
            <w:shd w:val="clear" w:color="auto" w:fill="auto"/>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绩效目标完成情况</w:t>
            </w:r>
          </w:p>
        </w:tc>
        <w:tc>
          <w:tcPr>
            <w:tcW w:w="5670" w:type="dxa"/>
            <w:shd w:val="clear" w:color="auto" w:fill="auto"/>
            <w:vAlign w:val="center"/>
          </w:tcPr>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一、部门整体绩效成果</w:t>
            </w:r>
          </w:p>
          <w:p>
            <w:pPr>
              <w:pStyle w:val="5"/>
              <w:widowControl/>
              <w:shd w:val="clear" w:color="auto"/>
              <w:spacing w:before="225" w:line="510" w:lineRule="atLeast"/>
              <w:ind w:firstLine="480" w:firstLineChars="200"/>
              <w:rPr>
                <w:rFonts w:ascii="仿宋" w:hAnsi="仿宋" w:eastAsia="仿宋" w:cs="方正小标宋简体"/>
                <w:kern w:val="2"/>
              </w:rPr>
            </w:pPr>
            <w:r>
              <w:rPr>
                <w:rFonts w:hint="eastAsia" w:ascii="仿宋" w:hAnsi="仿宋" w:eastAsia="仿宋" w:cs="方正小标宋简体"/>
                <w:kern w:val="2"/>
              </w:rPr>
              <w:t>我局</w:t>
            </w:r>
            <w:r>
              <w:rPr>
                <w:rFonts w:ascii="仿宋" w:hAnsi="仿宋" w:eastAsia="仿宋" w:cs="方正小标宋简体"/>
                <w:kern w:val="2"/>
              </w:rPr>
              <w:t>根据</w:t>
            </w:r>
            <w:r>
              <w:rPr>
                <w:rFonts w:hint="eastAsia" w:ascii="仿宋" w:hAnsi="仿宋" w:eastAsia="仿宋" w:cs="方正小标宋简体"/>
                <w:kern w:val="2"/>
              </w:rPr>
              <w:t>2020</w:t>
            </w:r>
            <w:r>
              <w:rPr>
                <w:rFonts w:ascii="仿宋" w:hAnsi="仿宋" w:eastAsia="仿宋" w:cs="方正小标宋简体"/>
                <w:kern w:val="2"/>
              </w:rPr>
              <w:t>年</w:t>
            </w:r>
            <w:r>
              <w:rPr>
                <w:rFonts w:hint="eastAsia" w:ascii="仿宋" w:hAnsi="仿宋" w:eastAsia="仿宋" w:cs="方正小标宋简体"/>
                <w:kern w:val="2"/>
              </w:rPr>
              <w:t>县委、县政府</w:t>
            </w:r>
            <w:r>
              <w:rPr>
                <w:rFonts w:ascii="仿宋" w:hAnsi="仿宋" w:eastAsia="仿宋" w:cs="方正小标宋简体"/>
                <w:kern w:val="2"/>
              </w:rPr>
              <w:t>工作任务指标的要求，对照</w:t>
            </w:r>
            <w:r>
              <w:rPr>
                <w:rFonts w:hint="eastAsia" w:ascii="仿宋" w:hAnsi="仿宋" w:eastAsia="仿宋" w:cs="方正小标宋简体"/>
                <w:kern w:val="2"/>
              </w:rPr>
              <w:t>年度</w:t>
            </w:r>
            <w:r>
              <w:rPr>
                <w:rFonts w:ascii="仿宋" w:hAnsi="仿宋" w:eastAsia="仿宋" w:cs="方正小标宋简体"/>
                <w:kern w:val="2"/>
              </w:rPr>
              <w:t>绩效目标开展绩效自评</w:t>
            </w:r>
            <w:r>
              <w:rPr>
                <w:rFonts w:hint="eastAsia" w:ascii="仿宋" w:hAnsi="仿宋" w:eastAsia="仿宋" w:cs="方正小标宋简体"/>
                <w:kern w:val="2"/>
              </w:rPr>
              <w:t>，</w:t>
            </w:r>
            <w:r>
              <w:rPr>
                <w:rFonts w:ascii="仿宋" w:hAnsi="仿宋" w:eastAsia="仿宋" w:cs="方正小标宋简体"/>
                <w:kern w:val="2"/>
              </w:rPr>
              <w:t>20</w:t>
            </w:r>
            <w:r>
              <w:rPr>
                <w:rFonts w:hint="eastAsia" w:ascii="仿宋" w:hAnsi="仿宋" w:eastAsia="仿宋" w:cs="方正小标宋简体"/>
                <w:kern w:val="2"/>
              </w:rPr>
              <w:t>20</w:t>
            </w:r>
            <w:r>
              <w:rPr>
                <w:rFonts w:ascii="仿宋" w:hAnsi="仿宋" w:eastAsia="仿宋" w:cs="方正小标宋简体"/>
                <w:kern w:val="2"/>
              </w:rPr>
              <w:t>年绩效指标完成情况</w:t>
            </w:r>
            <w:r>
              <w:rPr>
                <w:rFonts w:hint="eastAsia" w:ascii="仿宋" w:hAnsi="仿宋" w:eastAsia="仿宋" w:cs="方正小标宋简体"/>
                <w:kern w:val="2"/>
              </w:rPr>
              <w:t>如下</w:t>
            </w:r>
            <w:r>
              <w:rPr>
                <w:rFonts w:ascii="仿宋" w:hAnsi="仿宋" w:eastAsia="仿宋" w:cs="方正小标宋简体"/>
                <w:kern w:val="2"/>
              </w:rPr>
              <w:t>：产出指标任务完成率100%</w:t>
            </w:r>
            <w:r>
              <w:rPr>
                <w:rFonts w:hint="eastAsia" w:ascii="仿宋" w:hAnsi="仿宋" w:eastAsia="仿宋" w:cs="方正小标宋简体"/>
                <w:kern w:val="2"/>
              </w:rPr>
              <w:t>，</w:t>
            </w:r>
            <w:r>
              <w:rPr>
                <w:rFonts w:ascii="仿宋" w:hAnsi="仿宋" w:eastAsia="仿宋" w:cs="方正小标宋简体"/>
                <w:kern w:val="2"/>
              </w:rPr>
              <w:t>效益指标按时完成</w:t>
            </w:r>
            <w:r>
              <w:rPr>
                <w:rFonts w:hint="eastAsia" w:ascii="仿宋" w:hAnsi="仿宋" w:eastAsia="仿宋" w:cs="方正小标宋简体"/>
                <w:kern w:val="2"/>
              </w:rPr>
              <w:t>，</w:t>
            </w:r>
            <w:r>
              <w:rPr>
                <w:rFonts w:ascii="仿宋" w:hAnsi="仿宋" w:eastAsia="仿宋" w:cs="方正小标宋简体"/>
                <w:kern w:val="2"/>
              </w:rPr>
              <w:t>满意度指标达到预期效果</w:t>
            </w:r>
            <w:r>
              <w:rPr>
                <w:rFonts w:hint="eastAsia" w:ascii="仿宋" w:hAnsi="仿宋" w:eastAsia="仿宋" w:cs="方正小标宋简体"/>
                <w:kern w:val="2"/>
              </w:rPr>
              <w:t>,</w:t>
            </w:r>
            <w:r>
              <w:rPr>
                <w:rFonts w:ascii="仿宋" w:hAnsi="仿宋" w:eastAsia="仿宋" w:cs="方正小标宋简体"/>
                <w:kern w:val="2"/>
              </w:rPr>
              <w:t>预算安排资金在本年度内达到了预期的产出和效果工作目标，较好的完成了年初确定的各项工作任务：</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1、</w:t>
            </w:r>
            <w:r>
              <w:rPr>
                <w:rFonts w:ascii="仿宋" w:hAnsi="仿宋" w:eastAsia="仿宋" w:cs="方正小标宋简体"/>
                <w:kern w:val="2"/>
              </w:rPr>
              <w:t>社会消费品零售总额完成情况</w:t>
            </w:r>
          </w:p>
          <w:p>
            <w:pPr>
              <w:pStyle w:val="5"/>
              <w:widowControl/>
              <w:shd w:val="clear" w:color="auto"/>
              <w:spacing w:before="225" w:line="510" w:lineRule="atLeast"/>
              <w:ind w:firstLine="240" w:firstLineChars="100"/>
              <w:rPr>
                <w:rFonts w:ascii="仿宋" w:hAnsi="仿宋" w:eastAsia="仿宋" w:cs="方正小标宋简体"/>
                <w:kern w:val="2"/>
              </w:rPr>
            </w:pPr>
            <w:r>
              <w:rPr>
                <w:rFonts w:hint="eastAsia" w:ascii="仿宋" w:hAnsi="仿宋" w:eastAsia="仿宋" w:cs="方正小标宋简体"/>
                <w:kern w:val="2"/>
              </w:rPr>
              <w:t>总额实现108.95亿元，增幅在全市五个县（市、区）中排名并列第一，培育限额商贸流通企业13家。</w:t>
            </w:r>
          </w:p>
          <w:p>
            <w:pPr>
              <w:pStyle w:val="5"/>
              <w:widowControl/>
              <w:shd w:val="clear" w:color="auto"/>
              <w:spacing w:before="225" w:line="510" w:lineRule="atLeast"/>
              <w:rPr>
                <w:rFonts w:hint="eastAsia" w:ascii="仿宋" w:hAnsi="仿宋" w:eastAsia="仿宋" w:cs="方正小标宋简体"/>
                <w:kern w:val="2"/>
              </w:rPr>
            </w:pPr>
            <w:r>
              <w:rPr>
                <w:rFonts w:hint="eastAsia" w:ascii="仿宋" w:hAnsi="仿宋" w:eastAsia="仿宋" w:cs="方正小标宋简体"/>
                <w:kern w:val="2"/>
              </w:rPr>
              <w:t>2.</w:t>
            </w:r>
            <w:r>
              <w:rPr>
                <w:rFonts w:ascii="仿宋" w:hAnsi="仿宋" w:eastAsia="仿宋" w:cs="方正小标宋简体"/>
                <w:kern w:val="2"/>
              </w:rPr>
              <w:t>对外贸易额完成情况</w:t>
            </w:r>
          </w:p>
          <w:p>
            <w:pPr>
              <w:pStyle w:val="5"/>
              <w:widowControl/>
              <w:shd w:val="clear" w:color="auto"/>
              <w:spacing w:before="225" w:line="510" w:lineRule="atLeast"/>
              <w:ind w:firstLine="240" w:firstLineChars="100"/>
              <w:rPr>
                <w:rFonts w:ascii="仿宋" w:hAnsi="仿宋" w:eastAsia="仿宋" w:cs="方正小标宋简体"/>
                <w:kern w:val="2"/>
              </w:rPr>
            </w:pPr>
            <w:r>
              <w:rPr>
                <w:rFonts w:hint="eastAsia" w:ascii="仿宋" w:hAnsi="仿宋" w:eastAsia="仿宋" w:cs="方正小标宋简体"/>
                <w:kern w:val="2"/>
              </w:rPr>
              <w:t>全年完成进出口总额27970万美元，同比增长27.22%，全年产生实绩的企业45家。新办外贸备案登记企业18家，新增破零企业15家，新增倍增企业6家。二是深化外经贸企业引进。成功引进外向型企业湖南朗道物联科技有限公司，至12月底实现进出口额4400万美元。三是持续提升涉企服务。积极开展外贸企业走访调研，落实我县支持鼓励开放型经济发展资金的申报工作，全年为外贸企业申请项目资金200余万元；为企业提供资询及疑难解答100余家次，组织培训100人次。</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3.</w:t>
            </w:r>
            <w:r>
              <w:rPr>
                <w:rFonts w:ascii="仿宋" w:hAnsi="仿宋" w:eastAsia="仿宋" w:cs="方正小标宋简体"/>
                <w:kern w:val="2"/>
              </w:rPr>
              <w:t>招商引资完成情况</w:t>
            </w:r>
          </w:p>
          <w:p>
            <w:pPr>
              <w:pStyle w:val="5"/>
              <w:widowControl/>
              <w:shd w:val="clear" w:color="auto"/>
              <w:spacing w:before="225" w:line="510" w:lineRule="atLeast"/>
              <w:ind w:firstLine="240" w:firstLineChars="100"/>
              <w:rPr>
                <w:rFonts w:ascii="仿宋" w:hAnsi="仿宋" w:eastAsia="仿宋" w:cs="方正小标宋简体"/>
                <w:kern w:val="2"/>
              </w:rPr>
            </w:pPr>
            <w:r>
              <w:rPr>
                <w:rFonts w:hint="eastAsia" w:ascii="仿宋" w:hAnsi="仿宋" w:eastAsia="仿宋" w:cs="方正小标宋简体"/>
                <w:kern w:val="2"/>
              </w:rPr>
              <w:t>2020年我局坚持项目招商工作机制。按照“比信息采集、比项目签约、比资金到位”的要求，全力开展招商引资竞赛，突出产业招商、精准招商、专业招商等主题，全县共引进新项目135个，其中入驻标准厂房和闲置厂房的项目63个； “三类500强”项目引进4个，其中首次落户1个；亿元以上项目25个；全年到位省外境内资金89.96亿元，同比增长30.05%，在全市五个县市区中完成率、增幅均排名第二；2020年省级签约合同项目6个，市级签约合同项目8个；2019、2020年省级重大签约项目、“三类500强”项目资金到位率、增长率均超过20%；全年实际利用外资17658万美元，同比增长17.33%，全市五个县市区中完成率、同比增幅均排名第一。我县完成外商直接投资1538万美元，站湘潭市整个外商直投总额近一半，实现质的飞跃、量的突破。</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4.电子商务</w:t>
            </w:r>
            <w:r>
              <w:rPr>
                <w:rFonts w:ascii="仿宋" w:hAnsi="仿宋" w:eastAsia="仿宋" w:cs="方正小标宋简体"/>
                <w:kern w:val="2"/>
              </w:rPr>
              <w:t>完成情况</w:t>
            </w:r>
          </w:p>
          <w:p>
            <w:pPr>
              <w:pStyle w:val="5"/>
              <w:widowControl/>
              <w:shd w:val="clear" w:color="auto"/>
              <w:spacing w:before="225" w:line="510" w:lineRule="atLeast"/>
              <w:ind w:firstLine="240" w:firstLineChars="100"/>
              <w:rPr>
                <w:rFonts w:ascii="仿宋" w:hAnsi="仿宋" w:eastAsia="仿宋" w:cs="方正小标宋简体"/>
                <w:kern w:val="2"/>
              </w:rPr>
            </w:pPr>
            <w:r>
              <w:rPr>
                <w:rFonts w:hint="eastAsia" w:ascii="仿宋" w:hAnsi="仿宋" w:eastAsia="仿宋" w:cs="方正小标宋简体"/>
                <w:kern w:val="2"/>
              </w:rPr>
              <w:t>加强政策指导，推动电商快速发展。出台《湘潭县电子商务发展三年</w:t>
            </w:r>
            <w:r>
              <w:rPr>
                <w:rFonts w:ascii="仿宋" w:hAnsi="仿宋" w:eastAsia="仿宋" w:cs="方正小标宋简体"/>
                <w:kern w:val="2"/>
              </w:rPr>
              <w:t>行动</w:t>
            </w:r>
            <w:r>
              <w:rPr>
                <w:rFonts w:hint="eastAsia" w:ascii="仿宋" w:hAnsi="仿宋" w:eastAsia="仿宋" w:cs="方正小标宋简体"/>
                <w:kern w:val="2"/>
              </w:rPr>
              <w:t>计划</w:t>
            </w:r>
            <w:r>
              <w:rPr>
                <w:rFonts w:ascii="仿宋" w:hAnsi="仿宋" w:eastAsia="仿宋" w:cs="方正小标宋简体"/>
                <w:kern w:val="2"/>
              </w:rPr>
              <w:t>（</w:t>
            </w:r>
            <w:r>
              <w:rPr>
                <w:rFonts w:hint="eastAsia" w:ascii="仿宋" w:hAnsi="仿宋" w:eastAsia="仿宋" w:cs="方正小标宋简体"/>
                <w:kern w:val="2"/>
              </w:rPr>
              <w:t>2020-2022年</w:t>
            </w:r>
            <w:r>
              <w:rPr>
                <w:rFonts w:ascii="仿宋" w:hAnsi="仿宋" w:eastAsia="仿宋" w:cs="方正小标宋简体"/>
                <w:kern w:val="2"/>
              </w:rPr>
              <w:t>）</w:t>
            </w:r>
            <w:r>
              <w:rPr>
                <w:rFonts w:hint="eastAsia" w:ascii="仿宋" w:hAnsi="仿宋" w:eastAsia="仿宋" w:cs="方正小标宋简体"/>
                <w:kern w:val="2"/>
              </w:rPr>
              <w:t>》及《关于加快发展电子商务的实施办法（试行</w:t>
            </w:r>
            <w:r>
              <w:rPr>
                <w:rFonts w:ascii="仿宋" w:hAnsi="仿宋" w:eastAsia="仿宋" w:cs="方正小标宋简体"/>
                <w:kern w:val="2"/>
              </w:rPr>
              <w:t>）</w:t>
            </w:r>
            <w:r>
              <w:rPr>
                <w:rFonts w:hint="eastAsia" w:ascii="仿宋" w:hAnsi="仿宋" w:eastAsia="仿宋" w:cs="方正小标宋简体"/>
                <w:kern w:val="2"/>
              </w:rPr>
              <w:t>》等政策措施，拟定将传统产业借助电子商务、农产品上行作为重点任务，对具有一定规模和带头示范作用的电商企业或孵化基地进行扶持。二是建立电商公共服务中心，协助企业拓展网络销售市场。通过升格电商服务中心，加速农村电子商务的推广和推进，油纸伞、湘莲、茶油、竹木等特色产品，借助电子商务拓展网络市场，成效明显，5月，因农村电商工作成效显著受国务院真抓实干表彰；8月获评全国电子商务进农村综合示范县；9月阿里巴巴集团认定湘潭县易俗河镇为“淘宝镇”。</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5.综合执法工作成效</w:t>
            </w:r>
          </w:p>
          <w:p>
            <w:pPr>
              <w:pStyle w:val="5"/>
              <w:widowControl/>
              <w:shd w:val="clear" w:color="auto"/>
              <w:spacing w:before="225" w:line="510" w:lineRule="atLeast"/>
              <w:ind w:firstLine="240" w:firstLineChars="100"/>
              <w:rPr>
                <w:rFonts w:ascii="仿宋" w:hAnsi="仿宋" w:eastAsia="仿宋" w:cs="方正小标宋简体"/>
                <w:kern w:val="2"/>
              </w:rPr>
            </w:pPr>
            <w:r>
              <w:rPr>
                <w:rFonts w:hint="eastAsia" w:ascii="仿宋" w:hAnsi="仿宋" w:eastAsia="仿宋" w:cs="方正小标宋简体"/>
                <w:kern w:val="2"/>
              </w:rPr>
              <w:t>2020年，我局对全县68家加油站（点）开展拉网式专项检查。牵头开展成品油“自流黑”、报废汽车拆解、外派劳务等市场检查工作，督促相关企业按照行业标准规范整改到位，牵头开展我县加油站历史遗留问题处置工作，确保了商务系统行业有序运行。</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6. 槟榔行业</w:t>
            </w:r>
          </w:p>
          <w:p>
            <w:pPr>
              <w:pStyle w:val="5"/>
              <w:widowControl/>
              <w:shd w:val="clear" w:color="auto"/>
              <w:spacing w:before="225" w:line="510" w:lineRule="atLeast"/>
              <w:ind w:firstLine="240" w:firstLineChars="100"/>
              <w:rPr>
                <w:rFonts w:ascii="仿宋" w:hAnsi="仿宋" w:eastAsia="仿宋" w:cs="方正小标宋简体"/>
                <w:kern w:val="2"/>
              </w:rPr>
            </w:pPr>
            <w:r>
              <w:rPr>
                <w:rFonts w:hint="eastAsia" w:ascii="仿宋" w:hAnsi="仿宋" w:eastAsia="仿宋" w:cs="方正小标宋简体"/>
                <w:kern w:val="2"/>
              </w:rPr>
              <w:t>2020年我局开展了“数字电影”进槟榔企业活动，组织召开了县槟榔产业调度会议、县槟榔产业发展工作交流会，确立县内槟榔行业龙头企业联合办公长效机制，拟定了《槟榔行业税收奖励办法》，</w:t>
            </w:r>
            <w:r>
              <w:rPr>
                <w:rFonts w:ascii="仿宋" w:hAnsi="仿宋" w:eastAsia="仿宋" w:cs="方正小标宋简体"/>
                <w:kern w:val="2"/>
              </w:rPr>
              <w:t>争取引进省槟榔检测中心</w:t>
            </w:r>
            <w:r>
              <w:rPr>
                <w:rFonts w:hint="eastAsia" w:ascii="仿宋" w:hAnsi="仿宋" w:eastAsia="仿宋" w:cs="方正小标宋简体"/>
                <w:kern w:val="2"/>
              </w:rPr>
              <w:t>，</w:t>
            </w:r>
            <w:r>
              <w:rPr>
                <w:rFonts w:ascii="仿宋" w:hAnsi="仿宋" w:eastAsia="仿宋" w:cs="方正小标宋简体"/>
                <w:kern w:val="2"/>
              </w:rPr>
              <w:t>申报注册“湘潭槟榔”地理标志证</w:t>
            </w:r>
            <w:r>
              <w:rPr>
                <w:rFonts w:hint="eastAsia" w:ascii="仿宋" w:hAnsi="仿宋" w:eastAsia="仿宋" w:cs="方正小标宋简体"/>
                <w:kern w:val="2"/>
              </w:rPr>
              <w:t>明</w:t>
            </w:r>
            <w:r>
              <w:rPr>
                <w:rFonts w:ascii="仿宋" w:hAnsi="仿宋" w:eastAsia="仿宋" w:cs="方正小标宋简体"/>
                <w:kern w:val="2"/>
              </w:rPr>
              <w:t>商标</w:t>
            </w:r>
            <w:r>
              <w:rPr>
                <w:rFonts w:hint="eastAsia" w:ascii="仿宋" w:hAnsi="仿宋" w:eastAsia="仿宋" w:cs="方正小标宋简体"/>
                <w:kern w:val="2"/>
              </w:rPr>
              <w:t>。</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二、部门效益情况分析</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（一）经济性分析</w:t>
            </w:r>
          </w:p>
          <w:p>
            <w:pPr>
              <w:pStyle w:val="5"/>
              <w:widowControl/>
              <w:shd w:val="clear" w:color="auto"/>
              <w:spacing w:before="225" w:line="510" w:lineRule="atLeast"/>
              <w:ind w:firstLine="240" w:firstLineChars="100"/>
              <w:rPr>
                <w:rFonts w:ascii="仿宋" w:hAnsi="仿宋" w:eastAsia="仿宋" w:cs="方正小标宋简体"/>
                <w:kern w:val="2"/>
              </w:rPr>
            </w:pPr>
            <w:r>
              <w:rPr>
                <w:rFonts w:hint="eastAsia" w:ascii="仿宋" w:hAnsi="仿宋" w:eastAsia="仿宋" w:cs="方正小标宋简体"/>
                <w:kern w:val="2"/>
              </w:rPr>
              <w:t>我局始终认真贯彻执行《会计法》、《预算法》、《行政单位会计制度》等法律法规，各项经费支出严格按照政府采购、国库集中支付及预算管理等有关规定执行。同时我局先后制订了《湘潭商务局财务管理办法》、《湘潭县商务局专项资金管理办法》、《湘潭县商务局差旅费管理办法》等相关制度，明确了经费审批权限及程序，经费预算、核算管理、资产购置与处置、财务监督等。特别是在“三公”经费管理方面，规范了公务接待和公务用车的审批管理，较好地控制了行政运行成本。</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（二）效率性分析</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1、实施进度</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根据实际需求，按时支付各项支出。</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2、完成质量</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保证了局机关各项工作的正常运转和相关人员的福利待遇，完成质量基本达到绩效目标。</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（三）可持续性分析</w:t>
            </w:r>
          </w:p>
          <w:p>
            <w:pPr>
              <w:pStyle w:val="5"/>
              <w:widowControl/>
              <w:shd w:val="clear" w:color="auto"/>
              <w:spacing w:before="225" w:line="510" w:lineRule="atLeast"/>
              <w:ind w:firstLine="240" w:firstLineChars="100"/>
              <w:rPr>
                <w:rFonts w:ascii="仿宋" w:hAnsi="仿宋" w:eastAsia="仿宋" w:cs="方正小标宋简体"/>
                <w:kern w:val="2"/>
              </w:rPr>
            </w:pPr>
            <w:r>
              <w:rPr>
                <w:rFonts w:hint="eastAsia" w:ascii="仿宋" w:hAnsi="仿宋" w:eastAsia="仿宋" w:cs="方正小标宋简体"/>
                <w:kern w:val="2"/>
              </w:rPr>
              <w:t>2020年度我单位圆满完成预期目标，取得了较好的经济和社会评价，企业和群众满意度高。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shd w:val="clear" w:color="auto" w:fill="auto"/>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存在的问题分析及改进措施</w:t>
            </w:r>
          </w:p>
        </w:tc>
        <w:tc>
          <w:tcPr>
            <w:tcW w:w="1985" w:type="dxa"/>
            <w:shd w:val="clear" w:color="auto" w:fill="auto"/>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存在的问题</w:t>
            </w:r>
          </w:p>
        </w:tc>
        <w:tc>
          <w:tcPr>
            <w:tcW w:w="5670" w:type="dxa"/>
            <w:shd w:val="clear" w:color="auto" w:fill="auto"/>
            <w:vAlign w:val="center"/>
          </w:tcPr>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（一）预算执行存在偏差。本年度实际公用经费支出高于预算，说明预算编制与实际情况存在偏差，公用经费的控制和核算还有待进一步加强，预算资金安排中，行政经费安排不足。</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（二）财务政策学习及培训力度不够，提高财务人员素质以及财务核算能力仍需提高。</w:t>
            </w:r>
          </w:p>
          <w:p>
            <w:pPr>
              <w:pStyle w:val="5"/>
              <w:widowControl/>
              <w:shd w:val="clear" w:color="auto"/>
              <w:spacing w:before="225" w:line="510" w:lineRule="atLeast"/>
              <w:rPr>
                <w:rFonts w:ascii="仿宋" w:hAnsi="仿宋" w:eastAsia="仿宋" w:cs="方正小标宋简体"/>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shd w:val="clear" w:color="auto" w:fill="auto"/>
          </w:tcPr>
          <w:p>
            <w:pPr>
              <w:spacing w:line="576" w:lineRule="exact"/>
              <w:jc w:val="center"/>
              <w:rPr>
                <w:rFonts w:ascii="仿宋_GB2312" w:hAnsi="宋体" w:eastAsia="仿宋_GB2312" w:cs="宋体"/>
                <w:szCs w:val="21"/>
              </w:rPr>
            </w:pPr>
          </w:p>
        </w:tc>
        <w:tc>
          <w:tcPr>
            <w:tcW w:w="1985" w:type="dxa"/>
            <w:shd w:val="clear" w:color="auto" w:fill="auto"/>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改进措施</w:t>
            </w:r>
          </w:p>
        </w:tc>
        <w:tc>
          <w:tcPr>
            <w:tcW w:w="5670" w:type="dxa"/>
            <w:shd w:val="clear" w:color="auto" w:fill="auto"/>
            <w:vAlign w:val="center"/>
          </w:tcPr>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一）规范账务处理，提高财务信息质量。严格按照《会计法》、《行政单位会计制度》、《行政单位财务规则》等规定执行财务核算，并结合实际情况，完整、准确地披露相关信息，尽可能地做到决算与预算相衔接。</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（二）进一步贯彻落实中央八项规定和省委九条规定，建立本部门“三公经费”等公务支出管理制度及厉行节约制度，加强经费审批和控制，规范支出标准与范围，并严格执行。</w:t>
            </w:r>
          </w:p>
          <w:p>
            <w:pPr>
              <w:pStyle w:val="5"/>
              <w:widowControl/>
              <w:shd w:val="clear" w:color="auto"/>
              <w:spacing w:before="225" w:line="510" w:lineRule="atLeast"/>
              <w:rPr>
                <w:rFonts w:ascii="仿宋" w:hAnsi="仿宋" w:eastAsia="仿宋" w:cs="方正小标宋简体"/>
                <w:kern w:val="2"/>
              </w:rPr>
            </w:pPr>
            <w:r>
              <w:rPr>
                <w:rFonts w:hint="eastAsia" w:ascii="仿宋" w:hAnsi="仿宋" w:eastAsia="仿宋" w:cs="方正小标宋简体"/>
                <w:kern w:val="2"/>
              </w:rPr>
              <w:t>（三）加强岗位实务学习与培训工作。 加强新政策新规定等业务学习培训，让财务人员通过学习能够准确地根据年度内单位可预见的工作任务细化预算目标，科学合理地编制部门预算。规范部门预算收支核算，及时了解预算执行差异，合理调整、纠正预算执行偏差，财务人员应根据实际情况，定期做好预算执行分析，掌握预算执行进度，及时找出预算实际执行情况与预算目标之间存在的差距，切实提高部门预算收支管理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shd w:val="clear" w:color="auto" w:fill="auto"/>
          </w:tcPr>
          <w:p>
            <w:pPr>
              <w:spacing w:line="576" w:lineRule="exact"/>
              <w:jc w:val="center"/>
              <w:rPr>
                <w:rFonts w:ascii="仿宋_GB2312" w:hAnsi="宋体" w:eastAsia="仿宋_GB2312" w:cs="宋体"/>
                <w:szCs w:val="21"/>
              </w:rPr>
            </w:pPr>
          </w:p>
        </w:tc>
        <w:tc>
          <w:tcPr>
            <w:tcW w:w="1985" w:type="dxa"/>
            <w:shd w:val="clear" w:color="auto" w:fill="auto"/>
            <w:vAlign w:val="center"/>
          </w:tcPr>
          <w:p>
            <w:pPr>
              <w:spacing w:line="576" w:lineRule="exact"/>
              <w:jc w:val="center"/>
              <w:rPr>
                <w:rFonts w:ascii="仿宋_GB2312" w:hAnsi="宋体" w:eastAsia="仿宋_GB2312" w:cs="宋体"/>
                <w:szCs w:val="21"/>
              </w:rPr>
            </w:pPr>
            <w:r>
              <w:rPr>
                <w:rFonts w:hint="eastAsia" w:ascii="仿宋_GB2312" w:hAnsi="宋体" w:eastAsia="仿宋_GB2312" w:cs="宋体"/>
                <w:szCs w:val="21"/>
              </w:rPr>
              <w:t>其他需要说明问题</w:t>
            </w:r>
          </w:p>
        </w:tc>
        <w:tc>
          <w:tcPr>
            <w:tcW w:w="5670" w:type="dxa"/>
            <w:shd w:val="clear" w:color="auto" w:fill="auto"/>
            <w:vAlign w:val="center"/>
          </w:tcPr>
          <w:p>
            <w:pPr>
              <w:spacing w:line="576" w:lineRule="exact"/>
              <w:ind w:right="880" w:rightChars="419"/>
              <w:jc w:val="center"/>
              <w:rPr>
                <w:rFonts w:ascii="仿宋_GB2312" w:hAnsi="宋体" w:eastAsia="仿宋_GB2312" w:cs="宋体"/>
                <w:szCs w:val="21"/>
              </w:rPr>
            </w:pPr>
            <w:r>
              <w:rPr>
                <w:rFonts w:hint="eastAsia" w:ascii="仿宋_GB2312" w:hAnsi="宋体" w:eastAsia="仿宋_GB2312" w:cs="宋体"/>
                <w:szCs w:val="21"/>
              </w:rPr>
              <w:t>无</w:t>
            </w:r>
          </w:p>
        </w:tc>
      </w:tr>
    </w:tbl>
    <w:p>
      <w:pPr>
        <w:spacing w:line="460" w:lineRule="atLeast"/>
        <w:rPr>
          <w:rFonts w:ascii="仿宋" w:hAnsi="仿宋" w:eastAsia="仿宋" w:cs="方正小标宋简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6"/>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7E2"/>
    <w:rsid w:val="0015144E"/>
    <w:rsid w:val="001A3B29"/>
    <w:rsid w:val="001B24C2"/>
    <w:rsid w:val="00200510"/>
    <w:rsid w:val="00212FC2"/>
    <w:rsid w:val="00261B27"/>
    <w:rsid w:val="002A215D"/>
    <w:rsid w:val="003A7DAF"/>
    <w:rsid w:val="0043272A"/>
    <w:rsid w:val="004726F2"/>
    <w:rsid w:val="0052046E"/>
    <w:rsid w:val="005604E6"/>
    <w:rsid w:val="005A1BB0"/>
    <w:rsid w:val="00614E2D"/>
    <w:rsid w:val="006722E6"/>
    <w:rsid w:val="006D7E28"/>
    <w:rsid w:val="00704268"/>
    <w:rsid w:val="007B1711"/>
    <w:rsid w:val="00901CC4"/>
    <w:rsid w:val="009131AF"/>
    <w:rsid w:val="00920780"/>
    <w:rsid w:val="00A613F2"/>
    <w:rsid w:val="00AE4C9C"/>
    <w:rsid w:val="00AE6AF6"/>
    <w:rsid w:val="00B0279B"/>
    <w:rsid w:val="00B97A06"/>
    <w:rsid w:val="00BB0BF8"/>
    <w:rsid w:val="00C53058"/>
    <w:rsid w:val="00D65893"/>
    <w:rsid w:val="00D93775"/>
    <w:rsid w:val="00DB5010"/>
    <w:rsid w:val="00E37B3B"/>
    <w:rsid w:val="00E531ED"/>
    <w:rsid w:val="00E847E2"/>
    <w:rsid w:val="00E87EE5"/>
    <w:rsid w:val="00FE7312"/>
    <w:rsid w:val="015D659E"/>
    <w:rsid w:val="02044B64"/>
    <w:rsid w:val="029B016E"/>
    <w:rsid w:val="039F383D"/>
    <w:rsid w:val="04A2149F"/>
    <w:rsid w:val="0561349D"/>
    <w:rsid w:val="05CF0FB7"/>
    <w:rsid w:val="06EB1EAF"/>
    <w:rsid w:val="070731E4"/>
    <w:rsid w:val="071A5B95"/>
    <w:rsid w:val="081769C3"/>
    <w:rsid w:val="08210F72"/>
    <w:rsid w:val="089F0D77"/>
    <w:rsid w:val="09281DC6"/>
    <w:rsid w:val="09597225"/>
    <w:rsid w:val="0B172528"/>
    <w:rsid w:val="0B8B45EA"/>
    <w:rsid w:val="0B92211D"/>
    <w:rsid w:val="0C1C388C"/>
    <w:rsid w:val="0C3A09C7"/>
    <w:rsid w:val="0C5D3A8A"/>
    <w:rsid w:val="0C784720"/>
    <w:rsid w:val="0C8223A4"/>
    <w:rsid w:val="0D9954D1"/>
    <w:rsid w:val="0E7031BB"/>
    <w:rsid w:val="0FAA13A6"/>
    <w:rsid w:val="0FE32327"/>
    <w:rsid w:val="10546F96"/>
    <w:rsid w:val="109C5640"/>
    <w:rsid w:val="12D6700D"/>
    <w:rsid w:val="149B486D"/>
    <w:rsid w:val="150338E6"/>
    <w:rsid w:val="152671E1"/>
    <w:rsid w:val="164A6D42"/>
    <w:rsid w:val="16C10C48"/>
    <w:rsid w:val="17807169"/>
    <w:rsid w:val="17A56BF3"/>
    <w:rsid w:val="191655B7"/>
    <w:rsid w:val="1944670A"/>
    <w:rsid w:val="19F563BF"/>
    <w:rsid w:val="1C911351"/>
    <w:rsid w:val="1CCA64DE"/>
    <w:rsid w:val="1D527163"/>
    <w:rsid w:val="1EA6597E"/>
    <w:rsid w:val="1FF676E2"/>
    <w:rsid w:val="20144604"/>
    <w:rsid w:val="206E53D3"/>
    <w:rsid w:val="225A171E"/>
    <w:rsid w:val="226F06AA"/>
    <w:rsid w:val="24B80E9D"/>
    <w:rsid w:val="25A05804"/>
    <w:rsid w:val="25E231F6"/>
    <w:rsid w:val="25F91055"/>
    <w:rsid w:val="265537D5"/>
    <w:rsid w:val="26760C6A"/>
    <w:rsid w:val="276705B0"/>
    <w:rsid w:val="27DB7977"/>
    <w:rsid w:val="2864073C"/>
    <w:rsid w:val="2ABB7821"/>
    <w:rsid w:val="2B0C5C6D"/>
    <w:rsid w:val="2B1F08FF"/>
    <w:rsid w:val="2BC04F37"/>
    <w:rsid w:val="2C645AEC"/>
    <w:rsid w:val="2EAA6D69"/>
    <w:rsid w:val="2EAF037D"/>
    <w:rsid w:val="2F0667F3"/>
    <w:rsid w:val="2F480BD7"/>
    <w:rsid w:val="30591E02"/>
    <w:rsid w:val="310124EE"/>
    <w:rsid w:val="314943AD"/>
    <w:rsid w:val="319C662C"/>
    <w:rsid w:val="31F07F9C"/>
    <w:rsid w:val="33183DEF"/>
    <w:rsid w:val="332D2614"/>
    <w:rsid w:val="33AF4D01"/>
    <w:rsid w:val="33D46E42"/>
    <w:rsid w:val="34570A59"/>
    <w:rsid w:val="3595469E"/>
    <w:rsid w:val="35D46D12"/>
    <w:rsid w:val="3629548F"/>
    <w:rsid w:val="362B36ED"/>
    <w:rsid w:val="36B1029B"/>
    <w:rsid w:val="37CD0F75"/>
    <w:rsid w:val="38A91FB3"/>
    <w:rsid w:val="39890218"/>
    <w:rsid w:val="3A832C8B"/>
    <w:rsid w:val="3ABE3CDC"/>
    <w:rsid w:val="3ACD19AE"/>
    <w:rsid w:val="3B4D6062"/>
    <w:rsid w:val="3B705519"/>
    <w:rsid w:val="3BCD0424"/>
    <w:rsid w:val="3DDE5F62"/>
    <w:rsid w:val="3EFD4A14"/>
    <w:rsid w:val="3F354C27"/>
    <w:rsid w:val="403900E6"/>
    <w:rsid w:val="405C1741"/>
    <w:rsid w:val="40DF1A16"/>
    <w:rsid w:val="415435FD"/>
    <w:rsid w:val="42967DF7"/>
    <w:rsid w:val="433557AC"/>
    <w:rsid w:val="44AC0906"/>
    <w:rsid w:val="45902B01"/>
    <w:rsid w:val="45976081"/>
    <w:rsid w:val="465C3D13"/>
    <w:rsid w:val="46F95B59"/>
    <w:rsid w:val="47AD2355"/>
    <w:rsid w:val="480B1833"/>
    <w:rsid w:val="48AC5715"/>
    <w:rsid w:val="48B92F24"/>
    <w:rsid w:val="49051E5E"/>
    <w:rsid w:val="49191FC4"/>
    <w:rsid w:val="49544DBC"/>
    <w:rsid w:val="498F174F"/>
    <w:rsid w:val="49C00E76"/>
    <w:rsid w:val="4E0D14F8"/>
    <w:rsid w:val="4EF363F8"/>
    <w:rsid w:val="4FA12EFE"/>
    <w:rsid w:val="5001283D"/>
    <w:rsid w:val="501663C9"/>
    <w:rsid w:val="50C7352E"/>
    <w:rsid w:val="50F27A7B"/>
    <w:rsid w:val="51BA2CF4"/>
    <w:rsid w:val="535D3A7C"/>
    <w:rsid w:val="53E52168"/>
    <w:rsid w:val="555408FB"/>
    <w:rsid w:val="55685411"/>
    <w:rsid w:val="55E61A1B"/>
    <w:rsid w:val="56495F30"/>
    <w:rsid w:val="56910CB8"/>
    <w:rsid w:val="569D213A"/>
    <w:rsid w:val="56D8032C"/>
    <w:rsid w:val="57F329F0"/>
    <w:rsid w:val="58C52109"/>
    <w:rsid w:val="59DA374F"/>
    <w:rsid w:val="59F306BC"/>
    <w:rsid w:val="5B7D5D39"/>
    <w:rsid w:val="5B84083B"/>
    <w:rsid w:val="5B9E022C"/>
    <w:rsid w:val="5BB07DFB"/>
    <w:rsid w:val="5C023212"/>
    <w:rsid w:val="5F8156BC"/>
    <w:rsid w:val="604F03DE"/>
    <w:rsid w:val="606A47AD"/>
    <w:rsid w:val="608577FD"/>
    <w:rsid w:val="60DF615A"/>
    <w:rsid w:val="61A70144"/>
    <w:rsid w:val="62F90233"/>
    <w:rsid w:val="638313F9"/>
    <w:rsid w:val="63A00180"/>
    <w:rsid w:val="65843C7F"/>
    <w:rsid w:val="66BA1D89"/>
    <w:rsid w:val="679B5BFB"/>
    <w:rsid w:val="68103863"/>
    <w:rsid w:val="68235AA7"/>
    <w:rsid w:val="68357A94"/>
    <w:rsid w:val="692E6605"/>
    <w:rsid w:val="69320FEC"/>
    <w:rsid w:val="6A490B11"/>
    <w:rsid w:val="6A54589C"/>
    <w:rsid w:val="6B5B47B7"/>
    <w:rsid w:val="6C320B14"/>
    <w:rsid w:val="6CBD7BBC"/>
    <w:rsid w:val="6FF24092"/>
    <w:rsid w:val="709F2725"/>
    <w:rsid w:val="70EC072D"/>
    <w:rsid w:val="70F4222A"/>
    <w:rsid w:val="72777C43"/>
    <w:rsid w:val="72B44B2F"/>
    <w:rsid w:val="72BB7E93"/>
    <w:rsid w:val="756F6C68"/>
    <w:rsid w:val="75AE1351"/>
    <w:rsid w:val="75FD61CB"/>
    <w:rsid w:val="78CC035C"/>
    <w:rsid w:val="791504C7"/>
    <w:rsid w:val="79527015"/>
    <w:rsid w:val="7C0135BE"/>
    <w:rsid w:val="7C312876"/>
    <w:rsid w:val="7D7029CF"/>
    <w:rsid w:val="7DD52080"/>
    <w:rsid w:val="7E376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endnote text"/>
    <w:basedOn w:val="1"/>
    <w:unhideWhenUsed/>
    <w:qFormat/>
    <w:uiPriority w:val="0"/>
    <w:rPr>
      <w:rFonts w:hint="eastAsia"/>
    </w:rPr>
  </w:style>
  <w:style w:type="paragraph" w:styleId="3">
    <w:name w:val="footer"/>
    <w:basedOn w:val="1"/>
    <w:link w:val="1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qFormat/>
    <w:uiPriority w:val="0"/>
    <w:pPr>
      <w:jc w:val="left"/>
    </w:pPr>
    <w:rPr>
      <w:kern w:val="0"/>
      <w:sz w:val="24"/>
    </w:rPr>
  </w:style>
  <w:style w:type="character" w:styleId="8">
    <w:name w:val="FollowedHyperlink"/>
    <w:basedOn w:val="7"/>
    <w:semiHidden/>
    <w:unhideWhenUsed/>
    <w:qFormat/>
    <w:uiPriority w:val="99"/>
    <w:rPr>
      <w:color w:val="800080"/>
      <w:u w:val="none"/>
    </w:rPr>
  </w:style>
  <w:style w:type="character" w:styleId="9">
    <w:name w:val="Hyperlink"/>
    <w:basedOn w:val="7"/>
    <w:semiHidden/>
    <w:unhideWhenUsed/>
    <w:qFormat/>
    <w:uiPriority w:val="99"/>
    <w:rPr>
      <w:color w:val="333333"/>
      <w:u w:val="none"/>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paragraph" w:styleId="12">
    <w:name w:val="List Paragraph"/>
    <w:basedOn w:val="1"/>
    <w:qFormat/>
    <w:uiPriority w:val="34"/>
    <w:pPr>
      <w:ind w:firstLine="420" w:firstLineChars="200"/>
    </w:pPr>
  </w:style>
  <w:style w:type="character" w:customStyle="1" w:styleId="13">
    <w:name w:val="hover41"/>
    <w:basedOn w:val="7"/>
    <w:qFormat/>
    <w:uiPriority w:val="0"/>
    <w:rPr>
      <w:color w:val="000000"/>
      <w:shd w:val="clear" w:color="auto" w:fill="FFFFFF"/>
    </w:rPr>
  </w:style>
  <w:style w:type="paragraph" w:styleId="14">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10</Pages>
  <Words>737</Words>
  <Characters>4207</Characters>
  <Lines>35</Lines>
  <Paragraphs>9</Paragraphs>
  <TotalTime>42</TotalTime>
  <ScaleCrop>false</ScaleCrop>
  <LinksUpToDate>false</LinksUpToDate>
  <CharactersWithSpaces>4935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2017-05-24T07:34:00Z</dcterms:created>
  <dc:creator>Windows User</dc:creator>
  <cp:lastModifiedBy>seamans</cp:lastModifiedBy>
  <cp:lastPrinted>2021-05-31T02:38:10Z</cp:lastPrinted>
  <dcterms:modified xsi:type="dcterms:W3CDTF">2021-05-31T02:39:56Z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KSOSaveFontToCloudKey">
    <vt:lpwstr>271412317_btnclosed</vt:lpwstr>
  </property>
  <property fmtid="{D5CDD505-2E9C-101B-9397-08002B2CF9AE}" pid="4" name="ICV">
    <vt:lpwstr>4FF5B8CFDFF948A7B2A2256EF0F8F350</vt:lpwstr>
  </property>
</Properties>
</file>