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-34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-34"/>
          <w:sz w:val="44"/>
          <w:szCs w:val="44"/>
          <w:shd w:val="clear" w:fill="FFFFFF"/>
          <w:lang w:eastAsia="zh-CN"/>
        </w:rPr>
        <w:t>湘潭县民政局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-34"/>
          <w:sz w:val="44"/>
          <w:szCs w:val="44"/>
          <w:shd w:val="clear" w:fill="FFFFFF"/>
          <w:lang w:val="en-US" w:eastAsia="zh-CN"/>
        </w:rPr>
        <w:t>2020年度政府信息公开工作年度报告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根据《中华人民共和国政府信息公开条例》（以下简称《条例》），特向社会公布20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度本单位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年1月1日起至20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年12月31日止。本年报的电子版http://www.xtx.gov.cn/9096/index.htm政务公开专栏下载。如对本报告有任何疑问，请与湘潭县民政局联系（联系电话：57882959；通信地址：湘潭县易俗河镇牡丹路7号，邮政编码：411200）。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湘潭县民政局现有工作人员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人，其中，党组成员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名，行政编制人员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名，工勤编制1名，实有事业编制人员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名；核定内设股室10个，事业机构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个。20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年，我局在单位门户网站上更新工作动态4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篇，通知公告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篇，财政信息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篇，机构信息2篇，领导信息1篇，信息公开指南1篇，信息公开年报1篇，保质保量完成了政府信息公开工作。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105"/>
        <w:gridCol w:w="1875"/>
        <w:gridCol w:w="1260"/>
        <w:gridCol w:w="190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制作数量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公开数量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对外公开总数量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规章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规范性文件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上一年项目数量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本年增/减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行政许可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其他对外管理服务事项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上一年项目数量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本年增/减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行政处罚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行政强制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本年增/减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行政事业性收费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4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第二十条第（九）项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采购总金额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政府集中采购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3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3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99"/>
        <w:gridCol w:w="826"/>
        <w:gridCol w:w="2224"/>
        <w:gridCol w:w="528"/>
        <w:gridCol w:w="632"/>
        <w:gridCol w:w="606"/>
        <w:gridCol w:w="736"/>
        <w:gridCol w:w="866"/>
        <w:gridCol w:w="659"/>
        <w:gridCol w:w="64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10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自然人</w:t>
            </w:r>
          </w:p>
        </w:tc>
        <w:tc>
          <w:tcPr>
            <w:tcW w:w="38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法人或其他组织</w:t>
            </w:r>
          </w:p>
        </w:tc>
        <w:tc>
          <w:tcPr>
            <w:tcW w:w="69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商业企业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科研机构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社会公益组织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法律服务机构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</w:t>
            </w:r>
          </w:p>
        </w:tc>
        <w:tc>
          <w:tcPr>
            <w:tcW w:w="6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三、本年度办理结果</w:t>
            </w: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（一）予以公开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（三）不予公开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1.属于国家秘密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2.其他法律行政法规禁止公开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3.危及“三安全一稳定”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4.保护第三方合法权益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5.属于三类内部事务信息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6.属于四类过程性信息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7.属于行政执法案卷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8.属于行政查询事项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（四）无法提供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1.本机关不掌握相关政府信息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2.没有现成信息需要另行制作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3.补正后申请内容仍不明确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（五）不予处理</w:t>
            </w: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1.信访举报投诉类申请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2.重复申请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3.要求提供公开出版物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4.无正当理由大量反复申请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（六）其他处理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（七）总计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四、结转下年度继续办理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tbl>
      <w:tblPr>
        <w:tblStyle w:val="3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52"/>
        <w:gridCol w:w="552"/>
        <w:gridCol w:w="552"/>
        <w:gridCol w:w="552"/>
        <w:gridCol w:w="604"/>
        <w:gridCol w:w="501"/>
        <w:gridCol w:w="552"/>
        <w:gridCol w:w="552"/>
        <w:gridCol w:w="552"/>
        <w:gridCol w:w="578"/>
        <w:gridCol w:w="552"/>
        <w:gridCol w:w="552"/>
        <w:gridCol w:w="552"/>
        <w:gridCol w:w="553"/>
        <w:gridCol w:w="56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06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行政复议</w:t>
            </w:r>
          </w:p>
        </w:tc>
        <w:tc>
          <w:tcPr>
            <w:tcW w:w="598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未经复议直接起诉</w:t>
            </w:r>
          </w:p>
        </w:tc>
        <w:tc>
          <w:tcPr>
            <w:tcW w:w="301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both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firstLine="42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2"/>
          <w:szCs w:val="22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存在问题：政府信息公开工作的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连续性与时效性需进一步加强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改进情况：进一步梳理我局所掌握的政府信息，及时提供，定期维护，确保政府信息公开工作能按照既定的工作流程有效运作，公众能够方便查询。进一步梳理政府信息，对原有的政府信息公开目录进行补充完善，保证公开信息的完整性和准确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41616"/>
    <w:rsid w:val="05CD35BC"/>
    <w:rsid w:val="3D941616"/>
    <w:rsid w:val="7CF7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2021-01-21T02:49:00Z</dcterms:created>
  <dc:creator>离忧</dc:creator>
  <cp:lastModifiedBy>离忧</cp:lastModifiedBy>
  <dcterms:modified xsi:type="dcterms:W3CDTF">2021-04-12T09:10:50Z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FB0D6D001427445EB2B4F07A0982965E</vt:lpwstr>
  </property>
</Properties>
</file>