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湘潭县公安局2020年信息公开年度报告</w:t>
      </w:r>
    </w:p>
    <w:p>
      <w:pPr>
        <w:rPr>
          <w:rFonts w:ascii="仿宋" w:hAnsi="仿宋" w:eastAsia="仿宋"/>
          <w:sz w:val="32"/>
          <w:szCs w:val="32"/>
        </w:rPr>
      </w:pPr>
    </w:p>
    <w:p>
      <w:pPr>
        <w:ind w:firstLine="640" w:firstLineChars="200"/>
        <w:rPr>
          <w:rFonts w:ascii="黑体" w:hAnsi="仿宋" w:eastAsia="黑体"/>
          <w:sz w:val="32"/>
          <w:szCs w:val="32"/>
        </w:rPr>
      </w:pPr>
      <w:bookmarkStart w:id="0" w:name="_GoBack"/>
      <w:r>
        <w:rPr>
          <w:rFonts w:hint="eastAsia" w:ascii="黑体" w:hAnsi="仿宋" w:eastAsia="黑体"/>
          <w:sz w:val="32"/>
          <w:szCs w:val="32"/>
        </w:rPr>
        <w:t>一、总体情况</w:t>
      </w:r>
    </w:p>
    <w:p>
      <w:pPr>
        <w:ind w:firstLine="640" w:firstLineChars="200"/>
        <w:rPr>
          <w:rFonts w:ascii="仿宋_GB2312" w:hAnsi="仿宋" w:eastAsia="仿宋_GB2312"/>
          <w:sz w:val="32"/>
          <w:szCs w:val="32"/>
        </w:rPr>
      </w:pPr>
      <w:r>
        <w:rPr>
          <w:rFonts w:hint="eastAsia" w:ascii="仿宋_GB2312" w:hAnsi="仿宋" w:eastAsia="仿宋_GB2312"/>
          <w:sz w:val="32"/>
          <w:szCs w:val="32"/>
        </w:rPr>
        <w:t>2020年，按照县政府的统一部署，湘潭县公安局认真贯彻落实《中华人民共和国政府信息公开条例》（以下简称《条例》），紧密结合公安工作实际，以提高公安机关行政效率、提升为民服务水平为目标，不断规范信息公开流程，调整充实信息公开建设领导小组，开展专项检查，加大公开力度，确保政府信息公开工作的数量和质量同步得到保障。现向社会公布我局2020年度政府信息公开工作年度报告。</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（一）领导重视，进一步完善工作机制</w:t>
      </w:r>
    </w:p>
    <w:p>
      <w:pPr>
        <w:ind w:firstLine="640" w:firstLineChars="200"/>
        <w:rPr>
          <w:rFonts w:ascii="仿宋_GB2312" w:hAnsi="仿宋" w:eastAsia="仿宋_GB2312"/>
          <w:sz w:val="32"/>
          <w:szCs w:val="32"/>
        </w:rPr>
      </w:pPr>
      <w:r>
        <w:rPr>
          <w:rFonts w:hint="eastAsia" w:ascii="仿宋_GB2312" w:hAnsi="仿宋" w:eastAsia="仿宋_GB2312"/>
          <w:sz w:val="32"/>
          <w:szCs w:val="32"/>
        </w:rPr>
        <w:t>1、加强组织领导。县公安局主要领导高度重视政府信息公开工作，按照政务公开管理机制和工作机制，我局安排专人负责政务公开工作；各相关警种、部门分别成立相应工作机构，明确责任人、制定工作方案，完善相关制度，做到领导、人员、机构“三到位”，形成各负其责、层层落实的局面，有力保障政务公开工作深入开展。</w:t>
      </w:r>
    </w:p>
    <w:p>
      <w:pPr>
        <w:ind w:firstLine="640" w:firstLineChars="200"/>
        <w:rPr>
          <w:rFonts w:ascii="仿宋_GB2312" w:hAnsi="仿宋" w:eastAsia="仿宋_GB2312"/>
          <w:sz w:val="32"/>
          <w:szCs w:val="32"/>
        </w:rPr>
      </w:pPr>
      <w:r>
        <w:rPr>
          <w:rFonts w:hint="eastAsia" w:ascii="仿宋_GB2312" w:hAnsi="仿宋" w:eastAsia="仿宋_GB2312"/>
          <w:sz w:val="32"/>
          <w:szCs w:val="32"/>
        </w:rPr>
        <w:t>2、完善工作机制。专门召开政府信息公开工作部署会，建立和落实政府信息公开责任制，明确年度工作目标、具体任务、工作措施等，由指挥中心牵头，政工室、法制大队、交警大队、警务保障室等部门协同配合，共同做好政府信息公开工作。</w:t>
      </w:r>
    </w:p>
    <w:p>
      <w:pPr>
        <w:ind w:firstLine="640" w:firstLineChars="200"/>
        <w:rPr>
          <w:rFonts w:ascii="仿宋_GB2312" w:hAnsi="仿宋" w:eastAsia="仿宋_GB2312"/>
          <w:sz w:val="32"/>
          <w:szCs w:val="32"/>
        </w:rPr>
      </w:pPr>
      <w:r>
        <w:rPr>
          <w:rFonts w:hint="eastAsia" w:ascii="仿宋_GB2312" w:hAnsi="仿宋" w:eastAsia="仿宋_GB2312"/>
          <w:sz w:val="32"/>
          <w:szCs w:val="32"/>
        </w:rPr>
        <w:t>3、强化监督保障。制定完善政府信息公开考核评议和责任追究等制度，将政府信息公开与各项重点工作同部署、同实施、同考核。由专人定期检查县局政务、警务发布平台，掌握全局政务信息发布情况，及时发现问题，督促整改。通过目标考核、社会评议和舆论监督等途径，加强监督检查，确保政府信息公开各项重点工作落到实处。</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（二）政府信息主动公开情况（政工、法制、警保）</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2020年，我局通过政府信息平台主动公开警务动态386条（其中政务微博、微信公开政府信息数333条;其他方式公开政府信息数53条）；回应公众关注热点或重大舆情数107次。我局发布政府信息的主要平台是湘潭县公安局政务公开网、政务微博@平安湘潭县、微信公众号@湘潭县公安等自媒体以及湘潭县网、市县级电视台以及《湘潭日报》《湘潭晚报》、湘潭在线、中国民生新闻网、中国都市新闻网、人民日报人民号、人民日报社市场报网络版等媒体。</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（三）收到和处理政府信息公开申请情况（法制）</w:t>
      </w:r>
    </w:p>
    <w:p>
      <w:pPr>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lang w:val="en-US" w:eastAsia="zh-CN"/>
        </w:rPr>
        <w:t>2020</w:t>
      </w:r>
      <w:r>
        <w:rPr>
          <w:rFonts w:hint="eastAsia" w:ascii="仿宋_GB2312" w:hAnsi="仿宋" w:eastAsia="仿宋_GB2312"/>
          <w:color w:val="auto"/>
          <w:sz w:val="32"/>
          <w:szCs w:val="32"/>
        </w:rPr>
        <w:t>年，我局未收到政府信息公开申请及相关咨询。</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（四）行政复议和行政诉讼情况（法制）</w:t>
      </w:r>
    </w:p>
    <w:p>
      <w:pPr>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2020年，我局因政府信息公开产生的行政诉讼案件2起，</w:t>
      </w:r>
      <w:r>
        <w:rPr>
          <w:rFonts w:hint="eastAsia" w:ascii="仿宋_GB2312" w:hAnsi="仿宋" w:eastAsia="仿宋_GB2312"/>
          <w:sz w:val="32"/>
          <w:szCs w:val="32"/>
          <w:lang w:val="en-US" w:eastAsia="zh-CN"/>
        </w:rPr>
        <w:t>两起案件的申请人为同一人，申请时间为2019年度，2020年度进行判决，两起都为败诉，</w:t>
      </w:r>
      <w:r>
        <w:rPr>
          <w:rFonts w:hint="eastAsia" w:ascii="仿宋_GB2312" w:hAnsi="仿宋" w:eastAsia="仿宋_GB2312"/>
          <w:sz w:val="32"/>
          <w:szCs w:val="32"/>
        </w:rPr>
        <w:t>其中1起</w:t>
      </w:r>
      <w:r>
        <w:rPr>
          <w:rFonts w:hint="eastAsia" w:ascii="仿宋_GB2312" w:hAnsi="仿宋" w:eastAsia="仿宋_GB2312"/>
          <w:sz w:val="32"/>
          <w:szCs w:val="32"/>
          <w:lang w:val="en-US" w:eastAsia="zh-CN"/>
        </w:rPr>
        <w:t>因我单位答复不合规定被</w:t>
      </w:r>
      <w:r>
        <w:rPr>
          <w:rFonts w:hint="eastAsia" w:ascii="仿宋_GB2312" w:hAnsi="仿宋" w:eastAsia="仿宋_GB2312"/>
          <w:sz w:val="32"/>
          <w:szCs w:val="32"/>
        </w:rPr>
        <w:t>判违法，1起</w:t>
      </w:r>
      <w:r>
        <w:rPr>
          <w:rFonts w:hint="eastAsia" w:ascii="仿宋_GB2312" w:hAnsi="仿宋" w:eastAsia="仿宋_GB2312"/>
          <w:sz w:val="32"/>
          <w:szCs w:val="32"/>
          <w:lang w:val="en-US" w:eastAsia="zh-CN"/>
        </w:rPr>
        <w:t>因网站出现问题公开申请未显示我局未依申请进行答复被判</w:t>
      </w:r>
      <w:r>
        <w:rPr>
          <w:rFonts w:hint="eastAsia" w:ascii="仿宋_GB2312" w:hAnsi="仿宋" w:eastAsia="仿宋_GB2312"/>
          <w:sz w:val="32"/>
          <w:szCs w:val="32"/>
        </w:rPr>
        <w:t>违法</w:t>
      </w:r>
      <w:r>
        <w:rPr>
          <w:rFonts w:hint="eastAsia" w:ascii="仿宋_GB2312" w:hAnsi="仿宋" w:eastAsia="仿宋_GB2312"/>
          <w:sz w:val="32"/>
          <w:szCs w:val="32"/>
          <w:lang w:eastAsia="zh-CN"/>
        </w:rPr>
        <w:t>，应诉后</w:t>
      </w:r>
      <w:r>
        <w:rPr>
          <w:rFonts w:hint="eastAsia" w:ascii="仿宋_GB2312" w:hAnsi="仿宋" w:eastAsia="仿宋_GB2312"/>
          <w:sz w:val="32"/>
          <w:szCs w:val="32"/>
          <w:lang w:val="en-US" w:eastAsia="zh-CN"/>
        </w:rPr>
        <w:t>我单位对两项申请都依法进行了公开。</w:t>
      </w:r>
    </w:p>
    <w:p>
      <w:pPr>
        <w:spacing w:line="400" w:lineRule="exact"/>
        <w:ind w:firstLine="420"/>
        <w:rPr>
          <w:rFonts w:ascii="Times New Roman" w:hAnsi="Times New Roman" w:eastAsia="宋体" w:cs="Times New Roman"/>
          <w:szCs w:val="24"/>
        </w:rPr>
      </w:pPr>
      <w:r>
        <w:rPr>
          <w:rFonts w:ascii="Times New Roman" w:hAnsi="Times New Roman" w:eastAsia="宋体" w:cs="Times New Roman"/>
          <w:b/>
          <w:szCs w:val="24"/>
        </w:rPr>
        <w:t>二、主动公开政府信息情况</w:t>
      </w:r>
    </w:p>
    <w:tbl>
      <w:tblPr>
        <w:tblStyle w:val="3"/>
        <w:tblW w:w="8146" w:type="dxa"/>
        <w:jc w:val="center"/>
        <w:tblLayout w:type="fixed"/>
        <w:tblCellMar>
          <w:top w:w="0" w:type="dxa"/>
          <w:left w:w="0" w:type="dxa"/>
          <w:bottom w:w="0" w:type="dxa"/>
          <w:right w:w="0" w:type="dxa"/>
        </w:tblCellMar>
      </w:tblPr>
      <w:tblGrid>
        <w:gridCol w:w="3113"/>
        <w:gridCol w:w="1881"/>
        <w:gridCol w:w="1271"/>
        <w:gridCol w:w="1881"/>
      </w:tblGrid>
      <w:tr>
        <w:tblPrEx>
          <w:tblCellMar>
            <w:top w:w="0" w:type="dxa"/>
            <w:left w:w="0" w:type="dxa"/>
            <w:bottom w:w="0" w:type="dxa"/>
            <w:right w:w="0" w:type="dxa"/>
          </w:tblCellMar>
        </w:tblPrEx>
        <w:trPr>
          <w:trHeight w:val="454" w:hRule="atLeast"/>
          <w:jc w:val="center"/>
        </w:trPr>
        <w:tc>
          <w:tcPr>
            <w:tcW w:w="8146"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第二十条第（一）项</w:t>
            </w:r>
            <w:r>
              <w:rPr>
                <w:rFonts w:hint="eastAsia" w:ascii="Times New Roman" w:hAnsi="Times New Roman" w:eastAsia="宋体" w:cs="Times New Roman"/>
                <w:b/>
                <w:color w:val="FF0000"/>
                <w:sz w:val="20"/>
              </w:rPr>
              <w:t>（</w:t>
            </w:r>
            <w:r>
              <w:rPr>
                <w:rFonts w:hint="eastAsia" w:ascii="Times New Roman" w:hAnsi="Times New Roman" w:eastAsia="宋体" w:cs="Times New Roman"/>
                <w:b/>
                <w:color w:val="FF0000"/>
                <w:sz w:val="20"/>
                <w:lang w:val="en-US" w:eastAsia="zh-CN"/>
              </w:rPr>
              <w:t>网站无此栏目</w:t>
            </w:r>
            <w:r>
              <w:rPr>
                <w:rFonts w:hint="eastAsia" w:ascii="Times New Roman" w:hAnsi="Times New Roman" w:eastAsia="宋体" w:cs="Times New Roman"/>
                <w:b/>
                <w:color w:val="FF0000"/>
                <w:sz w:val="20"/>
              </w:rPr>
              <w:t>）</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本年新</w:t>
            </w:r>
            <w:r>
              <w:rPr>
                <w:rFonts w:ascii="Times New Roman" w:hAnsi="Times New Roman" w:eastAsia="宋体" w:cs="Times New Roman"/>
                <w:sz w:val="20"/>
              </w:rPr>
              <w:br w:type="textWrapping"/>
            </w:r>
            <w:r>
              <w:rPr>
                <w:rFonts w:ascii="Times New Roman" w:hAnsi="Times New Roman" w:eastAsia="宋体" w:cs="Times New Roman"/>
                <w:sz w:val="20"/>
              </w:rPr>
              <w:t>制作数量</w:t>
            </w:r>
          </w:p>
        </w:tc>
        <w:tc>
          <w:tcPr>
            <w:tcW w:w="1271" w:type="dxa"/>
            <w:tcBorders>
              <w:top w:val="single" w:color="auto" w:sz="8" w:space="0"/>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本年新</w:t>
            </w:r>
            <w:r>
              <w:rPr>
                <w:rFonts w:ascii="Times New Roman" w:hAnsi="Times New Roman" w:eastAsia="宋体" w:cs="Times New Roman"/>
                <w:sz w:val="20"/>
              </w:rPr>
              <w:br w:type="textWrapping"/>
            </w:r>
            <w:r>
              <w:rPr>
                <w:rFonts w:ascii="Times New Roman" w:hAnsi="Times New Roman" w:eastAsia="宋体" w:cs="Times New Roman"/>
                <w:sz w:val="20"/>
              </w:rPr>
              <w:t>公开数量</w:t>
            </w:r>
          </w:p>
        </w:tc>
        <w:tc>
          <w:tcPr>
            <w:tcW w:w="1881"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对外公开总数量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1271" w:type="dxa"/>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1271" w:type="dxa"/>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hint="eastAsia" w:ascii="Times New Roman" w:hAnsi="Times New Roman" w:eastAsia="宋体" w:cs="Times New Roman"/>
                <w:szCs w:val="24"/>
                <w:lang w:eastAsia="zh-CN"/>
              </w:rPr>
            </w:pPr>
            <w:r>
              <w:rPr>
                <w:rFonts w:ascii="Times New Roman" w:hAnsi="Times New Roman" w:eastAsia="宋体" w:cs="Times New Roman"/>
                <w:sz w:val="20"/>
              </w:rPr>
              <w:t>第二十条第（五）项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上一年项目数量</w:t>
            </w:r>
          </w:p>
        </w:tc>
        <w:tc>
          <w:tcPr>
            <w:tcW w:w="1271" w:type="dxa"/>
            <w:tcBorders>
              <w:top w:val="single" w:color="auto" w:sz="8" w:space="0"/>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本年增/减</w:t>
            </w:r>
          </w:p>
        </w:tc>
        <w:tc>
          <w:tcPr>
            <w:tcW w:w="1881"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处理决定数量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行政许可</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127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eastAsia="宋体" w:cs="Times New Roman"/>
                <w:sz w:val="20"/>
                <w:lang w:val="en-US" w:eastAsia="zh-CN"/>
              </w:rPr>
              <w:t>0</w:t>
            </w:r>
            <w:r>
              <w:rPr>
                <w:rFonts w:ascii="Times New Roman" w:hAnsi="Times New Roman" w:eastAsia="宋体" w:cs="Times New Roman"/>
                <w:sz w:val="20"/>
              </w:rPr>
              <w:t>　</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hint="eastAsia" w:ascii="Times New Roman" w:hAnsi="Times New Roman" w:eastAsia="宋体" w:cs="Times New Roman"/>
                <w:szCs w:val="24"/>
                <w:lang w:eastAsia="zh-CN"/>
              </w:rPr>
            </w:pPr>
            <w:r>
              <w:rPr>
                <w:rFonts w:hint="eastAsia" w:ascii="Times New Roman" w:hAnsi="Times New Roman" w:eastAsia="宋体" w:cs="Times New Roman"/>
                <w:sz w:val="20"/>
                <w:lang w:val="en-US" w:eastAsia="zh-CN"/>
              </w:rPr>
              <w:t>0</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其他对外管理服务事项</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1271" w:type="dxa"/>
            <w:tcBorders>
              <w:top w:val="nil"/>
              <w:left w:val="nil"/>
              <w:bottom w:val="single" w:color="auto" w:sz="8" w:space="0"/>
              <w:right w:val="single" w:color="auto" w:sz="8" w:space="0"/>
            </w:tcBorders>
            <w:noWrap/>
            <w:tcMar>
              <w:left w:w="108" w:type="dxa"/>
              <w:right w:w="108" w:type="dxa"/>
            </w:tcMar>
            <w:vAlign w:val="center"/>
          </w:tcPr>
          <w:p>
            <w:pPr>
              <w:rPr>
                <w:rFonts w:hint="eastAsia" w:ascii="Times New Roman" w:hAnsi="Times New Roman" w:eastAsia="宋体" w:cs="Times New Roman"/>
                <w:szCs w:val="24"/>
                <w:lang w:val="en-US" w:eastAsia="zh-CN"/>
              </w:rPr>
            </w:pPr>
            <w:r>
              <w:rPr>
                <w:rFonts w:hint="eastAsia" w:ascii="Times New Roman" w:hAnsi="Times New Roman" w:eastAsia="宋体" w:cs="Times New Roman"/>
                <w:sz w:val="20"/>
                <w:lang w:val="en-US" w:eastAsia="zh-CN"/>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hint="eastAsia" w:ascii="Times New Roman" w:hAnsi="Times New Roman" w:eastAsia="宋体" w:cs="Times New Roman"/>
                <w:szCs w:val="24"/>
                <w:lang w:val="en-US" w:eastAsia="zh-CN"/>
              </w:rPr>
            </w:pPr>
            <w:r>
              <w:rPr>
                <w:rFonts w:hint="eastAsia" w:ascii="Times New Roman" w:hAnsi="Times New Roman" w:eastAsia="宋体" w:cs="Times New Roman"/>
                <w:sz w:val="20"/>
                <w:lang w:val="en-US" w:eastAsia="zh-CN"/>
              </w:rPr>
              <w:t>0</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第二十条第（六）项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上一年项目数量</w:t>
            </w:r>
          </w:p>
        </w:tc>
        <w:tc>
          <w:tcPr>
            <w:tcW w:w="1271" w:type="dxa"/>
            <w:tcBorders>
              <w:top w:val="single" w:color="auto" w:sz="8" w:space="0"/>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本年增/减</w:t>
            </w:r>
          </w:p>
        </w:tc>
        <w:tc>
          <w:tcPr>
            <w:tcW w:w="1881"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处理决定数量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cs="宋体"/>
                <w:sz w:val="20"/>
                <w:szCs w:val="20"/>
              </w:rPr>
              <w:t>行政处罚</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cs="宋体"/>
                <w:sz w:val="20"/>
                <w:szCs w:val="20"/>
              </w:rPr>
              <w:t>　</w:t>
            </w:r>
            <w:r>
              <w:rPr>
                <w:rFonts w:ascii="Times New Roman" w:hAnsi="Times New Roman" w:cs="Times New Roman"/>
                <w:sz w:val="20"/>
                <w:szCs w:val="20"/>
              </w:rPr>
              <w:t>975</w:t>
            </w:r>
          </w:p>
        </w:tc>
        <w:tc>
          <w:tcPr>
            <w:tcW w:w="127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cs="宋体"/>
                <w:sz w:val="20"/>
                <w:szCs w:val="20"/>
              </w:rPr>
              <w:t>　</w:t>
            </w:r>
            <w:r>
              <w:rPr>
                <w:rFonts w:hint="eastAsia" w:ascii="Times New Roman" w:hAnsi="Times New Roman" w:cs="宋体"/>
                <w:sz w:val="20"/>
                <w:szCs w:val="20"/>
                <w:lang w:val="en-US" w:eastAsia="zh-CN"/>
              </w:rPr>
              <w:t>-</w:t>
            </w:r>
            <w:r>
              <w:rPr>
                <w:rFonts w:ascii="Times New Roman" w:hAnsi="Times New Roman" w:cs="Times New Roman"/>
                <w:sz w:val="20"/>
                <w:szCs w:val="20"/>
              </w:rPr>
              <w:t>250</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cs="宋体"/>
                <w:sz w:val="20"/>
                <w:szCs w:val="20"/>
              </w:rPr>
              <w:t>　</w:t>
            </w:r>
            <w:r>
              <w:rPr>
                <w:rFonts w:ascii="Times New Roman" w:hAnsi="Times New Roman" w:cs="Times New Roman"/>
                <w:sz w:val="20"/>
                <w:szCs w:val="20"/>
              </w:rPr>
              <w:t>725</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cs="宋体"/>
                <w:sz w:val="20"/>
                <w:szCs w:val="20"/>
              </w:rPr>
              <w:t>行政强制</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cs="宋体"/>
                <w:sz w:val="20"/>
                <w:szCs w:val="20"/>
              </w:rPr>
              <w:t>　</w:t>
            </w:r>
            <w:r>
              <w:rPr>
                <w:rFonts w:ascii="Times New Roman" w:hAnsi="Times New Roman" w:cs="Times New Roman"/>
                <w:sz w:val="20"/>
                <w:szCs w:val="20"/>
              </w:rPr>
              <w:t>78</w:t>
            </w:r>
          </w:p>
        </w:tc>
        <w:tc>
          <w:tcPr>
            <w:tcW w:w="127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cs="宋体"/>
                <w:sz w:val="20"/>
                <w:szCs w:val="20"/>
              </w:rPr>
              <w:t>　</w:t>
            </w:r>
            <w:r>
              <w:rPr>
                <w:rFonts w:hint="eastAsia" w:ascii="Times New Roman" w:hAnsi="Times New Roman" w:cs="宋体"/>
                <w:sz w:val="20"/>
                <w:szCs w:val="20"/>
                <w:lang w:val="en-US" w:eastAsia="zh-CN"/>
              </w:rPr>
              <w:t>-</w:t>
            </w:r>
            <w:r>
              <w:rPr>
                <w:rFonts w:ascii="Times New Roman" w:hAnsi="Times New Roman" w:cs="Times New Roman"/>
                <w:sz w:val="20"/>
                <w:szCs w:val="20"/>
              </w:rPr>
              <w:t>43</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hint="eastAsia" w:ascii="Times New Roman" w:hAnsi="Times New Roman" w:cs="宋体"/>
                <w:sz w:val="20"/>
                <w:szCs w:val="20"/>
              </w:rPr>
              <w:t>　</w:t>
            </w:r>
            <w:r>
              <w:rPr>
                <w:rFonts w:ascii="Times New Roman" w:hAnsi="Times New Roman" w:cs="Times New Roman"/>
                <w:sz w:val="20"/>
                <w:szCs w:val="20"/>
              </w:rPr>
              <w:t>35</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第二十条第（八）项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上一年项目数量</w:t>
            </w:r>
          </w:p>
        </w:tc>
        <w:tc>
          <w:tcPr>
            <w:tcW w:w="3152" w:type="dxa"/>
            <w:gridSpan w:val="2"/>
            <w:tcBorders>
              <w:top w:val="single" w:color="auto" w:sz="8" w:space="0"/>
              <w:left w:val="nil"/>
              <w:bottom w:val="single" w:color="auto" w:sz="8" w:space="0"/>
              <w:right w:val="single" w:color="000000"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本年增/减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行政事业性收费</w:t>
            </w:r>
          </w:p>
        </w:tc>
        <w:tc>
          <w:tcPr>
            <w:tcW w:w="1881" w:type="dxa"/>
            <w:tcBorders>
              <w:top w:val="nil"/>
              <w:left w:val="nil"/>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441</w:t>
            </w:r>
            <w:r>
              <w:rPr>
                <w:rFonts w:hint="eastAsia" w:ascii="Times New Roman" w:hAnsi="Times New Roman" w:eastAsia="宋体" w:cs="Times New Roman"/>
                <w:sz w:val="20"/>
                <w:lang w:val="en-US" w:eastAsia="zh-CN"/>
              </w:rPr>
              <w:t>万</w:t>
            </w:r>
            <w:r>
              <w:rPr>
                <w:rFonts w:hint="eastAsia" w:ascii="Times New Roman" w:hAnsi="Times New Roman" w:eastAsia="宋体" w:cs="Times New Roman"/>
                <w:sz w:val="20"/>
              </w:rPr>
              <w:t>元</w:t>
            </w:r>
          </w:p>
        </w:tc>
        <w:tc>
          <w:tcPr>
            <w:tcW w:w="3152" w:type="dxa"/>
            <w:gridSpan w:val="2"/>
            <w:tcBorders>
              <w:top w:val="nil"/>
              <w:left w:val="nil"/>
              <w:bottom w:val="single" w:color="auto" w:sz="8" w:space="0"/>
              <w:right w:val="single" w:color="000000"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w:t>
            </w:r>
            <w:r>
              <w:rPr>
                <w:rFonts w:hint="eastAsia" w:ascii="Times New Roman" w:hAnsi="Times New Roman" w:eastAsia="宋体" w:cs="Times New Roman"/>
                <w:sz w:val="20"/>
              </w:rPr>
              <w:t>302</w:t>
            </w:r>
            <w:r>
              <w:rPr>
                <w:rFonts w:hint="eastAsia" w:ascii="Times New Roman" w:hAnsi="Times New Roman" w:eastAsia="宋体" w:cs="Times New Roman"/>
                <w:sz w:val="20"/>
                <w:lang w:val="en-US" w:eastAsia="zh-CN"/>
              </w:rPr>
              <w:t>万</w:t>
            </w:r>
            <w:r>
              <w:rPr>
                <w:rFonts w:hint="eastAsia" w:ascii="Times New Roman" w:hAnsi="Times New Roman" w:eastAsia="宋体" w:cs="Times New Roman"/>
                <w:sz w:val="20"/>
              </w:rPr>
              <w:t>元</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第二十条第（九）项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1881"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采购项目数量</w:t>
            </w:r>
          </w:p>
        </w:tc>
        <w:tc>
          <w:tcPr>
            <w:tcW w:w="3152" w:type="dxa"/>
            <w:gridSpan w:val="2"/>
            <w:tcBorders>
              <w:top w:val="single" w:color="auto" w:sz="8" w:space="0"/>
              <w:left w:val="nil"/>
              <w:bottom w:val="single" w:color="auto" w:sz="8" w:space="0"/>
              <w:right w:val="single" w:color="000000"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采购总金额</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rPr>
                <w:rFonts w:ascii="Times New Roman" w:hAnsi="Times New Roman" w:eastAsia="宋体" w:cs="Times New Roman"/>
                <w:szCs w:val="24"/>
              </w:rPr>
            </w:pPr>
            <w:r>
              <w:rPr>
                <w:rFonts w:ascii="Times New Roman" w:hAnsi="Times New Roman" w:eastAsia="宋体" w:cs="Times New Roman"/>
                <w:sz w:val="20"/>
              </w:rPr>
              <w:t>政府集中采购</w:t>
            </w:r>
          </w:p>
        </w:tc>
        <w:tc>
          <w:tcPr>
            <w:tcW w:w="1881" w:type="dxa"/>
            <w:tcBorders>
              <w:top w:val="nil"/>
              <w:left w:val="nil"/>
              <w:bottom w:val="single" w:color="auto" w:sz="8" w:space="0"/>
              <w:right w:val="single" w:color="auto" w:sz="8" w:space="0"/>
            </w:tcBorders>
            <w:noWrap/>
            <w:tcMar>
              <w:left w:w="108" w:type="dxa"/>
              <w:right w:w="108" w:type="dxa"/>
            </w:tcMar>
            <w:vAlign w:val="center"/>
          </w:tcPr>
          <w:p>
            <w:pPr>
              <w:jc w:val="center"/>
              <w:rPr>
                <w:rFonts w:hint="default" w:ascii="Times New Roman" w:hAnsi="Times New Roman" w:eastAsia="宋体" w:cs="Times New Roman"/>
                <w:szCs w:val="24"/>
                <w:lang w:val="en-US" w:eastAsia="zh-CN"/>
              </w:rPr>
            </w:pPr>
            <w:r>
              <w:rPr>
                <w:rFonts w:hint="eastAsia" w:ascii="Times New Roman" w:hAnsi="Times New Roman" w:eastAsia="宋体" w:cs="Times New Roman"/>
                <w:sz w:val="20"/>
                <w:lang w:val="en-US" w:eastAsia="zh-CN"/>
              </w:rPr>
              <w:t>53个</w:t>
            </w:r>
          </w:p>
        </w:tc>
        <w:tc>
          <w:tcPr>
            <w:tcW w:w="3152" w:type="dxa"/>
            <w:gridSpan w:val="2"/>
            <w:tcBorders>
              <w:top w:val="nil"/>
              <w:left w:val="nil"/>
              <w:bottom w:val="single" w:color="auto" w:sz="8" w:space="0"/>
              <w:right w:val="single" w:color="000000" w:sz="8" w:space="0"/>
            </w:tcBorders>
            <w:noWrap/>
            <w:tcMar>
              <w:left w:w="108" w:type="dxa"/>
              <w:right w:w="108" w:type="dxa"/>
            </w:tcMar>
            <w:vAlign w:val="center"/>
          </w:tcPr>
          <w:p>
            <w:pPr>
              <w:jc w:val="center"/>
              <w:rPr>
                <w:rFonts w:hint="default"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708万</w:t>
            </w:r>
          </w:p>
        </w:tc>
      </w:tr>
    </w:tbl>
    <w:p>
      <w:pPr>
        <w:spacing w:after="240"/>
        <w:ind w:firstLine="422" w:firstLineChars="200"/>
        <w:rPr>
          <w:rFonts w:ascii="Times New Roman" w:hAnsi="Times New Roman" w:eastAsia="宋体" w:cs="Times New Roman"/>
          <w:b/>
          <w:szCs w:val="24"/>
        </w:rPr>
      </w:pPr>
    </w:p>
    <w:p>
      <w:pPr>
        <w:spacing w:after="240"/>
        <w:ind w:firstLine="422" w:firstLineChars="200"/>
        <w:rPr>
          <w:rFonts w:ascii="Times New Roman" w:hAnsi="Times New Roman" w:eastAsia="宋体" w:cs="Times New Roman"/>
          <w:color w:val="FF0000"/>
          <w:szCs w:val="24"/>
        </w:rPr>
      </w:pPr>
      <w:r>
        <w:rPr>
          <w:rFonts w:ascii="Times New Roman" w:hAnsi="Times New Roman" w:eastAsia="宋体" w:cs="Times New Roman"/>
          <w:b/>
          <w:szCs w:val="24"/>
        </w:rPr>
        <w:t>三、收到和处理政府信息公开申请情况</w:t>
      </w:r>
    </w:p>
    <w:tbl>
      <w:tblPr>
        <w:tblStyle w:val="3"/>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16"/>
        <w:gridCol w:w="854"/>
        <w:gridCol w:w="2489"/>
        <w:gridCol w:w="570"/>
        <w:gridCol w:w="690"/>
        <w:gridCol w:w="660"/>
        <w:gridCol w:w="813"/>
        <w:gridCol w:w="973"/>
        <w:gridCol w:w="711"/>
        <w:gridCol w:w="69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（本列数据的勾稽关系为：第一项加第二项之和，等于第三项加第四项之和）</w:t>
            </w:r>
          </w:p>
        </w:tc>
        <w:tc>
          <w:tcPr>
            <w:tcW w:w="5112" w:type="dxa"/>
            <w:gridSpan w:val="7"/>
            <w:tcBorders>
              <w:top w:val="single" w:color="auto" w:sz="8"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570" w:type="dxa"/>
            <w:vMerge w:val="restart"/>
            <w:tcBorders>
              <w:top w:val="nil"/>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自然人</w:t>
            </w:r>
          </w:p>
        </w:tc>
        <w:tc>
          <w:tcPr>
            <w:tcW w:w="3847" w:type="dxa"/>
            <w:gridSpan w:val="5"/>
            <w:tcBorders>
              <w:top w:val="single" w:color="auto" w:sz="8" w:space="0"/>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法人或其他组织</w:t>
            </w:r>
          </w:p>
        </w:tc>
        <w:tc>
          <w:tcPr>
            <w:tcW w:w="695"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570"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90" w:type="dxa"/>
            <w:tcBorders>
              <w:top w:val="nil"/>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商业企业</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科研机构</w:t>
            </w:r>
          </w:p>
        </w:tc>
        <w:tc>
          <w:tcPr>
            <w:tcW w:w="813" w:type="dxa"/>
            <w:tcBorders>
              <w:top w:val="single" w:color="auto" w:sz="8" w:space="0"/>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社会公益组织</w:t>
            </w:r>
          </w:p>
        </w:tc>
        <w:tc>
          <w:tcPr>
            <w:tcW w:w="973" w:type="dxa"/>
            <w:tcBorders>
              <w:top w:val="single" w:color="auto" w:sz="8" w:space="0"/>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法律服务机构</w:t>
            </w:r>
          </w:p>
        </w:tc>
        <w:tc>
          <w:tcPr>
            <w:tcW w:w="711" w:type="dxa"/>
            <w:tcBorders>
              <w:top w:val="single" w:color="auto" w:sz="8" w:space="0"/>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其他</w:t>
            </w:r>
          </w:p>
        </w:tc>
        <w:tc>
          <w:tcPr>
            <w:tcW w:w="695"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3959" w:type="dxa"/>
            <w:gridSpan w:val="3"/>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一、本年新收政府信息公开申请数量</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3959" w:type="dxa"/>
            <w:gridSpan w:val="3"/>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二、上年结转政府信息公开申请数量</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lang w:val="en-US" w:eastAsia="zh-CN"/>
              </w:rPr>
              <w:t>2</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lang w:val="en-US" w:eastAsia="zh-CN"/>
              </w:rPr>
              <w:t>0</w:t>
            </w:r>
            <w:r>
              <w:rPr>
                <w:rFonts w:ascii="Times New Roman" w:hAnsi="Times New Roman" w:eastAsia="宋体" w:cs="Times New Roman"/>
                <w:sz w:val="20"/>
              </w:rPr>
              <w:t> </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lang w:val="en-US" w:eastAsia="zh-CN"/>
              </w:rPr>
              <w:t>0</w:t>
            </w:r>
            <w:r>
              <w:rPr>
                <w:rFonts w:ascii="Times New Roman" w:hAnsi="Times New Roman" w:eastAsia="宋体" w:cs="Times New Roman"/>
                <w:sz w:val="20"/>
              </w:rPr>
              <w:t> </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lang w:val="en-US" w:eastAsia="zh-CN"/>
              </w:rPr>
              <w:t>0</w:t>
            </w:r>
            <w:r>
              <w:rPr>
                <w:rFonts w:ascii="Times New Roman" w:hAnsi="Times New Roman" w:eastAsia="宋体" w:cs="Times New Roman"/>
                <w:sz w:val="20"/>
              </w:rPr>
              <w:t> </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lang w:val="en-US" w:eastAsia="zh-CN"/>
              </w:rPr>
              <w:t>0</w:t>
            </w:r>
            <w:r>
              <w:rPr>
                <w:rFonts w:ascii="Times New Roman" w:hAnsi="Times New Roman" w:eastAsia="宋体" w:cs="Times New Roman"/>
                <w:sz w:val="20"/>
              </w:rPr>
              <w:t> </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eastAsia="zh-CN"/>
              </w:rPr>
            </w:pPr>
            <w:r>
              <w:rPr>
                <w:rFonts w:hint="eastAsia" w:ascii="Times New Roman" w:hAnsi="Times New Roman" w:eastAsia="宋体" w:cs="Times New Roman"/>
                <w:sz w:val="20"/>
                <w:lang w:val="en-US" w:eastAsia="zh-CN"/>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三、本年度办理结果</w:t>
            </w:r>
          </w:p>
        </w:tc>
        <w:tc>
          <w:tcPr>
            <w:tcW w:w="3343" w:type="dxa"/>
            <w:gridSpan w:val="2"/>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（一）予以公开</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single" w:color="auto" w:sz="8"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3343" w:type="dxa"/>
            <w:gridSpan w:val="2"/>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（二）部分公开（区分处理的，只计这一情形，不计其他情形）</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restart"/>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（三）不予公开</w:t>
            </w: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single" w:color="auto" w:sz="8"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restart"/>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（四）无法提供</w:t>
            </w: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restart"/>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（五）不予处理</w:t>
            </w: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3343" w:type="dxa"/>
            <w:gridSpan w:val="2"/>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（六）其他处理</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3343" w:type="dxa"/>
            <w:gridSpan w:val="2"/>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（七）总计</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63" w:hRule="atLeast"/>
          <w:jc w:val="center"/>
        </w:trPr>
        <w:tc>
          <w:tcPr>
            <w:tcW w:w="3959" w:type="dxa"/>
            <w:gridSpan w:val="3"/>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四、结转下年度继续办理</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lang w:val="en-US" w:eastAsia="zh-CN"/>
              </w:rPr>
              <w:t>0</w:t>
            </w:r>
          </w:p>
        </w:tc>
      </w:tr>
    </w:tbl>
    <w:p>
      <w:pPr>
        <w:rPr>
          <w:rFonts w:ascii="Times New Roman" w:hAnsi="Times New Roman" w:eastAsia="宋体" w:cs="Times New Roman"/>
          <w:b/>
          <w:szCs w:val="24"/>
        </w:rPr>
      </w:pPr>
    </w:p>
    <w:p>
      <w:pPr>
        <w:ind w:firstLine="422" w:firstLineChars="200"/>
        <w:rPr>
          <w:rFonts w:ascii="Times New Roman" w:hAnsi="Times New Roman" w:eastAsia="宋体" w:cs="Times New Roman"/>
          <w:b/>
          <w:szCs w:val="24"/>
        </w:rPr>
      </w:pPr>
    </w:p>
    <w:p>
      <w:pPr>
        <w:ind w:firstLine="422" w:firstLineChars="200"/>
        <w:rPr>
          <w:rFonts w:ascii="Times New Roman" w:hAnsi="Times New Roman" w:eastAsia="宋体" w:cs="Times New Roman"/>
          <w:color w:val="FF0000"/>
          <w:szCs w:val="24"/>
        </w:rPr>
      </w:pPr>
      <w:r>
        <w:rPr>
          <w:rFonts w:ascii="Times New Roman" w:hAnsi="Times New Roman" w:eastAsia="宋体" w:cs="Times New Roman"/>
          <w:b/>
          <w:szCs w:val="24"/>
        </w:rPr>
        <w:t>四、政府信息公开行政复议、行政诉讼情况</w:t>
      </w:r>
    </w:p>
    <w:p>
      <w:pPr>
        <w:ind w:firstLine="420"/>
        <w:rPr>
          <w:rFonts w:ascii="Times New Roman" w:hAnsi="Times New Roman" w:eastAsia="宋体" w:cs="Times New Roman"/>
          <w:szCs w:val="24"/>
        </w:rPr>
      </w:pPr>
    </w:p>
    <w:tbl>
      <w:tblPr>
        <w:tblStyle w:val="3"/>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行政复议</w:t>
            </w:r>
          </w:p>
        </w:tc>
        <w:tc>
          <w:tcPr>
            <w:tcW w:w="5997" w:type="dxa"/>
            <w:gridSpan w:val="10"/>
            <w:tcBorders>
              <w:top w:val="single" w:color="auto" w:sz="8" w:space="0"/>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尚未审结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总计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未经复议直接起诉</w:t>
            </w:r>
          </w:p>
        </w:tc>
        <w:tc>
          <w:tcPr>
            <w:tcW w:w="3027" w:type="dxa"/>
            <w:gridSpan w:val="5"/>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550"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其他结果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尚未审结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其他结果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尚未审结</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left w:w="108" w:type="dxa"/>
              <w:right w:w="108" w:type="dxa"/>
            </w:tcMar>
            <w:vAlign w:val="center"/>
          </w:tcPr>
          <w:p>
            <w:pPr>
              <w:spacing w:after="180"/>
              <w:jc w:val="center"/>
              <w:rPr>
                <w:rFonts w:hint="eastAsia" w:ascii="Times New Roman" w:hAnsi="Times New Roman" w:eastAsia="宋体" w:cs="Times New Roman"/>
                <w:szCs w:val="24"/>
                <w:lang w:eastAsia="zh-CN"/>
              </w:rPr>
            </w:pPr>
            <w:r>
              <w:rPr>
                <w:rFonts w:hint="eastAsia" w:ascii="Times New Roman" w:hAnsi="Times New Roman" w:eastAsia="宋体" w:cs="Times New Roman"/>
                <w:sz w:val="20"/>
                <w:szCs w:val="20"/>
                <w:lang w:val="en-US" w:eastAsia="zh-CN"/>
              </w:rPr>
              <w:t>0</w:t>
            </w:r>
          </w:p>
        </w:tc>
        <w:tc>
          <w:tcPr>
            <w:tcW w:w="604"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0 </w:t>
            </w:r>
          </w:p>
        </w:tc>
        <w:tc>
          <w:tcPr>
            <w:tcW w:w="604"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0</w:t>
            </w:r>
          </w:p>
        </w:tc>
        <w:tc>
          <w:tcPr>
            <w:tcW w:w="604"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0</w:t>
            </w:r>
          </w:p>
        </w:tc>
        <w:tc>
          <w:tcPr>
            <w:tcW w:w="658"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hint="eastAsia" w:ascii="Times New Roman" w:hAnsi="Times New Roman" w:cs="Times New Roman" w:eastAsiaTheme="minorEastAsia"/>
                <w:szCs w:val="24"/>
                <w:lang w:eastAsia="zh-CN"/>
              </w:rPr>
            </w:pPr>
            <w:r>
              <w:rPr>
                <w:rFonts w:ascii="Times New Roman" w:hAnsi="Times New Roman" w:cs="Times New Roman"/>
                <w:sz w:val="20"/>
                <w:szCs w:val="20"/>
              </w:rPr>
              <w:t> </w:t>
            </w:r>
            <w:r>
              <w:rPr>
                <w:rFonts w:hint="eastAsia" w:ascii="Times New Roman" w:hAnsi="Times New Roman" w:cs="Times New Roman"/>
                <w:sz w:val="20"/>
                <w:szCs w:val="20"/>
                <w:lang w:val="en-US" w:eastAsia="zh-CN"/>
              </w:rPr>
              <w:t>0</w:t>
            </w:r>
          </w:p>
        </w:tc>
        <w:tc>
          <w:tcPr>
            <w:tcW w:w="550"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2</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2</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hint="eastAsia" w:ascii="Times New Roman" w:hAnsi="Times New Roman" w:cs="Times New Roman" w:eastAsiaTheme="minorEastAsia"/>
                <w:szCs w:val="24"/>
                <w:lang w:eastAsia="zh-CN"/>
              </w:rPr>
            </w:pPr>
            <w:r>
              <w:rPr>
                <w:rFonts w:ascii="Times New Roman" w:hAnsi="Times New Roman" w:cs="Times New Roman"/>
                <w:sz w:val="20"/>
                <w:szCs w:val="20"/>
              </w:rPr>
              <w:t> </w:t>
            </w:r>
            <w:r>
              <w:rPr>
                <w:rFonts w:hint="eastAsia" w:ascii="Times New Roman" w:hAnsi="Times New Roman" w:cs="Times New Roman"/>
                <w:sz w:val="20"/>
                <w:szCs w:val="20"/>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0</w:t>
            </w:r>
          </w:p>
        </w:tc>
        <w:tc>
          <w:tcPr>
            <w:tcW w:w="606"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 0</w:t>
            </w:r>
          </w:p>
        </w:tc>
        <w:tc>
          <w:tcPr>
            <w:tcW w:w="606" w:type="dxa"/>
            <w:tcBorders>
              <w:top w:val="nil"/>
              <w:left w:val="nil"/>
              <w:bottom w:val="single" w:color="auto" w:sz="8" w:space="0"/>
              <w:right w:val="single" w:color="auto" w:sz="8" w:space="0"/>
            </w:tcBorders>
            <w:tcMar>
              <w:left w:w="108" w:type="dxa"/>
              <w:right w:w="108" w:type="dxa"/>
            </w:tcMar>
            <w:vAlign w:val="center"/>
          </w:tcPr>
          <w:p>
            <w:pPr>
              <w:rPr>
                <w:rFonts w:hint="eastAsia" w:ascii="Times New Roman" w:hAnsi="Times New Roman" w:eastAsia="宋体" w:cs="Times New Roman"/>
                <w:szCs w:val="24"/>
                <w:lang w:val="en-US" w:eastAsia="zh-CN"/>
              </w:rPr>
            </w:pPr>
            <w:r>
              <w:rPr>
                <w:rFonts w:hint="eastAsia" w:ascii="Times New Roman" w:hAnsi="Times New Roman" w:eastAsia="宋体" w:cs="Times New Roman"/>
                <w:lang w:val="en-US" w:eastAsia="zh-CN"/>
              </w:rPr>
              <w:t>0</w:t>
            </w:r>
          </w:p>
        </w:tc>
      </w:tr>
    </w:tbl>
    <w:p>
      <w:pPr>
        <w:spacing w:line="600" w:lineRule="exact"/>
        <w:ind w:firstLine="643" w:firstLineChars="200"/>
        <w:rPr>
          <w:rFonts w:ascii="仿宋_GB2312" w:hAnsi="Times New Roman" w:eastAsia="仿宋_GB2312" w:cs="Times New Roman"/>
          <w:sz w:val="32"/>
          <w:szCs w:val="32"/>
        </w:rPr>
      </w:pPr>
      <w:r>
        <w:rPr>
          <w:rFonts w:hint="eastAsia" w:ascii="仿宋_GB2312" w:hAnsi="Times New Roman" w:eastAsia="仿宋_GB2312" w:cs="Times New Roman"/>
          <w:b/>
          <w:sz w:val="32"/>
          <w:szCs w:val="32"/>
        </w:rPr>
        <w:t>五、存在的主要问题及改进情况</w:t>
      </w:r>
    </w:p>
    <w:p>
      <w:pPr>
        <w:spacing w:line="600" w:lineRule="exact"/>
        <w:ind w:firstLine="640" w:firstLineChars="200"/>
        <w:rPr>
          <w:rFonts w:ascii="仿宋_GB2312" w:hAnsi="Times New Roman" w:eastAsia="仿宋_GB2312" w:cs="Times New Roman"/>
          <w:b/>
          <w:sz w:val="32"/>
          <w:szCs w:val="32"/>
        </w:rPr>
      </w:pPr>
      <w:r>
        <w:rPr>
          <w:rFonts w:hint="eastAsia" w:ascii="仿宋_GB2312" w:hAnsi="Times New Roman" w:eastAsia="仿宋_GB2312" w:cs="Times New Roman"/>
          <w:sz w:val="32"/>
          <w:szCs w:val="32"/>
        </w:rPr>
        <w:t>2020年，我局政府信息公开工作在上级党委、政府的正确领导下，取得了一定的成绩，但对比新时代做好政务公开工作的新要求，还存在一些差距，主要表现在：一是由于警务工作的特殊性，信息公开的内容不够全面、细致；二是公开的形式和内容与形势的发展变化及人民群众的需求相比还有差距。针对存在的问题，2021年我局将按照县政务公开办的要求，做好以下几点：一是进一步提升专业能力。加强对全局民警政务公开工作的业务培训，不断提高民警对政务公开工作的认识，并进一步提升民警专业能力，确保政务公开工作的高效开展；二是进一步提高信息发布质量，在做好日常政府信息公开网维护的同时，针对社会治安热点，发布政策解读、规范性文件、户籍服务、安全防范等方面信息，把涉及人民群众切身利益的各类事项作为信息发布重点；三是进一步加强制度建设。把开展政务公开活动与公安工作实际紧密结合起来，努力开创具有公安特色的政务公开，把我局政务公开工作不断推向规范化、制度化的新局面。</w:t>
      </w:r>
    </w:p>
    <w:p>
      <w:pPr>
        <w:spacing w:line="600" w:lineRule="exact"/>
        <w:ind w:firstLine="640" w:firstLineChars="200"/>
        <w:rPr>
          <w:rFonts w:ascii="仿宋_GB2312" w:hAnsi="仿宋" w:eastAsia="仿宋_GB2312"/>
          <w:sz w:val="32"/>
          <w:szCs w:val="32"/>
        </w:rPr>
      </w:pPr>
    </w:p>
    <w:p>
      <w:pPr>
        <w:spacing w:line="600" w:lineRule="exact"/>
        <w:ind w:firstLine="640" w:firstLineChars="200"/>
        <w:rPr>
          <w:rFonts w:ascii="仿宋_GB2312" w:hAnsi="仿宋" w:eastAsia="仿宋_GB2312"/>
          <w:sz w:val="32"/>
          <w:szCs w:val="32"/>
        </w:rPr>
      </w:pPr>
    </w:p>
    <w:p>
      <w:pPr>
        <w:wordWrap w:val="0"/>
        <w:spacing w:line="600" w:lineRule="exact"/>
        <w:ind w:firstLine="640" w:firstLineChars="200"/>
        <w:jc w:val="right"/>
        <w:rPr>
          <w:rFonts w:ascii="仿宋_GB2312" w:hAnsi="仿宋" w:eastAsia="仿宋_GB2312"/>
          <w:sz w:val="32"/>
          <w:szCs w:val="32"/>
        </w:rPr>
      </w:pPr>
      <w:r>
        <w:rPr>
          <w:rFonts w:hint="eastAsia" w:ascii="仿宋_GB2312" w:hAnsi="仿宋" w:eastAsia="仿宋_GB2312"/>
          <w:sz w:val="32"/>
          <w:szCs w:val="32"/>
        </w:rPr>
        <w:t xml:space="preserve">湘潭县公安局    </w:t>
      </w:r>
    </w:p>
    <w:p>
      <w:pPr>
        <w:wordWrap w:val="0"/>
        <w:spacing w:line="600" w:lineRule="exact"/>
        <w:ind w:firstLine="640" w:firstLineChars="200"/>
        <w:jc w:val="right"/>
        <w:rPr>
          <w:rFonts w:ascii="Times New Roman" w:hAnsi="Times New Roman" w:eastAsia="宋体" w:cs="Times New Roman"/>
          <w:szCs w:val="24"/>
        </w:rPr>
      </w:pPr>
      <w:r>
        <w:rPr>
          <w:rFonts w:hint="eastAsia" w:ascii="仿宋_GB2312" w:hAnsi="仿宋" w:eastAsia="仿宋_GB2312"/>
          <w:sz w:val="32"/>
          <w:szCs w:val="32"/>
        </w:rPr>
        <w:t>2021年1月</w:t>
      </w:r>
      <w:r>
        <w:rPr>
          <w:rFonts w:hint="eastAsia" w:ascii="仿宋_GB2312" w:hAnsi="仿宋" w:eastAsia="仿宋_GB2312"/>
          <w:sz w:val="32"/>
          <w:szCs w:val="32"/>
          <w:lang w:val="en-US" w:eastAsia="zh-CN"/>
        </w:rPr>
        <w:t>19</w:t>
      </w:r>
      <w:r>
        <w:rPr>
          <w:rFonts w:hint="eastAsia" w:ascii="仿宋_GB2312" w:hAnsi="仿宋" w:eastAsia="仿宋_GB2312"/>
          <w:sz w:val="32"/>
          <w:szCs w:val="32"/>
        </w:rPr>
        <w:t xml:space="preserve">日  </w:t>
      </w:r>
      <w:bookmarkEnd w:id="0"/>
      <w:r>
        <w:rPr>
          <w:rFonts w:hint="eastAsia" w:ascii="仿宋_GB2312" w:hAnsi="仿宋" w:eastAsia="仿宋_GB2312"/>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75381"/>
    <w:rsid w:val="00072CF7"/>
    <w:rsid w:val="000C79DD"/>
    <w:rsid w:val="00135772"/>
    <w:rsid w:val="00186A26"/>
    <w:rsid w:val="003D4259"/>
    <w:rsid w:val="0059029A"/>
    <w:rsid w:val="008D449B"/>
    <w:rsid w:val="00B6487A"/>
    <w:rsid w:val="00CC443A"/>
    <w:rsid w:val="00D16B9D"/>
    <w:rsid w:val="00D531E8"/>
    <w:rsid w:val="00E75381"/>
    <w:rsid w:val="00EB489B"/>
    <w:rsid w:val="3D9213A3"/>
    <w:rsid w:val="703602D2"/>
    <w:rsid w:val="765C1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5"/>
    <w:semiHidden/>
    <w:unhideWhenUsed/>
    <w:uiPriority w:val="99"/>
    <w:pPr>
      <w:ind w:left="100" w:leftChars="2500"/>
    </w:pPr>
  </w:style>
  <w:style w:type="character" w:customStyle="1" w:styleId="5">
    <w:name w:val="日期 Char"/>
    <w:basedOn w:val="4"/>
    <w:link w:val="2"/>
    <w:semiHidden/>
    <w:uiPriority w:val="99"/>
    <w:rPr>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466</Words>
  <Characters>2659</Characters>
  <Lines>22</Lines>
  <Paragraphs>6</Paragraphs>
  <TotalTime>5</TotalTime>
  <ScaleCrop>false</ScaleCrop>
  <LinksUpToDate>false</LinksUpToDate>
  <CharactersWithSpaces>3119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2021-01-15T03:06:00Z</dcterms:created>
  <dc:creator>xb21cn</dc:creator>
  <cp:lastModifiedBy>Administrator</cp:lastModifiedBy>
  <dcterms:modified xsi:type="dcterms:W3CDTF">2021-04-12T08:44:55Z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46DC26461DD74815809CBC52C1F0DBA6</vt:lpwstr>
  </property>
</Properties>
</file>